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80"/>
        <w:jc w:val="center"/>
      </w:pPr>
      <w:r>
        <w:rPr>
          <w:rFonts w:ascii="Times New Roman" w:cs="Times New Roman" w:eastAsia="Times New Roman" w:hAnsi="Times New Roman"/>
          <w:b/>
          <w:bCs/>
          <w:color w:val="1B3A6B"/>
          <w:sz w:val="52"/>
          <w:szCs w:val="52"/>
        </w:rPr>
        <w:t xml:space="preserve">Leçon Entretien Motivationnel n°10</w:t>
      </w:r>
    </w:p>
    <w:p>
      <w:pPr>
        <w:pStyle w:val="Heading1"/>
        <w:spacing w:after="180" w:before="280"/>
        <w:jc w:val="center"/>
      </w:pPr>
      <w:r>
        <w:rPr>
          <w:rFonts w:ascii="Times New Roman" w:cs="Times New Roman" w:eastAsia="Times New Roman" w:hAnsi="Times New Roman"/>
          <w:b/>
          <w:bCs/>
          <w:color w:val="1B3A6B"/>
          <w:sz w:val="52"/>
          <w:szCs w:val="52"/>
        </w:rPr>
        <w:t xml:space="preserve">EM et comportements de santé :</w:t>
      </w:r>
    </w:p>
    <w:p>
      <w:pPr>
        <w:pStyle w:val="Heading1"/>
        <w:spacing w:after="180" w:before="280"/>
        <w:jc w:val="center"/>
      </w:pPr>
      <w:r>
        <w:rPr>
          <w:rFonts w:ascii="Times New Roman" w:cs="Times New Roman" w:eastAsia="Times New Roman" w:hAnsi="Times New Roman"/>
          <w:b/>
          <w:bCs/>
          <w:color w:val="1B3A6B"/>
          <w:sz w:val="52"/>
          <w:szCs w:val="52"/>
        </w:rPr>
        <w:t xml:space="preserve">addictions, observance, hygiène de vie</w:t>
      </w:r>
    </w:p>
    <w:p>
      <w:pPr>
        <w:spacing w:after="0" w:before="40"/>
      </w:pPr>
    </w:p>
    <w:p>
      <w:pPr>
        <w:spacing w:after="60" w:before="60"/>
        <w:jc w:val="center"/>
      </w:pPr>
      <w:r>
        <w:rPr>
          <w:rFonts w:ascii="Times New Roman" w:cs="Times New Roman" w:eastAsia="Times New Roman" w:hAnsi="Times New Roman"/>
          <w:i/>
          <w:iCs/>
          <w:color w:val="777777"/>
          <w:sz w:val="20"/>
          <w:szCs w:val="20"/>
        </w:rPr>
        <w:t xml:space="preserve">Date : 30 juillet 2026  •  Module Avancé — Leçon 10 / 14</w:t>
      </w:r>
    </w:p>
    <w:p>
      <w:pPr>
        <w:pBdr>
          <w:bottom w:val="single" w:color="DDDDDD" w:sz="4"/>
        </w:pBdr>
        <w:spacing w:after="60" w:before="60"/>
      </w:pPr>
    </w:p>
    <w:p>
      <w:pPr>
        <w:pStyle w:val="Heading2"/>
        <w:spacing w:after="120" w:before="340"/>
      </w:pPr>
      <w:r>
        <w:rPr>
          <w:rFonts w:ascii="Times New Roman" w:cs="Times New Roman" w:eastAsia="Times New Roman" w:hAnsi="Times New Roman"/>
          <w:b/>
          <w:bCs/>
          <w:color w:val="1B3A6B"/>
          <w:sz w:val="30"/>
          <w:szCs w:val="30"/>
        </w:rPr>
        <w:t xml:space="preserve">🎯 Objectif &amp; continuité</w:t>
      </w:r>
    </w:p>
    <w:p>
      <w:pPr>
        <w:spacing w:after="80" w:before="80" w:line="320"/>
      </w:pPr>
      <w:r>
        <w:rPr>
          <w:rFonts w:ascii="Times New Roman" w:cs="Times New Roman" w:eastAsia="Times New Roman" w:hAnsi="Times New Roman"/>
          <w:b w:val="false"/>
          <w:bCs w:val="false"/>
          <w:i w:val="false"/>
          <w:iCs w:val="false"/>
          <w:color w:val="1F2937"/>
          <w:sz w:val="22"/>
          <w:szCs w:val="22"/>
        </w:rPr>
        <w:t xml:space="preserve">À l'issue de cette leçon, tu seras capable de décrire comment l'EM s'applique concrètement dans trois domaines cliniques majeurs (addictions, observance médicamenteuse, hygiène de vie), d'adapter ton niveau d'intervention (brève ou complète) selon le contexte, et d'identifier les limites de l'EM documentées par la recherche.</w:t>
      </w:r>
    </w:p>
    <w:p>
      <w:pPr>
        <w:spacing w:after="0" w:before="60"/>
      </w:pPr>
    </w:p>
    <w:p>
      <w:pPr>
        <w:spacing w:after="80" w:before="80" w:line="320"/>
      </w:pPr>
      <w:r>
        <w:rPr>
          <w:rFonts w:ascii="Times New Roman" w:cs="Times New Roman" w:eastAsia="Times New Roman" w:hAnsi="Times New Roman"/>
          <w:b w:val="false"/>
          <w:bCs w:val="false"/>
          <w:i/>
          <w:iCs/>
          <w:color w:val="1F2937"/>
          <w:sz w:val="22"/>
          <w:szCs w:val="22"/>
        </w:rPr>
        <w:t xml:space="preserve">Lien avec la leçon précédente (n°9 — Planification et engagement) : la planification de l'engagement se déploie dans des contextes où l'ambivalence est souvent profonde et durable, liée à des enjeux de santé chroniques ou à des dépendances. Cette leçon ancre les processus déjà appris dans des terrains réels.</w:t>
      </w:r>
    </w:p>
    <w:p>
      <w:pPr>
        <w:pBdr>
          <w:bottom w:val="single" w:color="DDDDDD" w:sz="4"/>
        </w:pBdr>
        <w:spacing w:after="60" w:before="60"/>
      </w:pPr>
    </w:p>
    <w:p>
      <w:pPr>
        <w:pStyle w:val="Heading2"/>
        <w:spacing w:after="120" w:before="340"/>
      </w:pPr>
      <w:r>
        <w:rPr>
          <w:rFonts w:ascii="Times New Roman" w:cs="Times New Roman" w:eastAsia="Times New Roman" w:hAnsi="Times New Roman"/>
          <w:b/>
          <w:bCs/>
          <w:color w:val="1B3A6B"/>
          <w:sz w:val="30"/>
          <w:szCs w:val="30"/>
        </w:rPr>
        <w:t xml:space="preserve">⚠️ Cadre déontologique</w:t>
      </w:r>
    </w:p>
    <w:p>
      <w:pPr>
        <w:pBdr>
          <w:left w:val="single" w:color="D97706" w:sz="12"/>
        </w:pBdr>
        <w:shd w:fill="FFF8E7" w:color="auto" w:val="clear"/>
        <w:spacing w:after="120" w:before="120" w:line="300"/>
        <w:ind w:left="431" w:right="431"/>
      </w:pPr>
      <w:r>
        <w:rPr>
          <w:rFonts w:ascii="Times New Roman" w:cs="Times New Roman" w:eastAsia="Times New Roman" w:hAnsi="Times New Roman"/>
          <w:color w:val="1F2937"/>
          <w:sz w:val="22"/>
          <w:szCs w:val="22"/>
        </w:rPr>
        <w:t xml:space="preserve">L'EM est une méthode relationnelle exigeante. Ces leçons sont pédagogiques ; la maîtrise réelle suppose de la pratique supervisée et du feedback (formation certifiante MINT / AFDEM). Elles ne remplacent ni une formation certifiée ni une supervision clinique.</w:t>
      </w:r>
    </w:p>
    <w:p>
      <w:pPr>
        <w:pBdr>
          <w:bottom w:val="single" w:color="DDDDDD" w:sz="4"/>
        </w:pBdr>
        <w:spacing w:after="60" w:before="60"/>
      </w:pPr>
    </w:p>
    <w:p>
      <w:pPr>
        <w:pStyle w:val="Heading2"/>
        <w:spacing w:after="120" w:before="340"/>
      </w:pPr>
      <w:r>
        <w:rPr>
          <w:rFonts w:ascii="Times New Roman" w:cs="Times New Roman" w:eastAsia="Times New Roman" w:hAnsi="Times New Roman"/>
          <w:b/>
          <w:bCs/>
          <w:color w:val="1B3A6B"/>
          <w:sz w:val="30"/>
          <w:szCs w:val="30"/>
        </w:rPr>
        <w:t xml:space="preserve">🔬 Théorie (20 %) — L'EM dans les comportements de santé</w:t>
      </w:r>
    </w:p>
    <w:p>
      <w:pPr>
        <w:pStyle w:val="Heading3"/>
        <w:spacing w:after="80" w:before="220"/>
      </w:pPr>
      <w:r>
        <w:rPr>
          <w:rFonts w:ascii="Times New Roman" w:cs="Times New Roman" w:eastAsia="Times New Roman" w:hAnsi="Times New Roman"/>
          <w:b/>
          <w:bCs/>
          <w:color w:val="1F2937"/>
          <w:sz w:val="26"/>
          <w:szCs w:val="26"/>
        </w:rPr>
        <w:t xml:space="preserve">1. Origines : l'EM est né dans le champ des addictions</w:t>
      </w:r>
    </w:p>
    <w:p>
      <w:pPr>
        <w:spacing w:after="80" w:before="80" w:line="320"/>
      </w:pPr>
      <w:r>
        <w:rPr>
          <w:rFonts w:ascii="Times New Roman" w:cs="Times New Roman" w:eastAsia="Times New Roman" w:hAnsi="Times New Roman"/>
          <w:b w:val="false"/>
          <w:bCs w:val="false"/>
          <w:i w:val="false"/>
          <w:iCs w:val="false"/>
          <w:color w:val="1F2937"/>
          <w:sz w:val="22"/>
          <w:szCs w:val="22"/>
        </w:rPr>
        <w:t xml:space="preserve">L'EM a été développé initialement pour l'accompagnement des personnes en difficulté avec l'alcool. Dès sa conception, il s'adressait à des situations où l'ambivalence est centrale : la personne veut et ne veut pas changer en même temps. Cette logique s'étend naturellement à toute conduite où un comportement apporte à la fois des bénéfices perçus et des coûts reconnus.</w:t>
      </w:r>
    </w:p>
    <w:p>
      <w:pPr>
        <w:spacing w:after="0" w:before="60"/>
      </w:pPr>
    </w:p>
    <w:p>
      <w:pPr>
        <w:pStyle w:val="Heading3"/>
        <w:spacing w:after="80" w:before="220"/>
      </w:pPr>
      <w:r>
        <w:rPr>
          <w:rFonts w:ascii="Times New Roman" w:cs="Times New Roman" w:eastAsia="Times New Roman" w:hAnsi="Times New Roman"/>
          <w:b/>
          <w:bCs/>
          <w:color w:val="1F2937"/>
          <w:sz w:val="26"/>
          <w:szCs w:val="26"/>
        </w:rPr>
        <w:t xml:space="preserve">2. Trois grands champs d'application</w:t>
      </w:r>
    </w:p>
    <w:p>
      <w:pPr>
        <w:spacing w:after="80" w:before="80" w:line="320"/>
      </w:pPr>
      <w:r>
        <w:rPr>
          <w:rFonts w:ascii="Times New Roman" w:cs="Times New Roman" w:eastAsia="Times New Roman" w:hAnsi="Times New Roman"/>
          <w:b/>
          <w:bCs/>
          <w:i w:val="false"/>
          <w:iCs w:val="false"/>
          <w:color w:val="1F2937"/>
          <w:sz w:val="22"/>
          <w:szCs w:val="22"/>
        </w:rPr>
        <w:t xml:space="preserve">A. Addictions</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Champ originel de l'EM : alcool, tabac, cannabis, médicaments détournés, substances psychotropes.</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L'ambivalence est au cœur de toute dépendance : continuer à consommer / vouloir arrêter. L'EM vise à faire pencher la balance vers le discours-changement sans forcer — en accord avec l'esprit PACE (Partenariat, Acceptation, Compassion, Évocation) vu en leçon 1.</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Selon la revue Wikipedia (Motivational Interviewing), les participants ayant bénéficié de l'EM dans un programme de sevrage à la cocaïne « ont augmenté leur recours aux stratégies comportementales d'adaptation » (Stotts, Schmitz, Rhoades &amp; Grabowski, 2001, cités dans Wikipedia Motivational Interviewing).</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La revue Cochrane (Foxcroft et al., 2016, citée dans Wikipedia Motivational Interviewing) a étudié la prévention de l'alcoolisme chez les jeunes adultes — l'EM apparaît parmi les approches étudiées.</w:t>
      </w:r>
    </w:p>
    <w:p>
      <w:pPr>
        <w:spacing w:after="0" w:before="80"/>
      </w:pPr>
    </w:p>
    <w:p>
      <w:pPr>
        <w:spacing w:after="80" w:before="80" w:line="320"/>
      </w:pPr>
      <w:r>
        <w:rPr>
          <w:rFonts w:ascii="Times New Roman" w:cs="Times New Roman" w:eastAsia="Times New Roman" w:hAnsi="Times New Roman"/>
          <w:b/>
          <w:bCs/>
          <w:i w:val="false"/>
          <w:iCs w:val="false"/>
          <w:color w:val="1F2937"/>
          <w:sz w:val="22"/>
          <w:szCs w:val="22"/>
        </w:rPr>
        <w:t xml:space="preserve">B. Observance médicamenteuse (adhérence thérapeutique)</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Particulièrement pertinent dans les pathologies chroniques : diabète, hypertension, VIH, troubles psychiatriques sévères, traitements au long cours.</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L'ambivalence à prendre ses médicaments est normale : effets secondaires, déni de la maladie, oubli intentionnel, sentiment de perte d'autonomie, coût financier.</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La Haute Autorité de Santé (has-sante.fr, page dédiée à l'EM) identifie explicitement l'« observance thérapeutique » comme une indication centrale de l'EM, au même titre que les pathologies chroniques nécessitant un changement comportemental (source : https://www.has-sante.fr/jcms/p_3501842/fr/).</w:t>
      </w:r>
    </w:p>
    <w:p>
      <w:pPr>
        <w:spacing w:after="0" w:before="80"/>
      </w:pPr>
    </w:p>
    <w:p>
      <w:pPr>
        <w:spacing w:after="80" w:before="80" w:line="320"/>
      </w:pPr>
      <w:r>
        <w:rPr>
          <w:rFonts w:ascii="Times New Roman" w:cs="Times New Roman" w:eastAsia="Times New Roman" w:hAnsi="Times New Roman"/>
          <w:b/>
          <w:bCs/>
          <w:i w:val="false"/>
          <w:iCs w:val="false"/>
          <w:color w:val="1F2937"/>
          <w:sz w:val="22"/>
          <w:szCs w:val="22"/>
        </w:rPr>
        <w:t xml:space="preserve">C. Hygiène de vie : alimentation, activité physique, sommeil</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L'EM est recommandé pour accompagner les changements d'habitudes de vie difficiles à initier et à maintenir : alimentation équilibrée, sédentarité, activité physique régulière, hygiène bucco-dentaire.</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Méta-analyse récente sur l'EM et l'activité physique (PMC11234249, 97 essais contrôlés randomisés, 27 811 participants) — résultats à court terme : +1 323 pas/jour (IC 95 % : 970–1 911), +95 minutes/semaine d'activité modérée-à-intense (IC 95 % : 40–150), -51 minutes/jour de temps sédentaire (IC 95 % : -90 à -12).</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Limite majeure documentée par cette même méta-analyse : « l'amplitude de l'effet a diminué au fil du temps, avec aucune preuve d'un bénéfice de l'EM au-delà d'un an. » Certitude de la preuve : basse à très basse (I² &gt; 88 %, 52 % des études à haut risque de biais).</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Application à la santé bucco-dentaire des enfants via EM parental : les enfants du groupe EM « ont présenté significativement moins de nouvelles caries » (Weinstein, Harrison &amp; Benton, 2006, cité dans Wikipedia Motivational Interviewing).</w:t>
      </w:r>
    </w:p>
    <w:p>
      <w:pPr>
        <w:spacing w:after="0" w:before="80"/>
      </w:pPr>
    </w:p>
    <w:p>
      <w:pPr>
        <w:pStyle w:val="Heading3"/>
        <w:spacing w:after="80" w:before="220"/>
      </w:pPr>
      <w:r>
        <w:rPr>
          <w:rFonts w:ascii="Times New Roman" w:cs="Times New Roman" w:eastAsia="Times New Roman" w:hAnsi="Times New Roman"/>
          <w:b/>
          <w:bCs/>
          <w:color w:val="1F2937"/>
          <w:sz w:val="26"/>
          <w:szCs w:val="26"/>
        </w:rPr>
        <w:t xml:space="preserve">3. Format selon le contexte</w:t>
      </w:r>
    </w:p>
    <w:p>
      <w:pPr>
        <w:spacing w:after="80" w:before="80" w:line="320"/>
      </w:pPr>
      <w:r>
        <w:rPr>
          <w:rFonts w:ascii="Times New Roman" w:cs="Times New Roman" w:eastAsia="Times New Roman" w:hAnsi="Times New Roman"/>
          <w:b w:val="false"/>
          <w:bCs w:val="false"/>
          <w:i w:val="false"/>
          <w:iCs w:val="false"/>
          <w:color w:val="1F2937"/>
          <w:sz w:val="22"/>
          <w:szCs w:val="22"/>
        </w:rPr>
        <w:t xml:space="preserve">La HAS distingue deux niveaux d'intervention (source : https://www.has-sante.fr/jcms/p_3501842/fr/)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Intervention motivationnelle brève : 5 à 20 minutes — utilisable de façon isolée lors d'une consultation ou d'un soin, par tout professionnel formé.</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Entretien motivationnel : 20 à 30 minutes — format récurrent pour accompagner la personne dans son processus de changement.</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Professionnels concernés selon la HAS : infirmiers, médecins, kinésithérapeutes, pharmaciens, diététiciens — et, en contexte social et médico-social, éducateurs spécialisés et travailleurs sociaux.</w:t>
      </w:r>
    </w:p>
    <w:p>
      <w:pPr>
        <w:spacing w:after="0" w:before="80"/>
      </w:pPr>
    </w:p>
    <w:p>
      <w:pPr>
        <w:pStyle w:val="Heading3"/>
        <w:spacing w:after="80" w:before="220"/>
      </w:pPr>
      <w:r>
        <w:rPr>
          <w:rFonts w:ascii="Times New Roman" w:cs="Times New Roman" w:eastAsia="Times New Roman" w:hAnsi="Times New Roman"/>
          <w:b/>
          <w:bCs/>
          <w:color w:val="1F2937"/>
          <w:sz w:val="26"/>
          <w:szCs w:val="26"/>
        </w:rPr>
        <w:t xml:space="preserve">4. Limites et points de vigilance</w:t>
      </w:r>
    </w:p>
    <w:p>
      <w:pPr>
        <w:pBdr>
          <w:left w:val="single" w:color="D97706" w:sz="12"/>
        </w:pBdr>
        <w:shd w:fill="FFF8E7" w:color="auto" w:val="clear"/>
        <w:spacing w:after="120" w:before="120" w:line="300"/>
        <w:ind w:left="431" w:right="431"/>
      </w:pPr>
      <w:r>
        <w:rPr>
          <w:rFonts w:ascii="Times New Roman" w:cs="Times New Roman" w:eastAsia="Times New Roman" w:hAnsi="Times New Roman"/>
          <w:color w:val="1F2937"/>
          <w:sz w:val="22"/>
          <w:szCs w:val="22"/>
        </w:rPr>
        <w:t xml:space="preserve">⚠️ Ce que l'EM n'est PAS dans ces contextes :
— Il n'est pas un outil de persuasion : l'autonomie de la personne prime toujours (esprit PACE, leçon 1).
— Il ne garantit pas le changement : c'est un levier, pas une recette.
— Les effets sont plus robustes à court terme (&lt;6 mois) qu'à long terme (au-delà d'un an, les méta-analyses disponibles ne montrent pas de bénéfice significatif isolable).
— La majorité des méta-analyses disponibles est de qualité modérée à faible (hétérogénéité élevée, biais de publication).</w:t>
      </w:r>
    </w:p>
    <w:p>
      <w:pPr>
        <w:pBdr>
          <w:bottom w:val="single" w:color="DDDDDD" w:sz="4"/>
        </w:pBdr>
        <w:spacing w:after="60" w:before="60"/>
      </w:pPr>
    </w:p>
    <w:p>
      <w:pPr>
        <w:pStyle w:val="Heading2"/>
        <w:spacing w:after="120" w:before="340"/>
      </w:pPr>
      <w:r>
        <w:rPr>
          <w:rFonts w:ascii="Times New Roman" w:cs="Times New Roman" w:eastAsia="Times New Roman" w:hAnsi="Times New Roman"/>
          <w:b/>
          <w:bCs/>
          <w:color w:val="1B3A6B"/>
          <w:sz w:val="30"/>
          <w:szCs w:val="30"/>
        </w:rPr>
        <w:t xml:space="preserve">🛠️ Pratique (80 %) — Trois exercices progressifs</w:t>
      </w:r>
    </w:p>
    <w:p>
      <w:pPr>
        <w:pStyle w:val="Heading3"/>
        <w:spacing w:after="80" w:before="220"/>
      </w:pPr>
      <w:r>
        <w:rPr>
          <w:rFonts w:ascii="Times New Roman" w:cs="Times New Roman" w:eastAsia="Times New Roman" w:hAnsi="Times New Roman"/>
          <w:b/>
          <w:bCs/>
          <w:color w:val="1F2937"/>
          <w:sz w:val="26"/>
          <w:szCs w:val="26"/>
        </w:rPr>
        <w:t xml:space="preserve">Exercice 1 — Cartographie personnelle des champs d'application</w:t>
      </w:r>
    </w:p>
    <w:p>
      <w:pPr>
        <w:spacing w:after="80" w:before="80" w:line="320"/>
      </w:pPr>
      <w:r>
        <w:rPr>
          <w:rFonts w:ascii="Times New Roman" w:cs="Times New Roman" w:eastAsia="Times New Roman" w:hAnsi="Times New Roman"/>
          <w:b w:val="false"/>
          <w:bCs w:val="false"/>
          <w:i/>
          <w:iCs/>
          <w:color w:val="1F2937"/>
          <w:sz w:val="22"/>
          <w:szCs w:val="22"/>
        </w:rPr>
        <w:t xml:space="preserve">Contexte : avant d'appliquer l'EM, il s'agit de repérer où il est pertinent.</w:t>
      </w:r>
    </w:p>
    <w:p>
      <w:pPr>
        <w:spacing w:after="0" w:before="40"/>
      </w:pPr>
    </w:p>
    <w:p>
      <w:pPr>
        <w:spacing w:after="80" w:before="80" w:line="320"/>
      </w:pPr>
      <w:r>
        <w:rPr>
          <w:rFonts w:ascii="Times New Roman" w:cs="Times New Roman" w:eastAsia="Times New Roman" w:hAnsi="Times New Roman"/>
          <w:b/>
          <w:bCs/>
          <w:i w:val="false"/>
          <w:iCs w:val="false"/>
          <w:color w:val="1F2937"/>
          <w:sz w:val="22"/>
          <w:szCs w:val="22"/>
        </w:rPr>
        <w:t xml:space="preserve">Consigne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Pense à 3 situations de ta pratique (professionnelle ou personnelle) où un comportement de santé était en jeu.</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Pour chacune, remplis mentalement (ou par écrit) ce tableau :</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Situation</w:t>
            </w:r>
          </w:p>
        </w:tc>
        <w:tc>
          <w:tcPr>
            <w:shd w:fill="1B3A6B" w:val="clear"/>
          </w:tcPr>
          <w:p>
            <w:r>
              <w:rPr>
                <w:rFonts w:ascii="Times New Roman" w:cs="Times New Roman" w:eastAsia="Times New Roman" w:hAnsi="Times New Roman"/>
                <w:b/>
                <w:bCs/>
                <w:color w:val="FFFFFF"/>
                <w:sz w:val="20"/>
                <w:szCs w:val="20"/>
              </w:rPr>
              <w:t xml:space="preserve">Champ (addiction / observance / hygiène)</w:t>
            </w:r>
          </w:p>
        </w:tc>
        <w:tc>
          <w:tcPr>
            <w:shd w:fill="1B3A6B" w:val="clear"/>
          </w:tcPr>
          <w:p>
            <w:r>
              <w:rPr>
                <w:rFonts w:ascii="Times New Roman" w:cs="Times New Roman" w:eastAsia="Times New Roman" w:hAnsi="Times New Roman"/>
                <w:b/>
                <w:bCs/>
                <w:color w:val="FFFFFF"/>
                <w:sz w:val="20"/>
                <w:szCs w:val="20"/>
              </w:rPr>
              <w:t xml:space="preserve">L'EM bref ou l'EM complet ?</w:t>
            </w:r>
          </w:p>
        </w:tc>
        <w:tc>
          <w:tcPr>
            <w:shd w:fill="1B3A6B" w:val="clear"/>
          </w:tcPr>
          <w:p>
            <w:r>
              <w:rPr>
                <w:rFonts w:ascii="Times New Roman" w:cs="Times New Roman" w:eastAsia="Times New Roman" w:hAnsi="Times New Roman"/>
                <w:b/>
                <w:bCs/>
                <w:color w:val="FFFFFF"/>
                <w:sz w:val="20"/>
                <w:szCs w:val="20"/>
              </w:rPr>
              <w:t xml:space="preserve">Ambivalence identifiée ?</w:t>
            </w:r>
          </w:p>
        </w:tc>
      </w:tr>
      <w:tr>
        <w:tc>
          <w:tcPr>
            <w:shd w:fill="FFFFFF" w:val="clear"/>
          </w:tcPr>
          <w:p>
            <w:r>
              <w:rPr>
                <w:rFonts w:ascii="Times New Roman" w:cs="Times New Roman" w:eastAsia="Times New Roman" w:hAnsi="Times New Roman"/>
                <w:sz w:val="20"/>
                <w:szCs w:val="20"/>
              </w:rPr>
              <w:t xml:space="preserve">Situation 1</w:t>
            </w:r>
          </w:p>
        </w:tc>
        <w:tc>
          <w:tcPr>
            <w:shd w:fill="FFFFFF" w:val="clear"/>
          </w:tcPr>
          <w:p>
            <w:r>
              <w:rPr>
                <w:sz w:val="20"/>
                <w:szCs w:val="20"/>
              </w:rPr>
              <w:t xml:space="preserve"/>
            </w:r>
          </w:p>
        </w:tc>
        <w:tc>
          <w:tcPr>
            <w:shd w:fill="FFFFFF" w:val="clear"/>
          </w:tcPr>
          <w:p>
            <w:r>
              <w:rPr>
                <w:sz w:val="20"/>
                <w:szCs w:val="20"/>
              </w:rPr>
              <w:t xml:space="preserve"/>
            </w:r>
          </w:p>
        </w:tc>
        <w:tc>
          <w:tcPr>
            <w:shd w:fill="FFFFFF" w:val="clear"/>
          </w:tcPr>
          <w:p>
            <w:r>
              <w:rPr>
                <w:sz w:val="20"/>
                <w:szCs w:val="20"/>
              </w:rPr>
              <w:t xml:space="preserve"/>
            </w:r>
          </w:p>
        </w:tc>
      </w:tr>
      <w:tr>
        <w:tc>
          <w:tcPr>
            <w:shd w:fill="EEF2F7" w:val="clear"/>
          </w:tcPr>
          <w:p>
            <w:r>
              <w:rPr>
                <w:rFonts w:ascii="Times New Roman" w:cs="Times New Roman" w:eastAsia="Times New Roman" w:hAnsi="Times New Roman"/>
                <w:sz w:val="20"/>
                <w:szCs w:val="20"/>
              </w:rPr>
              <w:t xml:space="preserve">Situation 2</w:t>
            </w:r>
          </w:p>
        </w:tc>
        <w:tc>
          <w:tcPr>
            <w:shd w:fill="EEF2F7" w:val="clear"/>
          </w:tcPr>
          <w:p>
            <w:r>
              <w:rPr>
                <w:sz w:val="20"/>
                <w:szCs w:val="20"/>
              </w:rPr>
              <w:t xml:space="preserve"/>
            </w:r>
          </w:p>
        </w:tc>
        <w:tc>
          <w:tcPr>
            <w:shd w:fill="EEF2F7" w:val="clear"/>
          </w:tcPr>
          <w:p>
            <w:r>
              <w:rPr>
                <w:sz w:val="20"/>
                <w:szCs w:val="20"/>
              </w:rPr>
              <w:t xml:space="preserve"/>
            </w:r>
          </w:p>
        </w:tc>
        <w:tc>
          <w:tcPr>
            <w:shd w:fill="EEF2F7" w:val="clear"/>
          </w:tcPr>
          <w:p>
            <w:r>
              <w:rPr>
                <w:sz w:val="20"/>
                <w:szCs w:val="20"/>
              </w:rPr>
              <w:t xml:space="preserve"/>
            </w:r>
          </w:p>
        </w:tc>
      </w:tr>
      <w:tr>
        <w:tc>
          <w:tcPr>
            <w:shd w:fill="FFFFFF" w:val="clear"/>
          </w:tcPr>
          <w:p>
            <w:r>
              <w:rPr>
                <w:rFonts w:ascii="Times New Roman" w:cs="Times New Roman" w:eastAsia="Times New Roman" w:hAnsi="Times New Roman"/>
                <w:sz w:val="20"/>
                <w:szCs w:val="20"/>
              </w:rPr>
              <w:t xml:space="preserve">Situation 3</w:t>
            </w:r>
          </w:p>
        </w:tc>
        <w:tc>
          <w:tcPr>
            <w:shd w:fill="FFFFFF" w:val="clear"/>
          </w:tcPr>
          <w:p>
            <w:r>
              <w:rPr>
                <w:sz w:val="20"/>
                <w:szCs w:val="20"/>
              </w:rPr>
              <w:t xml:space="preserve"/>
            </w:r>
          </w:p>
        </w:tc>
        <w:tc>
          <w:tcPr>
            <w:shd w:fill="FFFFFF" w:val="clear"/>
          </w:tcPr>
          <w:p>
            <w:r>
              <w:rPr>
                <w:sz w:val="20"/>
                <w:szCs w:val="20"/>
              </w:rPr>
              <w:t xml:space="preserve"/>
            </w:r>
          </w:p>
        </w:tc>
        <w:tc>
          <w:tcPr>
            <w:shd w:fill="FFFFFF" w:val="clear"/>
          </w:tcPr>
          <w:p>
            <w:r>
              <w:rPr>
                <w:sz w:val="20"/>
                <w:szCs w:val="20"/>
              </w:rPr>
              <w:t xml:space="preserve"/>
            </w:r>
          </w:p>
        </w:tc>
      </w:tr>
    </w:tbl>
    <w:p>
      <w:pPr>
        <w:spacing w:after="0" w:before="80"/>
      </w:pPr>
    </w:p>
    <w:p>
      <w:pPr>
        <w:spacing w:after="80" w:before="80" w:line="320"/>
      </w:pPr>
      <w:r>
        <w:rPr>
          <w:rFonts w:ascii="Times New Roman" w:cs="Times New Roman" w:eastAsia="Times New Roman" w:hAnsi="Times New Roman"/>
          <w:b/>
          <w:bCs/>
          <w:i w:val="false"/>
          <w:iCs w:val="false"/>
          <w:color w:val="1F2937"/>
          <w:sz w:val="22"/>
          <w:szCs w:val="22"/>
        </w:rPr>
        <w:t xml:space="preserve">Réflexion guidée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Dans laquelle de ces situations te sentirais-tu le moins à l'aise pour utiliser l'EM ? Pourquoi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Dans laquelle l'EM bref (5-20 min) serait-il réaliste dans ton quotidien professionnel ?</w:t>
      </w:r>
    </w:p>
    <w:p>
      <w:pPr>
        <w:pBdr>
          <w:bottom w:val="single" w:color="DDDDDD" w:sz="4"/>
        </w:pBdr>
        <w:spacing w:after="60" w:before="60"/>
      </w:pPr>
    </w:p>
    <w:p>
      <w:pPr>
        <w:pStyle w:val="Heading3"/>
        <w:spacing w:after="80" w:before="220"/>
      </w:pPr>
      <w:r>
        <w:rPr>
          <w:rFonts w:ascii="Times New Roman" w:cs="Times New Roman" w:eastAsia="Times New Roman" w:hAnsi="Times New Roman"/>
          <w:b/>
          <w:bCs/>
          <w:color w:val="1F2937"/>
          <w:sz w:val="26"/>
          <w:szCs w:val="26"/>
        </w:rPr>
        <w:t xml:space="preserve">Exercice 2 — Jeu de rôle écrit : EM et observance médicamenteuse</w:t>
      </w:r>
    </w:p>
    <w:p>
      <w:pPr>
        <w:spacing w:after="80" w:before="80" w:line="320"/>
      </w:pPr>
      <w:r>
        <w:rPr>
          <w:rFonts w:ascii="Times New Roman" w:cs="Times New Roman" w:eastAsia="Times New Roman" w:hAnsi="Times New Roman"/>
          <w:b w:val="false"/>
          <w:bCs w:val="false"/>
          <w:i/>
          <w:iCs/>
          <w:color w:val="1F2937"/>
          <w:sz w:val="22"/>
          <w:szCs w:val="22"/>
        </w:rPr>
        <w:t xml:space="preserve">Contexte : Mathieu, 42 ans, est accompagné en foyer d'hébergement. Il présente un trouble psychotique stabilisé depuis 3 ans. Depuis 2 semaines, il dit à l'éducatrice référente qu'il a arrêté de prendre son traitement « parce que ça m'endort trop et je ne suis plus moi-même ». Il refuse catégoriquement d'en parler avec le psychiatre.</w:t>
      </w:r>
    </w:p>
    <w:p>
      <w:pPr>
        <w:spacing w:after="0" w:before="40"/>
      </w:pPr>
    </w:p>
    <w:p>
      <w:pPr>
        <w:spacing w:after="80" w:before="80" w:line="320"/>
      </w:pPr>
      <w:r>
        <w:rPr>
          <w:rFonts w:ascii="Times New Roman" w:cs="Times New Roman" w:eastAsia="Times New Roman" w:hAnsi="Times New Roman"/>
          <w:b/>
          <w:bCs/>
          <w:i w:val="false"/>
          <w:iCs w:val="false"/>
          <w:color w:val="1F2937"/>
          <w:sz w:val="22"/>
          <w:szCs w:val="22"/>
        </w:rPr>
        <w:t xml:space="preserve">Phase 1 — Engager (3 minutes)</w:t>
      </w:r>
    </w:p>
    <w:p>
      <w:pPr>
        <w:spacing w:after="80" w:before="80" w:line="320"/>
      </w:pPr>
      <w:r>
        <w:rPr>
          <w:rFonts w:ascii="Times New Roman" w:cs="Times New Roman" w:eastAsia="Times New Roman" w:hAnsi="Times New Roman"/>
          <w:b w:val="false"/>
          <w:bCs w:val="false"/>
          <w:i w:val="false"/>
          <w:iCs w:val="false"/>
          <w:color w:val="1F2937"/>
          <w:sz w:val="22"/>
          <w:szCs w:val="22"/>
        </w:rPr>
        <w:t xml:space="preserve">Écris deux répliques d'ouverture qui montrent l'esprit PACE (sans aborder le traitement directement)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Réplique 1 : _______________________________________________</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Réplique 2 : _______________________________________________</w:t>
      </w:r>
    </w:p>
    <w:p>
      <w:pPr>
        <w:spacing w:after="0" w:before="60"/>
      </w:pPr>
    </w:p>
    <w:p>
      <w:pPr>
        <w:spacing w:after="80" w:before="80" w:line="320"/>
      </w:pPr>
      <w:r>
        <w:rPr>
          <w:rFonts w:ascii="Times New Roman" w:cs="Times New Roman" w:eastAsia="Times New Roman" w:hAnsi="Times New Roman"/>
          <w:b/>
          <w:bCs/>
          <w:i w:val="false"/>
          <w:iCs w:val="false"/>
          <w:color w:val="1F2937"/>
          <w:sz w:val="22"/>
          <w:szCs w:val="22"/>
        </w:rPr>
        <w:t xml:space="preserve">Phase 2 — Explorer l'ambivalence</w:t>
      </w:r>
    </w:p>
    <w:p>
      <w:pPr>
        <w:spacing w:after="80" w:before="80" w:line="320"/>
      </w:pPr>
      <w:r>
        <w:rPr>
          <w:rFonts w:ascii="Times New Roman" w:cs="Times New Roman" w:eastAsia="Times New Roman" w:hAnsi="Times New Roman"/>
          <w:b w:val="false"/>
          <w:bCs w:val="false"/>
          <w:i w:val="false"/>
          <w:iCs w:val="false"/>
          <w:color w:val="1F2937"/>
          <w:sz w:val="22"/>
          <w:szCs w:val="22"/>
        </w:rPr>
        <w:t xml:space="preserve">Mathieu dit : « De toute façon je sais ce qui est bon pour moi, j'ai pas besoin des médocs. »</w:t>
      </w:r>
    </w:p>
    <w:p>
      <w:pPr>
        <w:spacing w:after="80" w:before="80" w:line="320"/>
      </w:pPr>
      <w:r>
        <w:rPr>
          <w:rFonts w:ascii="Times New Roman" w:cs="Times New Roman" w:eastAsia="Times New Roman" w:hAnsi="Times New Roman"/>
          <w:b w:val="false"/>
          <w:bCs w:val="false"/>
          <w:i w:val="false"/>
          <w:iCs w:val="false"/>
          <w:color w:val="1F2937"/>
          <w:sz w:val="22"/>
          <w:szCs w:val="22"/>
        </w:rPr>
        <w:t xml:space="preserve">Formule un reflet complexe (inférence sur l'émotion ou la valeur sous-jacente) qui encourage le discours-changement sans argumenter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Ton reflet complexe : _______________________________________________</w:t>
      </w:r>
    </w:p>
    <w:p>
      <w:pPr>
        <w:spacing w:after="0" w:before="60"/>
      </w:pPr>
    </w:p>
    <w:p>
      <w:pPr>
        <w:spacing w:after="80" w:before="80" w:line="320"/>
      </w:pPr>
      <w:r>
        <w:rPr>
          <w:rFonts w:ascii="Times New Roman" w:cs="Times New Roman" w:eastAsia="Times New Roman" w:hAnsi="Times New Roman"/>
          <w:b/>
          <w:bCs/>
          <w:i w:val="false"/>
          <w:iCs w:val="false"/>
          <w:color w:val="1F2937"/>
          <w:sz w:val="22"/>
          <w:szCs w:val="22"/>
        </w:rPr>
        <w:t xml:space="preserve">Phase 3 — Valoriser et evoquer</w:t>
      </w:r>
    </w:p>
    <w:p>
      <w:pPr>
        <w:spacing w:after="80" w:before="80" w:line="320"/>
      </w:pPr>
      <w:r>
        <w:rPr>
          <w:rFonts w:ascii="Times New Roman" w:cs="Times New Roman" w:eastAsia="Times New Roman" w:hAnsi="Times New Roman"/>
          <w:b w:val="false"/>
          <w:bCs w:val="false"/>
          <w:i w:val="false"/>
          <w:iCs w:val="false"/>
          <w:color w:val="1F2937"/>
          <w:sz w:val="22"/>
          <w:szCs w:val="22"/>
        </w:rPr>
        <w:t xml:space="preserve">Mathieu ajoute : « Bon, c'est vrai que quand je prenais les médocs, je dormais mieux la nuit. Mais le jour j'étais un zombie. »</w:t>
      </w:r>
    </w:p>
    <w:p>
      <w:pPr>
        <w:spacing w:after="80" w:before="80" w:line="320"/>
      </w:pPr>
      <w:r>
        <w:rPr>
          <w:rFonts w:ascii="Times New Roman" w:cs="Times New Roman" w:eastAsia="Times New Roman" w:hAnsi="Times New Roman"/>
          <w:b w:val="false"/>
          <w:bCs w:val="false"/>
          <w:i w:val="false"/>
          <w:iCs w:val="false"/>
          <w:color w:val="1F2937"/>
          <w:sz w:val="22"/>
          <w:szCs w:val="22"/>
        </w:rPr>
        <w:t xml:space="preserve">Identifie le type de discours-changement (DARN-CAT) présent et formule une question ouverte pour l'amplifier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Type DARN-CAT : _______________</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Ta question ouverte : _______________________________________________</w:t>
      </w:r>
    </w:p>
    <w:p>
      <w:pPr>
        <w:spacing w:after="0" w:before="80"/>
      </w:pPr>
    </w:p>
    <w:p>
      <w:pPr>
        <w:spacing w:after="80" w:before="80" w:line="320"/>
      </w:pPr>
      <w:r>
        <w:rPr>
          <w:rFonts w:ascii="Times New Roman" w:cs="Times New Roman" w:eastAsia="Times New Roman" w:hAnsi="Times New Roman"/>
          <w:b/>
          <w:bCs/>
          <w:i w:val="false"/>
          <w:iCs w:val="false"/>
          <w:color w:val="1F2937"/>
          <w:sz w:val="22"/>
          <w:szCs w:val="22"/>
        </w:rPr>
        <w:t xml:space="preserve">Corrigé commenté :</w:t>
      </w:r>
    </w:p>
    <w:p>
      <w:pPr>
        <w:pBdr>
          <w:left w:val="single" w:color="1B3A6B" w:sz="12"/>
        </w:pBdr>
        <w:shd w:fill="EEF2F7" w:color="auto" w:val="clear"/>
        <w:spacing w:after="120" w:before="120" w:line="300"/>
        <w:ind w:left="576" w:right="576"/>
      </w:pPr>
      <w:r>
        <w:rPr>
          <w:rFonts w:ascii="Times New Roman" w:cs="Times New Roman" w:eastAsia="Times New Roman" w:hAnsi="Times New Roman"/>
          <w:i/>
          <w:iCs/>
          <w:color w:val="1F2937"/>
          <w:sz w:val="22"/>
          <w:szCs w:val="22"/>
        </w:rPr>
        <w:t xml:space="preserve">Phase 1 — Deux exemples conformes à l'esprit PACE (non prescrits) :
• « Mathieu, j'aimerais qu'on prenne le temps de parler de comment tu te sens en ce moment, si tu veux bien. »
• « Je suis là, sans agenda particulier. Qu'est-ce qui se passe pour toi ces derniers temps ? »
Ce qui les rend conformes : partenariat (on discute ensemble), acceptation (sans jugement), aucune mention du traitement — la personne n'est pas d'emblée mise en position de défendre son choix.</w:t>
      </w:r>
    </w:p>
    <w:p>
      <w:pPr>
        <w:pBdr>
          <w:left w:val="single" w:color="1B3A6B" w:sz="12"/>
        </w:pBdr>
        <w:shd w:fill="EEF2F7" w:color="auto" w:val="clear"/>
        <w:spacing w:after="120" w:before="120" w:line="300"/>
        <w:ind w:left="576" w:right="576"/>
      </w:pPr>
      <w:r>
        <w:rPr>
          <w:rFonts w:ascii="Times New Roman" w:cs="Times New Roman" w:eastAsia="Times New Roman" w:hAnsi="Times New Roman"/>
          <w:i/>
          <w:iCs/>
          <w:color w:val="1F2937"/>
          <w:sz w:val="22"/>
          <w:szCs w:val="22"/>
        </w:rPr>
        <w:t xml:space="preserve">Phase 2 — Reflet complexe :
« Tu tiens à garder le contrôle de qui tu es — ça compte vraiment pour toi. »
Justification : Mathieu exprime « je ne suis plus moi-même » — la valeur sous-jacente est l'identité et l'autonomie. Le reflet nomme cette valeur sans argumenter, ce qui invite la personne à s'explorer plutôt qu'à défendre.
⚠️ À éviter : « Mais sans traitement vous risquez une rechute. » = réflexe correcteur (leçon 2).</w:t>
      </w:r>
    </w:p>
    <w:p>
      <w:pPr>
        <w:pBdr>
          <w:left w:val="single" w:color="1B3A6B" w:sz="12"/>
        </w:pBdr>
        <w:shd w:fill="EEF2F7" w:color="auto" w:val="clear"/>
        <w:spacing w:after="120" w:before="120" w:line="300"/>
        <w:ind w:left="576" w:right="576"/>
      </w:pPr>
      <w:r>
        <w:rPr>
          <w:rFonts w:ascii="Times New Roman" w:cs="Times New Roman" w:eastAsia="Times New Roman" w:hAnsi="Times New Roman"/>
          <w:i/>
          <w:iCs/>
          <w:color w:val="1F2937"/>
          <w:sz w:val="22"/>
          <w:szCs w:val="22"/>
        </w:rPr>
        <w:t xml:space="preserve">Phase 3 — DARN-CAT et question ouverte :
Type DARN-CAT : D (Désir) — « je dormais mieux la nuit » exprime un bénéfice perçu du changement passé, soit une Raison de changer (R).
Question ouverte : « Qu'est-ce que ça vous apportait, le fait de bien dormir ? »
Justification : la question amplifie le discours-changement en faisant décrire par Mathieu lui-même les bénéfices qu'il a vécus — sans que le praticien ne les impose. C'est l'évocation (leçon 3).</w:t>
      </w:r>
    </w:p>
    <w:p>
      <w:pPr>
        <w:pBdr>
          <w:bottom w:val="single" w:color="DDDDDD" w:sz="4"/>
        </w:pBdr>
        <w:spacing w:after="60" w:before="60"/>
      </w:pPr>
    </w:p>
    <w:p>
      <w:pPr>
        <w:pStyle w:val="Heading3"/>
        <w:spacing w:after="80" w:before="220"/>
      </w:pPr>
      <w:r>
        <w:rPr>
          <w:rFonts w:ascii="Times New Roman" w:cs="Times New Roman" w:eastAsia="Times New Roman" w:hAnsi="Times New Roman"/>
          <w:b/>
          <w:bCs/>
          <w:color w:val="1F2937"/>
          <w:sz w:val="26"/>
          <w:szCs w:val="26"/>
        </w:rPr>
        <w:t xml:space="preserve">Exercice 3 — Analyse de verbatims : identifier le stade et choisir la posture EM</w:t>
      </w:r>
    </w:p>
    <w:p>
      <w:pPr>
        <w:spacing w:after="80" w:before="80" w:line="320"/>
      </w:pPr>
      <w:r>
        <w:rPr>
          <w:rFonts w:ascii="Times New Roman" w:cs="Times New Roman" w:eastAsia="Times New Roman" w:hAnsi="Times New Roman"/>
          <w:b w:val="false"/>
          <w:bCs w:val="false"/>
          <w:i/>
          <w:iCs/>
          <w:color w:val="1F2937"/>
          <w:sz w:val="22"/>
          <w:szCs w:val="22"/>
        </w:rPr>
        <w:t xml:space="preserve">Pour chacun des verbatims suivants, identifie : (a) le champ (addiction / observance / hygiène de vie), (b) le niveau d'ambivalence apparent, (c) la réponse EM la plus appropriée parmi : reflet simple, reflet complexe, question ouverte, valorisation, résumé.</w:t>
      </w:r>
    </w:p>
    <w:p>
      <w:pPr>
        <w:spacing w:after="0" w:before="40"/>
      </w:pPr>
    </w:p>
    <w:p>
      <w:pPr>
        <w:spacing w:after="80" w:before="80" w:line="320"/>
      </w:pPr>
      <w:r>
        <w:rPr>
          <w:rFonts w:ascii="Times New Roman" w:cs="Times New Roman" w:eastAsia="Times New Roman" w:hAnsi="Times New Roman"/>
          <w:b/>
          <w:bCs/>
          <w:i w:val="false"/>
          <w:iCs w:val="false"/>
          <w:color w:val="1F2937"/>
          <w:sz w:val="22"/>
          <w:szCs w:val="22"/>
        </w:rPr>
        <w:t xml:space="preserve">Verbatim A :</w:t>
      </w:r>
    </w:p>
    <w:p>
      <w:pPr>
        <w:pBdr>
          <w:left w:val="single" w:color="1B3A6B" w:sz="12"/>
        </w:pBdr>
        <w:shd w:fill="EEF2F7" w:color="auto" w:val="clear"/>
        <w:spacing w:after="120" w:before="120" w:line="300"/>
        <w:ind w:left="576" w:right="576"/>
      </w:pPr>
      <w:r>
        <w:rPr>
          <w:rFonts w:ascii="Times New Roman" w:cs="Times New Roman" w:eastAsia="Times New Roman" w:hAnsi="Times New Roman"/>
          <w:i/>
          <w:iCs/>
          <w:color w:val="1F2937"/>
          <w:sz w:val="22"/>
          <w:szCs w:val="22"/>
        </w:rPr>
        <w:t xml:space="preserve">« Je bois un verre de vin le soir, c'est le seul moment à moi. Je sais que ça fait partie des choses à surveiller avec mon diabète, mais bon.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(a) Champ : _______________</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(b) Niveau d'ambivalence : _______________</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(c) Réponse EM : _______________________________________________</w:t>
      </w:r>
    </w:p>
    <w:p>
      <w:pPr>
        <w:spacing w:after="0" w:before="60"/>
      </w:pPr>
    </w:p>
    <w:p>
      <w:pPr>
        <w:spacing w:after="80" w:before="80" w:line="320"/>
      </w:pPr>
      <w:r>
        <w:rPr>
          <w:rFonts w:ascii="Times New Roman" w:cs="Times New Roman" w:eastAsia="Times New Roman" w:hAnsi="Times New Roman"/>
          <w:b/>
          <w:bCs/>
          <w:i w:val="false"/>
          <w:iCs w:val="false"/>
          <w:color w:val="1F2937"/>
          <w:sz w:val="22"/>
          <w:szCs w:val="22"/>
        </w:rPr>
        <w:t xml:space="preserve">Verbatim B :</w:t>
      </w:r>
    </w:p>
    <w:p>
      <w:pPr>
        <w:pBdr>
          <w:left w:val="single" w:color="1B3A6B" w:sz="12"/>
        </w:pBdr>
        <w:shd w:fill="EEF2F7" w:color="auto" w:val="clear"/>
        <w:spacing w:after="120" w:before="120" w:line="300"/>
        <w:ind w:left="576" w:right="576"/>
      </w:pPr>
      <w:r>
        <w:rPr>
          <w:rFonts w:ascii="Times New Roman" w:cs="Times New Roman" w:eastAsia="Times New Roman" w:hAnsi="Times New Roman"/>
          <w:i/>
          <w:iCs/>
          <w:color w:val="1F2937"/>
          <w:sz w:val="22"/>
          <w:szCs w:val="22"/>
        </w:rPr>
        <w:t xml:space="preserve">« Je fume depuis 25 ans. Mes enfants me bassinent pour que j'arrête. Moi je veux bien essayer un jour, mais pas maintenant.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(a) Champ : _______________</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(b) Niveau d'ambivalence : _______________</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(c) Réponse EM : _______________________________________________</w:t>
      </w:r>
    </w:p>
    <w:p>
      <w:pPr>
        <w:spacing w:after="0" w:before="60"/>
      </w:pPr>
    </w:p>
    <w:p>
      <w:pPr>
        <w:spacing w:after="80" w:before="80" w:line="320"/>
      </w:pPr>
      <w:r>
        <w:rPr>
          <w:rFonts w:ascii="Times New Roman" w:cs="Times New Roman" w:eastAsia="Times New Roman" w:hAnsi="Times New Roman"/>
          <w:b/>
          <w:bCs/>
          <w:i w:val="false"/>
          <w:iCs w:val="false"/>
          <w:color w:val="1F2937"/>
          <w:sz w:val="22"/>
          <w:szCs w:val="22"/>
        </w:rPr>
        <w:t xml:space="preserve">Verbatim C :</w:t>
      </w:r>
    </w:p>
    <w:p>
      <w:pPr>
        <w:pBdr>
          <w:left w:val="single" w:color="1B3A6B" w:sz="12"/>
        </w:pBdr>
        <w:shd w:fill="EEF2F7" w:color="auto" w:val="clear"/>
        <w:spacing w:after="120" w:before="120" w:line="300"/>
        <w:ind w:left="576" w:right="576"/>
      </w:pPr>
      <w:r>
        <w:rPr>
          <w:rFonts w:ascii="Times New Roman" w:cs="Times New Roman" w:eastAsia="Times New Roman" w:hAnsi="Times New Roman"/>
          <w:i/>
          <w:iCs/>
          <w:color w:val="1F2937"/>
          <w:sz w:val="22"/>
          <w:szCs w:val="22"/>
        </w:rPr>
        <w:t xml:space="preserve">« Le médecin m'a dit de marcher 30 minutes par jour. Je vois pas comment, je rentre épuisé du travail. Mais des fois j'aimerais avoir plus d'énergie.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(a) Champ : _______________</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(b) Niveau d'ambivalence : _______________</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(c) Réponse EM : _______________________________________________</w:t>
      </w:r>
    </w:p>
    <w:p>
      <w:pPr>
        <w:spacing w:after="0" w:before="80"/>
      </w:pPr>
    </w:p>
    <w:p>
      <w:pPr>
        <w:spacing w:after="80" w:before="80" w:line="320"/>
      </w:pPr>
      <w:r>
        <w:rPr>
          <w:rFonts w:ascii="Times New Roman" w:cs="Times New Roman" w:eastAsia="Times New Roman" w:hAnsi="Times New Roman"/>
          <w:b/>
          <w:bCs/>
          <w:i w:val="false"/>
          <w:iCs w:val="false"/>
          <w:color w:val="1F2937"/>
          <w:sz w:val="22"/>
          <w:szCs w:val="22"/>
        </w:rPr>
        <w:t xml:space="preserve">Corrigé commenté :</w:t>
      </w:r>
    </w:p>
    <w:p>
      <w:pPr>
        <w:pBdr>
          <w:left w:val="single" w:color="1B3A6B" w:sz="12"/>
        </w:pBdr>
        <w:shd w:fill="EEF2F7" w:color="auto" w:val="clear"/>
        <w:spacing w:after="120" w:before="120" w:line="300"/>
        <w:ind w:left="576" w:right="576"/>
      </w:pPr>
      <w:r>
        <w:rPr>
          <w:rFonts w:ascii="Times New Roman" w:cs="Times New Roman" w:eastAsia="Times New Roman" w:hAnsi="Times New Roman"/>
          <w:i/>
          <w:iCs/>
          <w:color w:val="1F2937"/>
          <w:sz w:val="22"/>
          <w:szCs w:val="22"/>
        </w:rPr>
        <w:t xml:space="preserve">Verbatim A :
(a) Observance / hygiène de vie (alimentation et alcool avec enjeu médical)
(b) Ambivalence modérée : la personne reconnaît l'enjeu (« je sais ») tout en le minimisant (« mais bon »)
(c) Reflet complexe : « Le soir, c'est votre espace de soufflement — et en même temps vous sentez que ça mérite attention. »
→ Le reflet nomme la valeur (temps pour soi) ET le côté ambivalent sans le forcer.</w:t>
      </w:r>
    </w:p>
    <w:p>
      <w:pPr>
        <w:pBdr>
          <w:left w:val="single" w:color="1B3A6B" w:sz="12"/>
        </w:pBdr>
        <w:shd w:fill="EEF2F7" w:color="auto" w:val="clear"/>
        <w:spacing w:after="120" w:before="120" w:line="300"/>
        <w:ind w:left="576" w:right="576"/>
      </w:pPr>
      <w:r>
        <w:rPr>
          <w:rFonts w:ascii="Times New Roman" w:cs="Times New Roman" w:eastAsia="Times New Roman" w:hAnsi="Times New Roman"/>
          <w:i/>
          <w:iCs/>
          <w:color w:val="1F2937"/>
          <w:sz w:val="22"/>
          <w:szCs w:val="22"/>
        </w:rPr>
        <w:t xml:space="preserve">Verbatim B :
(a) Addiction (tabac)
(b) Ambivalence faible à ce stade : la motivation externe (enfants) domine, la motivation interne est absente (« pas maintenant »)
(c) Valorisation + question ouverte sur les valeurs propres : « Vous n'êtes pas du genre à changer par pression extérieure. Qu'est-ce qui pourrait venir de vous, si un jour la décision se prenait ? »
→ Évite le piège de plaider pour l'arrêt (réflexe correcteur) et soutient l'autonomie.</w:t>
      </w:r>
    </w:p>
    <w:p>
      <w:pPr>
        <w:pBdr>
          <w:left w:val="single" w:color="1B3A6B" w:sz="12"/>
        </w:pBdr>
        <w:shd w:fill="EEF2F7" w:color="auto" w:val="clear"/>
        <w:spacing w:after="120" w:before="120" w:line="300"/>
        <w:ind w:left="576" w:right="576"/>
      </w:pPr>
      <w:r>
        <w:rPr>
          <w:rFonts w:ascii="Times New Roman" w:cs="Times New Roman" w:eastAsia="Times New Roman" w:hAnsi="Times New Roman"/>
          <w:i/>
          <w:iCs/>
          <w:color w:val="1F2937"/>
          <w:sz w:val="22"/>
          <w:szCs w:val="22"/>
        </w:rPr>
        <w:t xml:space="preserve">Verbatim C :
(a) Hygiène de vie (activité physique)
(b) Ambivalence marquée : obstacle concret exprimé ET désir formulé (« j'aimerais avoir plus d'énergie »)
(c) Reflet double : « D'un côté la fatigue du travail rend ça difficile, de l'autre cette idée d'avoir plus d'énergie vous tient à cœur. »
→ Le reflet double (leçon 8) pose les deux pôles de l'ambivalence et invite la personne à se positionner — sans que le praticien choisisse à sa place.</w:t>
      </w:r>
    </w:p>
    <w:p>
      <w:pPr>
        <w:pBdr>
          <w:bottom w:val="single" w:color="DDDDDD" w:sz="4"/>
        </w:pBdr>
        <w:spacing w:after="60" w:before="60"/>
      </w:pPr>
    </w:p>
    <w:p>
      <w:pPr>
        <w:pStyle w:val="Heading2"/>
        <w:spacing w:after="120" w:before="340"/>
      </w:pPr>
      <w:r>
        <w:rPr>
          <w:rFonts w:ascii="Times New Roman" w:cs="Times New Roman" w:eastAsia="Times New Roman" w:hAnsi="Times New Roman"/>
          <w:b/>
          <w:bCs/>
          <w:color w:val="1B3A6B"/>
          <w:sz w:val="30"/>
          <w:szCs w:val="30"/>
        </w:rPr>
        <w:t xml:space="preserve">🎯 Challenge — Concevoir une séquence EM brève sur l'hygiène de vie</w:t>
      </w:r>
    </w:p>
    <w:p>
      <w:pPr>
        <w:spacing w:after="80" w:before="80" w:line="320"/>
      </w:pPr>
      <w:r>
        <w:rPr>
          <w:rFonts w:ascii="Times New Roman" w:cs="Times New Roman" w:eastAsia="Times New Roman" w:hAnsi="Times New Roman"/>
          <w:b w:val="false"/>
          <w:bCs w:val="false"/>
          <w:i/>
          <w:iCs/>
          <w:color w:val="1F2937"/>
          <w:sz w:val="22"/>
          <w:szCs w:val="22"/>
        </w:rPr>
        <w:t xml:space="preserve">Mise en situation : tu as 15 minutes avec Karim, 38 ans, accompagné en appartement autonome, qui présente un surpoids important. Le médecin coordinateur vient de lui recommander de réduire les aliments ultra-transformés. Karim te dit en passant : « De toute façon j'aime pas cuisiner, c'est long. »</w:t>
      </w:r>
    </w:p>
    <w:p>
      <w:pPr>
        <w:spacing w:after="0" w:before="40"/>
      </w:pPr>
    </w:p>
    <w:p>
      <w:pPr>
        <w:spacing w:after="80" w:before="80" w:line="320"/>
      </w:pPr>
      <w:r>
        <w:rPr>
          <w:rFonts w:ascii="Times New Roman" w:cs="Times New Roman" w:eastAsia="Times New Roman" w:hAnsi="Times New Roman"/>
          <w:b/>
          <w:bCs/>
          <w:i w:val="false"/>
          <w:iCs w:val="false"/>
          <w:color w:val="1F2937"/>
          <w:sz w:val="22"/>
          <w:szCs w:val="22"/>
        </w:rPr>
        <w:t xml:space="preserve">Ta mission (15 minutes = EM bref)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1. Rédige l'objectif de ta séquence en une phrase (processus prioritaire : engager, focaliser, évoquer, ou planifier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2. Écris 4 échanges (ta réplique / sa réplique possible) en mobilisant au moins 3 techniques OARS/OuVER</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3. Identifie le moment où tu chercherais à conclure (ou non) sur un plan d'action</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4. Réflexion critique : à quel moment pourrais-tu tomber dans le réflexe correcteur ? Comment l'anticiper ?</w:t>
      </w:r>
    </w:p>
    <w:p>
      <w:pPr>
        <w:spacing w:after="0" w:before="80"/>
      </w:pPr>
    </w:p>
    <w:p>
      <w:pPr>
        <w:spacing w:after="80" w:before="80" w:line="320"/>
      </w:pPr>
      <w:r>
        <w:rPr>
          <w:rFonts w:ascii="Times New Roman" w:cs="Times New Roman" w:eastAsia="Times New Roman" w:hAnsi="Times New Roman"/>
          <w:b/>
          <w:bCs/>
          <w:i w:val="false"/>
          <w:iCs w:val="false"/>
          <w:color w:val="1F2937"/>
          <w:sz w:val="22"/>
          <w:szCs w:val="22"/>
        </w:rPr>
        <w:t xml:space="preserve">Points de vigilance :</w:t>
      </w:r>
    </w:p>
    <w:p>
      <w:pPr>
        <w:pBdr>
          <w:left w:val="single" w:color="D97706" w:sz="12"/>
        </w:pBdr>
        <w:shd w:fill="FFF8E7" w:color="auto" w:val="clear"/>
        <w:spacing w:after="120" w:before="120" w:line="300"/>
        <w:ind w:left="431" w:right="431"/>
      </w:pPr>
      <w:r>
        <w:rPr>
          <w:rFonts w:ascii="Times New Roman" w:cs="Times New Roman" w:eastAsia="Times New Roman" w:hAnsi="Times New Roman"/>
          <w:color w:val="1F2937"/>
          <w:sz w:val="22"/>
          <w:szCs w:val="22"/>
        </w:rPr>
        <w:t xml:space="preserve">Dans un EM bref (5-20 min), le risque principal est de vouloir aller trop vite vers la planification alors que la relation n'est pas encore solide (processus d'engagement non achevé). Rappel théorie — séquence des 4 processus (leçon 3) : engager → focaliser → évoquer → planifier. Sauter des étapes produit l'effet inverse : la personne se sent pressée, se referme ou acquiesce sans réelle motivation interne.</w:t>
      </w:r>
    </w:p>
    <w:p>
      <w:pPr>
        <w:pBdr>
          <w:bottom w:val="single" w:color="DDDDDD" w:sz="4"/>
        </w:pBdr>
        <w:spacing w:after="60" w:before="60"/>
      </w:pPr>
    </w:p>
    <w:p>
      <w:pPr>
        <w:pStyle w:val="Heading2"/>
        <w:spacing w:after="120" w:before="340"/>
      </w:pPr>
      <w:r>
        <w:rPr>
          <w:rFonts w:ascii="Times New Roman" w:cs="Times New Roman" w:eastAsia="Times New Roman" w:hAnsi="Times New Roman"/>
          <w:b/>
          <w:bCs/>
          <w:color w:val="1B3A6B"/>
          <w:sz w:val="30"/>
          <w:szCs w:val="30"/>
        </w:rPr>
        <w:t xml:space="preserve">🌉 Pont professionnel — Pertinence en ESSMS</w:t>
      </w:r>
    </w:p>
    <w:p>
      <w:pPr>
        <w:spacing w:after="80" w:before="80" w:line="320"/>
      </w:pPr>
      <w:r>
        <w:rPr>
          <w:rFonts w:ascii="Times New Roman" w:cs="Times New Roman" w:eastAsia="Times New Roman" w:hAnsi="Times New Roman"/>
          <w:b w:val="false"/>
          <w:bCs w:val="false"/>
          <w:i w:val="false"/>
          <w:iCs w:val="false"/>
          <w:color w:val="1F2937"/>
          <w:sz w:val="22"/>
          <w:szCs w:val="22"/>
        </w:rPr>
        <w:t xml:space="preserve">En foyer d'hébergement, les personnes accompagnées présentent fréquemment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Des conduites addictives : alcool, tabac, médicaments détournés (anxiolytiques, antidouleurs)</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Des difficultés d'observance : oubli ou refus du traitement psychiatrique, sentiment de perte de contrôle</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Des enjeux d'hygiène de vie : alimentation déséquilibrée, sédentarité marquée, hygiène bucco-dentaire insuffisante</w:t>
      </w:r>
    </w:p>
    <w:p>
      <w:pPr>
        <w:spacing w:after="0" w:before="60"/>
      </w:pPr>
    </w:p>
    <w:p>
      <w:pPr>
        <w:spacing w:after="80" w:before="80" w:line="320"/>
      </w:pPr>
      <w:r>
        <w:rPr>
          <w:rFonts w:ascii="Times New Roman" w:cs="Times New Roman" w:eastAsia="Times New Roman" w:hAnsi="Times New Roman"/>
          <w:b w:val="false"/>
          <w:bCs w:val="false"/>
          <w:i w:val="false"/>
          <w:iCs w:val="false"/>
          <w:color w:val="1F2937"/>
          <w:sz w:val="22"/>
          <w:szCs w:val="22"/>
        </w:rPr>
        <w:t xml:space="preserve">L'EM bref (5-20 min, format HAS) est mobilisable par les AES, moniteurs-éducateurs et éducateurs spécialisés lors des accompagnements de la vie quotidienne — sans exiger une consultation dédiée. La posture PACE suffit à ouvrir un espace d'exploration, même sans aller jusqu'à la planification. En tant que chef de service, valoriser cette posture dans les supervisions d'équipe contribue à une culture de l'accompagnement non-directif.</w:t>
      </w:r>
    </w:p>
    <w:p>
      <w:pPr>
        <w:pBdr>
          <w:bottom w:val="single" w:color="DDDDDD" w:sz="4"/>
        </w:pBdr>
        <w:spacing w:after="60" w:before="60"/>
      </w:pPr>
    </w:p>
    <w:p>
      <w:pPr>
        <w:pStyle w:val="Heading2"/>
        <w:spacing w:after="120" w:before="340"/>
      </w:pPr>
      <w:r>
        <w:rPr>
          <w:rFonts w:ascii="Times New Roman" w:cs="Times New Roman" w:eastAsia="Times New Roman" w:hAnsi="Times New Roman"/>
          <w:b/>
          <w:bCs/>
          <w:color w:val="1B3A6B"/>
          <w:sz w:val="30"/>
          <w:szCs w:val="30"/>
        </w:rPr>
        <w:t xml:space="preserve">📚 Ressources cliquables</w:t>
      </w:r>
    </w:p>
    <w:p>
      <w:pPr>
        <w:spacing w:after="80" w:before="80" w:line="320"/>
      </w:pPr>
      <w:r>
        <w:rPr>
          <w:rFonts w:ascii="Times New Roman" w:cs="Times New Roman" w:eastAsia="Times New Roman" w:hAnsi="Times New Roman"/>
          <w:b/>
          <w:bCs/>
          <w:i w:val="false"/>
          <w:iCs w:val="false"/>
          <w:color w:val="1F2937"/>
          <w:sz w:val="22"/>
          <w:szCs w:val="22"/>
        </w:rPr>
        <w:t xml:space="preserve">Sources réellement consultées pendant cette exécution :</w:t>
      </w:r>
    </w:p>
    <w:p>
      <w:pPr>
        <w:spacing w:after="60" w:before="60"/>
      </w:pPr>
      <w:r>
        <w:rPr>
          <w:rFonts w:ascii="Times New Roman" w:cs="Times New Roman" w:eastAsia="Times New Roman" w:hAnsi="Times New Roman"/>
          <w:color w:val="1B3A6B"/>
          <w:sz w:val="22"/>
          <w:szCs w:val="22"/>
        </w:rPr>
        <w:t xml:space="preserve">▸ </w:t>
      </w:r>
      <w:hyperlink w:history="1" r:id="rIdsjvxn-ldxskteeth_-y8w">
        <w:r>
          <w:rPr>
            <w:rFonts w:ascii="Times New Roman" w:cs="Times New Roman" w:eastAsia="Times New Roman" w:hAnsi="Times New Roman"/>
            <w:color w:val="1155CC"/>
            <w:sz w:val="22"/>
            <w:szCs w:val="22"/>
            <w:u w:val="single"/>
          </w:rPr>
          <w:t xml:space="preserve">HAS — Entretien motivationnel (page officielle, indications et format)</w:t>
        </w:r>
      </w:hyperlink>
    </w:p>
    <w:p>
      <w:pPr>
        <w:spacing w:after="60" w:before="60"/>
      </w:pPr>
      <w:r>
        <w:rPr>
          <w:rFonts w:ascii="Times New Roman" w:cs="Times New Roman" w:eastAsia="Times New Roman" w:hAnsi="Times New Roman"/>
          <w:color w:val="1B3A6B"/>
          <w:sz w:val="22"/>
          <w:szCs w:val="22"/>
        </w:rPr>
        <w:t xml:space="preserve">▸ </w:t>
      </w:r>
      <w:hyperlink w:history="1" r:id="rIdipbdpvxrp-khfsmxb5xui">
        <w:r>
          <w:rPr>
            <w:rFonts w:ascii="Times New Roman" w:cs="Times New Roman" w:eastAsia="Times New Roman" w:hAnsi="Times New Roman"/>
            <w:color w:val="1155CC"/>
            <w:sz w:val="22"/>
            <w:szCs w:val="22"/>
            <w:u w:val="single"/>
          </w:rPr>
          <w:t xml:space="preserve">Wikipedia — Motivational Interviewing (applications aux comportements de santé)</w:t>
        </w:r>
      </w:hyperlink>
    </w:p>
    <w:p>
      <w:pPr>
        <w:spacing w:after="60" w:before="60"/>
      </w:pPr>
      <w:r>
        <w:rPr>
          <w:rFonts w:ascii="Times New Roman" w:cs="Times New Roman" w:eastAsia="Times New Roman" w:hAnsi="Times New Roman"/>
          <w:color w:val="1B3A6B"/>
          <w:sz w:val="22"/>
          <w:szCs w:val="22"/>
        </w:rPr>
        <w:t xml:space="preserve">▸ </w:t>
      </w:r>
      <w:hyperlink w:history="1" r:id="rId6hzvvcrm_dj-q7ulycmcl">
        <w:r>
          <w:rPr>
            <w:rFonts w:ascii="Times New Roman" w:cs="Times New Roman" w:eastAsia="Times New Roman" w:hAnsi="Times New Roman"/>
            <w:color w:val="1155CC"/>
            <w:sz w:val="22"/>
            <w:szCs w:val="22"/>
            <w:u w:val="single"/>
          </w:rPr>
          <w:t xml:space="preserve">PMC — Méta-analyse EM et activité physique (97 RCTs, 27 811 participants, BMJ 2024)</w:t>
        </w:r>
      </w:hyperlink>
    </w:p>
    <w:p>
      <w:pPr>
        <w:spacing w:after="60" w:before="60"/>
      </w:pPr>
      <w:r>
        <w:rPr>
          <w:rFonts w:ascii="Times New Roman" w:cs="Times New Roman" w:eastAsia="Times New Roman" w:hAnsi="Times New Roman"/>
          <w:color w:val="1B3A6B"/>
          <w:sz w:val="22"/>
          <w:szCs w:val="22"/>
        </w:rPr>
        <w:t xml:space="preserve">▸ </w:t>
      </w:r>
      <w:hyperlink w:history="1" r:id="rIduaj8mcdpewuywrp0uibge">
        <w:r>
          <w:rPr>
            <w:rFonts w:ascii="Times New Roman" w:cs="Times New Roman" w:eastAsia="Times New Roman" w:hAnsi="Times New Roman"/>
            <w:color w:val="1155CC"/>
            <w:sz w:val="22"/>
            <w:szCs w:val="22"/>
            <w:u w:val="single"/>
          </w:rPr>
          <w:t xml:space="preserve">Portail Addictions Occitanie — EM selon la HAS 2024</w:t>
        </w:r>
      </w:hyperlink>
    </w:p>
    <w:p>
      <w:pPr>
        <w:spacing w:after="60" w:before="60"/>
      </w:pPr>
      <w:r>
        <w:rPr>
          <w:rFonts w:ascii="Times New Roman" w:cs="Times New Roman" w:eastAsia="Times New Roman" w:hAnsi="Times New Roman"/>
          <w:color w:val="1B3A6B"/>
          <w:sz w:val="22"/>
          <w:szCs w:val="22"/>
        </w:rPr>
        <w:t xml:space="preserve">▸ </w:t>
      </w:r>
      <w:hyperlink w:history="1" r:id="rIdklae_3oopimhzfeuf6pax">
        <w:r>
          <w:rPr>
            <w:rFonts w:ascii="Times New Roman" w:cs="Times New Roman" w:eastAsia="Times New Roman" w:hAnsi="Times New Roman"/>
            <w:color w:val="1155CC"/>
            <w:sz w:val="22"/>
            <w:szCs w:val="22"/>
            <w:u w:val="single"/>
          </w:rPr>
          <w:t xml:space="preserve">MINT — Réseau international des formateurs EM</w:t>
        </w:r>
      </w:hyperlink>
    </w:p>
    <w:p>
      <w:pPr>
        <w:spacing w:after="0" w:before="80"/>
      </w:pPr>
    </w:p>
    <w:p>
      <w:pPr>
        <w:spacing w:after="80" w:before="80" w:line="320"/>
      </w:pPr>
      <w:r>
        <w:rPr>
          <w:rFonts w:ascii="Times New Roman" w:cs="Times New Roman" w:eastAsia="Times New Roman" w:hAnsi="Times New Roman"/>
          <w:b/>
          <w:bCs/>
          <w:i/>
          <w:iCs/>
          <w:color w:val="1F2937"/>
          <w:sz w:val="22"/>
          <w:szCs w:val="22"/>
        </w:rPr>
        <w:t xml:space="preserve">Sources non accessibles lors de cette exécution :</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 SAMHSA (samhsa.gov) — erreur 403</w:t>
      </w:r>
    </w:p>
    <w:p>
      <w:pPr>
        <w:pStyle w:val="ListParagraph"/>
        <w:numPr>
          <w:ilvl w:val="0"/>
          <w:numId w:val="1"/>
        </w:numPr>
        <w:spacing w:after="60" w:before="60" w:line="300"/>
      </w:pPr>
      <w:r>
        <w:rPr>
          <w:rFonts w:ascii="Times New Roman" w:cs="Times New Roman" w:eastAsia="Times New Roman" w:hAnsi="Times New Roman"/>
          <w:color w:val="1F2937"/>
          <w:sz w:val="22"/>
          <w:szCs w:val="22"/>
        </w:rPr>
        <w:t xml:space="preserve">⛔ AFDEM (entretienmotivationnel.org) — erreur de certificat SSL</w:t>
      </w:r>
    </w:p>
    <w:p>
      <w:pPr>
        <w:pBdr>
          <w:bottom w:val="single" w:color="DDDDDD" w:sz="4"/>
        </w:pBdr>
        <w:spacing w:after="60" w:before="60"/>
      </w:pPr>
    </w:p>
    <w:p>
      <w:pPr>
        <w:pStyle w:val="Heading2"/>
        <w:spacing w:after="120" w:before="340"/>
      </w:pPr>
      <w:r>
        <w:rPr>
          <w:rFonts w:ascii="Times New Roman" w:cs="Times New Roman" w:eastAsia="Times New Roman" w:hAnsi="Times New Roman"/>
          <w:b/>
          <w:bCs/>
          <w:color w:val="1B3A6B"/>
          <w:sz w:val="30"/>
          <w:szCs w:val="30"/>
        </w:rPr>
        <w:t xml:space="preserve">🔜 Prochaine leçon — n°11</w:t>
      </w:r>
    </w:p>
    <w:p>
      <w:pPr>
        <w:pBdr>
          <w:left w:val="single" w:color="1B3A6B" w:sz="12"/>
        </w:pBdr>
        <w:shd w:fill="EEF2F7" w:color="auto" w:val="clear"/>
        <w:spacing w:after="120" w:before="120" w:line="300"/>
        <w:ind w:left="576" w:right="576"/>
      </w:pPr>
      <w:r>
        <w:rPr>
          <w:rFonts w:ascii="Times New Roman" w:cs="Times New Roman" w:eastAsia="Times New Roman" w:hAnsi="Times New Roman"/>
          <w:i/>
          <w:iCs/>
          <w:color w:val="1F2937"/>
          <w:sz w:val="22"/>
          <w:szCs w:val="22"/>
        </w:rPr>
        <w:t xml:space="preserve">Thème : EM bref et EM en groupe : formats courts et collectifs
Tu exploreras les adaptations de l'EM aux contraintes de temps (consultations de 10-15 min) et aux formats collectifs (groupes de parole, ateliers en équipe). Ces formats sont particulièrement pertinents en ESSMS, où le temps individuel est limité et les accompagnements collectifs fréquents.</w:t>
      </w:r>
    </w:p>
    <w:p>
      <w:pPr>
        <w:spacing w:after="0" w:before="200"/>
      </w:pPr>
    </w:p>
    <w:p>
      <w:pPr>
        <w:jc w:val="center"/>
      </w:pPr>
      <w:r>
        <w:rPr>
          <w:rFonts w:ascii="Times New Roman" w:cs="Times New Roman" w:eastAsia="Times New Roman" w:hAnsi="Times New Roman"/>
          <w:i/>
          <w:iCs/>
          <w:color w:val="999999"/>
          <w:sz w:val="16"/>
          <w:szCs w:val="16"/>
        </w:rPr>
        <w:t xml:space="preserve">Leçon générée le 30 juillet 2026 — Parcours Entretien Motivationnel • Module Avancé</w:t>
      </w:r>
    </w:p>
    <w:sectPr>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vxn-ldxskteeth_-y8w" Type="http://schemas.openxmlformats.org/officeDocument/2006/relationships/hyperlink" Target="https://www.has-sante.fr/jcms/p_3501842/fr/" TargetMode="External"/><Relationship Id="rIdipbdpvxrp-khfsmxb5xui" Type="http://schemas.openxmlformats.org/officeDocument/2006/relationships/hyperlink" Target="https://en.wikipedia.org/wiki/Motivational_interviewing" TargetMode="External"/><Relationship Id="rId6hzvvcrm_dj-q7ulycmcl" Type="http://schemas.openxmlformats.org/officeDocument/2006/relationships/hyperlink" Target="https://pmc.ncbi.nlm.nih.gov/articles/PMC11234249/" TargetMode="External"/><Relationship Id="rIduaj8mcdpewuywrp0uibge" Type="http://schemas.openxmlformats.org/officeDocument/2006/relationships/hyperlink" Target="https://portail-addictions-occitanie.fr/directory-politiques/listing/entretien-motivationnel-em-haute-autorite-de-sante-2024/" TargetMode="External"/><Relationship Id="rIdklae_3oopimhzfeuf6pax" Type="http://schemas.openxmlformats.org/officeDocument/2006/relationships/hyperlink" Target="https://motivationalinterviewing.or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Entretien Motivationnel n°10 — EM et comportements de santé</dc:title>
  <dc:creator>Claude — Parcours EM</dc:creator>
  <dc:description>EM appliqué aux addictions, observance médicamenteuse et hygiène de vie</dc:description>
  <cp:lastModifiedBy>Un-named</cp:lastModifiedBy>
  <cp:revision>1</cp:revision>
  <dcterms:created xsi:type="dcterms:W3CDTF">2026-07-30T07:38:16.436Z</dcterms:created>
  <dcterms:modified xsi:type="dcterms:W3CDTF">2026-07-30T07:38:16.438Z</dcterms:modified>
</cp:coreProperties>
</file>

<file path=docProps/custom.xml><?xml version="1.0" encoding="utf-8"?>
<Properties xmlns="http://schemas.openxmlformats.org/officeDocument/2006/custom-properties" xmlns:vt="http://schemas.openxmlformats.org/officeDocument/2006/docPropsVTypes"/>
</file>