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00"/>
        <w:jc w:val="center"/>
      </w:pPr>
      <w:r>
        <w:rPr>
          <w:rFonts w:ascii="Times New Roman" w:cs="Times New Roman" w:eastAsia="Times New Roman" w:hAnsi="Times New Roman"/>
          <w:b/>
          <w:bCs/>
          <w:color w:val="1B3A6B"/>
          <w:sz w:val="52"/>
          <w:szCs w:val="52"/>
        </w:rPr>
        <w:t xml:space="preserve">Leçon Entretien Motivationnel n°11</w:t>
      </w:r>
    </w:p>
    <w:p>
      <w:pPr>
        <w:pStyle w:val="Heading1"/>
        <w:spacing w:after="160" w:before="300"/>
        <w:jc w:val="center"/>
      </w:pPr>
      <w:r>
        <w:rPr>
          <w:rFonts w:ascii="Times New Roman" w:cs="Times New Roman" w:eastAsia="Times New Roman" w:hAnsi="Times New Roman"/>
          <w:b/>
          <w:bCs/>
          <w:color w:val="1B3A6B"/>
          <w:sz w:val="52"/>
          <w:szCs w:val="52"/>
        </w:rPr>
        <w:t xml:space="preserve">EM bref et EM en groupe : formats courts et collectifs</w:t>
      </w:r>
    </w:p>
    <w:p>
      <w:pPr>
        <w:spacing w:after="80" w:before="80"/>
      </w:pPr>
      <w:r>
        <w:rPr>
          <w:rFonts w:ascii="Times New Roman" w:cs="Times New Roman" w:eastAsia="Times New Roman" w:hAnsi="Times New Roman"/>
          <w:b/>
          <w:bCs/>
          <w:i w:val="false"/>
          <w:iCs w:val="false"/>
          <w:color w:val="1F2937"/>
          <w:sz w:val="22"/>
          <w:szCs w:val="22"/>
        </w:rPr>
        <w:t xml:space="preserve">Date : 6 août 2026  |  Module Intermédiaire — Leçon 11 / 14</w:t>
      </w:r>
    </w:p>
    <w:p>
      <w:pPr>
        <w:spacing w:after="80" w:before="80"/>
      </w:pPr>
      <w:r>
        <w:rPr>
          <w:rFonts w:ascii="Times New Roman" w:cs="Times New Roman" w:eastAsia="Times New Roman" w:hAnsi="Times New Roman"/>
          <w:b w:val="false"/>
          <w:bCs w:val="false"/>
          <w:i w:val="false"/>
          <w:iCs w:val="false"/>
          <w:color w:val="1F2937"/>
          <w:sz w:val="22"/>
          <w:szCs w:val="22"/>
        </w:rPr>
        <w:t xml:space="preserve">Parcours : Fondamentaux (1–4) → Compétences (5–7) → Approfondissement (8–10) → Formats &amp; Contextes (11–12) → Management &amp; Limites (13–14)</w:t>
      </w:r>
    </w:p>
    <w:p>
      <w:pPr>
        <w:pBdr>
          <w:bottom w:val="single" w:color="1B3A6B" w:sz="4" w:space="1"/>
        </w:pBdr>
        <w:spacing w:after="120" w:before="120"/>
      </w:pPr>
    </w:p>
    <w:p>
      <w:pPr>
        <w:pStyle w:val="Heading2"/>
        <w:spacing w:after="120" w:before="240"/>
      </w:pPr>
      <w:r>
        <w:rPr>
          <w:rFonts w:ascii="Times New Roman" w:cs="Times New Roman" w:eastAsia="Times New Roman" w:hAnsi="Times New Roman"/>
          <w:b/>
          <w:bCs/>
          <w:color w:val="1B3A6B"/>
          <w:sz w:val="30"/>
          <w:szCs w:val="30"/>
        </w:rPr>
        <w:t xml:space="preserve">🎯 Objectif et continuité</w:t>
      </w:r>
    </w:p>
    <w:p>
      <w:pPr>
        <w:spacing w:after="80" w:before="80"/>
      </w:pPr>
      <w:r>
        <w:rPr>
          <w:rFonts w:ascii="Times New Roman" w:cs="Times New Roman" w:eastAsia="Times New Roman" w:hAnsi="Times New Roman"/>
          <w:b w:val="false"/>
          <w:bCs w:val="false"/>
          <w:i w:val="false"/>
          <w:iCs w:val="false"/>
          <w:color w:val="1F2937"/>
          <w:sz w:val="22"/>
          <w:szCs w:val="22"/>
        </w:rPr>
        <w:t xml:space="preserve">À l'issue de cette leçon, tu sauras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Définir l'EM bref (BMI) et ses indicateurs de mise en œuvre en contexte contraint (temps, setting)</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Distinguer les adaptations courtes existantes : BMI, MET, BCC</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Comprendre les spécificités et les défis de l'EM en groupe (Group MI)</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Conduire une intervention brève en esprit EM, même en 15 minutes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Identifier les avantages et les limites du format groupe par rapport à l'entretien individuel</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Lien avec la leçon précédente (n°10 — EM et comportements de santé) : tu as exploré l'application de l'EM dans les domaines de la santé (addictions, observance, hygiène de vie). Cette leçon franchit une nouvelle étape en répondant à une question pratique fréquente : « Et quand on n'a pas le temps ? Et quand on intervient en groupe ? ». Les compétences OARS/OuVER acquises depuis la leçon 4 constituent le socle de tout ce qui suit.</w:t>
      </w:r>
    </w:p>
    <w:p>
      <w:pPr>
        <w:pBdr>
          <w:bottom w:val="single" w:color="1B3A6B" w:sz="4" w:space="1"/>
        </w:pBdr>
        <w:spacing w:after="120" w:before="120"/>
      </w:pPr>
    </w:p>
    <w:p>
      <w:pPr>
        <w:pStyle w:val="Heading2"/>
        <w:spacing w:after="120" w:before="240"/>
      </w:pPr>
      <w:r>
        <w:rPr>
          <w:rFonts w:ascii="Times New Roman" w:cs="Times New Roman" w:eastAsia="Times New Roman" w:hAnsi="Times New Roman"/>
          <w:b/>
          <w:bCs/>
          <w:color w:val="1B3A6B"/>
          <w:sz w:val="30"/>
          <w:szCs w:val="30"/>
        </w:rPr>
        <w:t xml:space="preserve">🔬 Théorie — L'EM bref et l'EM en groupe (20 %)</w:t>
      </w:r>
    </w:p>
    <w:p>
      <w:pPr>
        <w:pStyle w:val="Heading3"/>
        <w:spacing w:after="80" w:before="180"/>
      </w:pPr>
      <w:r>
        <w:rPr>
          <w:rFonts w:ascii="Times New Roman" w:cs="Times New Roman" w:eastAsia="Times New Roman" w:hAnsi="Times New Roman"/>
          <w:b/>
          <w:bCs/>
          <w:color w:val="1F2937"/>
          <w:sz w:val="26"/>
          <w:szCs w:val="26"/>
        </w:rPr>
        <w:t xml:space="preserve">1. L'EM bref (Brief Motivational Interviewing — BMI)</w:t>
      </w:r>
    </w:p>
    <w:p>
      <w:pPr>
        <w:spacing w:after="80" w:before="80"/>
      </w:pPr>
      <w:r>
        <w:rPr>
          <w:rFonts w:ascii="Times New Roman" w:cs="Times New Roman" w:eastAsia="Times New Roman" w:hAnsi="Times New Roman"/>
          <w:b w:val="false"/>
          <w:bCs w:val="false"/>
          <w:i w:val="false"/>
          <w:iCs w:val="false"/>
          <w:color w:val="1F2937"/>
          <w:sz w:val="22"/>
          <w:szCs w:val="22"/>
        </w:rPr>
        <w:t xml:space="preserve">Le BMI est une version condensée de l'EM, adaptée aux contextes où le temps est limité (15 à 30 minutes), notamment les soins primaires, les urgences, ou toute situation d'intervention ponctuelle. Il conserve l'esprit PACE (partenariat, acceptation, compassion, évocation) et les compétences OARS, mais les concentre dans un échange focalisé.</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Caractéristiques essentielles du BMI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Durée : 15 à 30 minutes (parfois une seule séance)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Maintien de l'esprit EM (PACE) — la posture ne se raccourcit pas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Centration rapide sur un comportement précis (le processus de focalisation est prioritaire)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Utilisation ciblée des OuVER : une question ouverte porte, un reflet confirme, un résumé clôt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discours-changement (DARN-CAT) est écouté et renforcé dès qu'il émerge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planification peut être esquissée sans être complète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 Ce que le BMI n'est pas : il ne s'agit pas de « faire vite » ni de transmettre de l'information. L'erreur fréquente est de glisser vers le réflexe correcteur (« en peu de temps, autant aller à l'essentiel »). L'esprit EM prime sur la durée.</w:t>
      </w:r>
    </w:p>
    <w:p>
      <w:pPr>
        <w:pStyle w:val="Heading3"/>
        <w:spacing w:after="80" w:before="180"/>
      </w:pPr>
      <w:r>
        <w:rPr>
          <w:rFonts w:ascii="Times New Roman" w:cs="Times New Roman" w:eastAsia="Times New Roman" w:hAnsi="Times New Roman"/>
          <w:b/>
          <w:bCs/>
          <w:color w:val="1F2937"/>
          <w:sz w:val="26"/>
          <w:szCs w:val="26"/>
        </w:rPr>
        <w:t xml:space="preserve">2. Les adaptations formalisées de l'EM bref</w:t>
      </w:r>
    </w:p>
    <w:p>
      <w:pPr>
        <w:spacing w:after="80" w:before="80"/>
      </w:pPr>
      <w:r>
        <w:rPr>
          <w:rFonts w:ascii="Times New Roman" w:cs="Times New Roman" w:eastAsia="Times New Roman" w:hAnsi="Times New Roman"/>
          <w:b w:val="false"/>
          <w:bCs w:val="false"/>
          <w:i w:val="false"/>
          <w:iCs w:val="false"/>
          <w:color w:val="1F2937"/>
          <w:sz w:val="22"/>
          <w:szCs w:val="22"/>
        </w:rPr>
        <w:t xml:space="preserve">La littérature distingue plusieurs adaptations formalisées :</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MET — Motivational Enhancement Therapy</w:t>
      </w:r>
    </w:p>
    <w:p>
      <w:pPr>
        <w:spacing w:after="80" w:before="80"/>
      </w:pPr>
      <w:r>
        <w:rPr>
          <w:rFonts w:ascii="Times New Roman" w:cs="Times New Roman" w:eastAsia="Times New Roman" w:hAnsi="Times New Roman"/>
          <w:b w:val="false"/>
          <w:bCs w:val="false"/>
          <w:i w:val="false"/>
          <w:iCs w:val="false"/>
          <w:color w:val="1F2937"/>
          <w:sz w:val="22"/>
          <w:szCs w:val="22"/>
        </w:rPr>
        <w:t xml:space="preserve">Adaptation limitée à quatre sessions, développée dans le cadre du Project MATCH (étude américaine financée par le gouvernement). Chaque session inclut un retour normatif (normative-based feedback) : le praticien partage des données objectives sur le comportement du patient, comparées à des normes de référence, ce qui évoque la prise de conscience sans confrontation. La MET est l'une des adaptations de l'EM les mieux documentées scientifiquement.</w:t>
      </w:r>
    </w:p>
    <w:p>
      <w:pPr>
        <w:pBdr>
          <w:left w:val="single" w:color="1B3A6B" w:sz="18" w:space="8"/>
        </w:pBdr>
        <w:shd w:color="EEF2F7" w:val="solid"/>
        <w:spacing w:after="100" w:before="100"/>
        <w:ind w:left="576"/>
      </w:pPr>
      <w:r>
        <w:rPr>
          <w:rFonts w:ascii="Times New Roman" w:cs="Times New Roman" w:eastAsia="Times New Roman" w:hAnsi="Times New Roman"/>
          <w:i/>
          <w:iCs/>
          <w:color w:val="1F2937"/>
          <w:sz w:val="22"/>
          <w:szCs w:val="22"/>
        </w:rPr>
        <w:t xml:space="preserve">« La MET est une approche concrète pour aider les personnes à examiner leur ambivalence face au changement, en utilisant un feedback structuré comme point de départ de l'exploration. » — Synthèse, non citation littérale de Miller (2000)</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BCC — Behaviour Change Counselling</w:t>
      </w:r>
    </w:p>
    <w:p>
      <w:pPr>
        <w:spacing w:after="80" w:before="80"/>
      </w:pPr>
      <w:r>
        <w:rPr>
          <w:rFonts w:ascii="Times New Roman" w:cs="Times New Roman" w:eastAsia="Times New Roman" w:hAnsi="Times New Roman"/>
          <w:b w:val="false"/>
          <w:bCs w:val="false"/>
          <w:i w:val="false"/>
          <w:iCs w:val="false"/>
          <w:color w:val="1F2937"/>
          <w:sz w:val="22"/>
          <w:szCs w:val="22"/>
        </w:rPr>
        <w:t xml:space="preserve">Adaptation élaborée pour les consultations médicales courtes. Son objectif est d'aider la personne à explorer pourquoi et comment elle pourrait changer, dans le cadre de la patient-centered care. Le BCC s'évalue avec deux outils spécifiques : le BECCI (Behaviour Change Counselling Index) pour les compétences du praticien, et le BCCS (Behaviour Change Counselling Scale) pour les effets sur la personne. Ces outils rappellent le MITI pour l'EM classique.</w:t>
      </w:r>
    </w:p>
    <w:p>
      <w:pPr>
        <w:pStyle w:val="Heading3"/>
        <w:spacing w:after="80" w:before="180"/>
      </w:pPr>
      <w:r>
        <w:rPr>
          <w:rFonts w:ascii="Times New Roman" w:cs="Times New Roman" w:eastAsia="Times New Roman" w:hAnsi="Times New Roman"/>
          <w:b/>
          <w:bCs/>
          <w:color w:val="1F2937"/>
          <w:sz w:val="26"/>
          <w:szCs w:val="26"/>
        </w:rPr>
        <w:t xml:space="preserve">3. L'EM en groupe (Group MI)</w:t>
      </w:r>
    </w:p>
    <w:p>
      <w:pPr>
        <w:spacing w:after="80" w:before="80"/>
      </w:pPr>
      <w:r>
        <w:rPr>
          <w:rFonts w:ascii="Times New Roman" w:cs="Times New Roman" w:eastAsia="Times New Roman" w:hAnsi="Times New Roman"/>
          <w:b w:val="false"/>
          <w:bCs w:val="false"/>
          <w:i w:val="false"/>
          <w:iCs w:val="false"/>
          <w:color w:val="1F2937"/>
          <w:sz w:val="22"/>
          <w:szCs w:val="22"/>
        </w:rPr>
        <w:t xml:space="preserve">L'EM en groupe — développé notamment par Wagner &amp; Ingersoll et leurs collaborateurs (2013) — adapte les principes de l'EM à un format collectif. Ce n'est pas un groupe psychoéducatif : l'esprit EM (non-directivité, évocation, respect de l'autonomie) reste central.</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Les quatre phases du Group MI (d'après la documentation Wikipedia MI)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Engagement du groupe : créer la sécurité relationnelle, faire émerger les attentes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Évocation des perspectives des membres : chacun exprime son rapport au changement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Élargissement des perspectives et création de momentum : le groupe comme catalyseur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4. Passage à l'action : soutien mutuel, mini-planification individuelle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Avantages du format groupe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Effet miroir : entendre d'autres personnes en ambivalence valide l'expérience personnelle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Ressource économique (un praticien pour plusieurs personnes)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Soutien pair : la motivation peut se nourrir du discours-changement des autres membres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Réduction de la stigmatisation (« je ne suis pas seul »)</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Limites et défis du format groupe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Moins efficace qu'en individuel selon certaines études (les dynamiques de groupe changent la situation)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Risque de contagion du discours-maintien (un membre résistant peut influencer les autres)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Difficulté à maintenir la fidelity EM : il est plus difficile d'être centré sur chaque membre simultanément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Enjeux de confidentialité à traiter explicitement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planification individuelle reste difficile à approfondir en collectif</w:t>
      </w:r>
    </w:p>
    <w:p>
      <w:pPr>
        <w:pStyle w:val="Heading3"/>
        <w:spacing w:after="80" w:before="180"/>
      </w:pPr>
      <w:r>
        <w:rPr>
          <w:rFonts w:ascii="Times New Roman" w:cs="Times New Roman" w:eastAsia="Times New Roman" w:hAnsi="Times New Roman"/>
          <w:b/>
          <w:bCs/>
          <w:color w:val="1F2937"/>
          <w:sz w:val="26"/>
          <w:szCs w:val="26"/>
        </w:rPr>
        <w:t xml:space="preserve">4. Ce que dit la recherche</w:t>
      </w:r>
    </w:p>
    <w:p>
      <w:pPr>
        <w:spacing w:after="80" w:before="80"/>
      </w:pPr>
      <w:r>
        <w:rPr>
          <w:rFonts w:ascii="Times New Roman" w:cs="Times New Roman" w:eastAsia="Times New Roman" w:hAnsi="Times New Roman"/>
          <w:b w:val="false"/>
          <w:bCs w:val="false"/>
          <w:i w:val="false"/>
          <w:iCs w:val="false"/>
          <w:color w:val="1F2937"/>
          <w:sz w:val="22"/>
          <w:szCs w:val="22"/>
        </w:rPr>
        <w:t xml:space="preserve">Une étude espagnole publiée dans PLoS ONE (Martín-Pérez et al., 2019) a comparé le BMI en groupe à la thérapie cognitivo-comportementale (CBT) brève en groupe sur 89 étudiants présentant une consommation d'alcool à risque. Résultats principaux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Les deux interventions réduisent la consommation d'alcool à 3 et 6 mois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Aucune différence d'efficacité entre MI et CBT en groupe (équivalence statistiquement établie)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Avantage MI : intention significativement plus haute de poursuivre le traitement (BF₁₀ = 9,77)</w:t>
      </w:r>
    </w:p>
    <w:p>
      <w:pPr>
        <w:spacing w:after="80" w:before="80"/>
      </w:pPr>
      <w:r>
        <w:rPr>
          <w:rFonts w:ascii="Times New Roman" w:cs="Times New Roman" w:eastAsia="Times New Roman" w:hAnsi="Times New Roman"/>
          <w:b w:val="false"/>
          <w:bCs w:val="false"/>
          <w:i w:val="false"/>
          <w:iCs w:val="false"/>
          <w:color w:val="1F2937"/>
          <w:sz w:val="22"/>
          <w:szCs w:val="22"/>
        </w:rPr>
        <w:t xml:space="preserve">Conclusion pratique : le BMI en groupe est une option crédible quand les ressources sont contraintes, avec un avantage d'engagement relationnel.</w:t>
      </w:r>
    </w:p>
    <w:p>
      <w:pPr>
        <w:pBdr>
          <w:bottom w:val="single" w:color="1B3A6B" w:sz="4" w:space="1"/>
        </w:pBdr>
        <w:spacing w:after="120" w:before="120"/>
      </w:pPr>
    </w:p>
    <w:p>
      <w:pPr>
        <w:pStyle w:val="Heading2"/>
        <w:spacing w:after="120" w:before="240"/>
      </w:pPr>
      <w:r>
        <w:rPr>
          <w:rFonts w:ascii="Times New Roman" w:cs="Times New Roman" w:eastAsia="Times New Roman" w:hAnsi="Times New Roman"/>
          <w:b/>
          <w:bCs/>
          <w:color w:val="1B3A6B"/>
          <w:sz w:val="30"/>
          <w:szCs w:val="30"/>
        </w:rPr>
        <w:t xml:space="preserve">🛠️ Pratique — Exercices d'apprentissage actif (80 %)</w:t>
      </w:r>
    </w:p>
    <w:p>
      <w:pPr>
        <w:pStyle w:val="Heading3"/>
        <w:spacing w:after="80" w:before="180"/>
      </w:pPr>
      <w:r>
        <w:rPr>
          <w:rFonts w:ascii="Times New Roman" w:cs="Times New Roman" w:eastAsia="Times New Roman" w:hAnsi="Times New Roman"/>
          <w:b/>
          <w:bCs/>
          <w:color w:val="1F2937"/>
          <w:sz w:val="26"/>
          <w:szCs w:val="26"/>
        </w:rPr>
        <w:t xml:space="preserve">Exercice 1 — L'entretien de 15 minutes : jeu de rôle écrit (BMI)</w:t>
      </w:r>
    </w:p>
    <w:p>
      <w:pPr>
        <w:spacing w:after="80" w:before="80"/>
      </w:pPr>
      <w:r>
        <w:rPr>
          <w:rFonts w:ascii="Times New Roman" w:cs="Times New Roman" w:eastAsia="Times New Roman" w:hAnsi="Times New Roman"/>
          <w:b w:val="false"/>
          <w:bCs w:val="false"/>
          <w:i/>
          <w:iCs/>
          <w:color w:val="1F2937"/>
          <w:sz w:val="22"/>
          <w:szCs w:val="22"/>
        </w:rPr>
        <w:t xml:space="preserve">Contexte : tu es chef de service dans un ESSMS. Un professionnel AES vient te trouver entre deux réunions. Il te dit : « Je sais que je suis censé écrire les transmissions dans Imago, mais j'arrive jamais à le faire dans le temps imparti. C'est une perte de temps, les autres professionnels n'en ont pas besoin. »</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Tu disposes de 15 minutes. L'objectif n'est pas de convaincre, mais d'explorer l'ambivalence.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Rédige 3 à 4 répliques successives en style EM bref. Pour chaque réplique, indique entre crochets la compétence utilisée.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Exemple de structure à compléter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1 — [Question ouverte] : «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2 — [Reflet simple ou complexe] : «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3 — [Valorisation ou résumé partiel] : «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4 — [Évocation du discours-changement ou mini-planification] : « … »</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 Corrigé commenté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1 — [Question ouverte] : « Qu'est-ce qui te pèse le plus dans cette démarche des transmissions ? » → Ouvre l'espace sans juger, laisse émerger le ressenti réel (pas seulement les arguments).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2 — [Reflet complexe] : « Tu as l'impression que ça ne sert à rien parce que personne ne s'en sert dans ton équipe — et en même temps tu sembles tendu par le fait de ne pas y arriver dans le temps. » → Reflet double face qui nomme les deux versants de l'ambivalence (discours-maintien + tension sous-jacente).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3 — [Valorisation] : « Tu fais partie des professionnels qui questionnent les outils, c'est utile pour améliorer les pratiques. » → Reconnaît la posture critique sans valider le comportement d'évitement.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Réplique 4 — [Évocation discours-changement] : « Si les transmissions étaient vraiment lues et utiles à l'équipe, qu'est-ce que ça changerait pour toi dans la façon de les rédiger ? » → Evoque un futur possible, stimule le DARN (Désir / Raison) sans prescrire.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Précision sur les reflets : la réplique 2 est un reflet complexe parce qu'elle va au-delà du contenu explicitement dit (la « tension sous-jacente » est inférée depuis les indices implicites du propos — le mot « jamais » et le cadrage conflictuel). Si la personne avait dit explicitement « je suis stressé », ce serait un reflet simple.</w:t>
      </w:r>
    </w:p>
    <w:p>
      <w:pPr>
        <w:pStyle w:val="Heading3"/>
        <w:spacing w:after="80" w:before="180"/>
      </w:pPr>
      <w:r>
        <w:rPr>
          <w:rFonts w:ascii="Times New Roman" w:cs="Times New Roman" w:eastAsia="Times New Roman" w:hAnsi="Times New Roman"/>
          <w:b/>
          <w:bCs/>
          <w:color w:val="1F2937"/>
          <w:sz w:val="26"/>
          <w:szCs w:val="26"/>
        </w:rPr>
        <w:t xml:space="preserve">Exercice 2 — Inventaire personnel : où s'insèrent les micro-moments EM ?</w:t>
      </w:r>
    </w:p>
    <w:p>
      <w:pPr>
        <w:spacing w:after="80" w:before="80"/>
      </w:pPr>
      <w:r>
        <w:rPr>
          <w:rFonts w:ascii="Times New Roman" w:cs="Times New Roman" w:eastAsia="Times New Roman" w:hAnsi="Times New Roman"/>
          <w:b w:val="false"/>
          <w:bCs w:val="false"/>
          <w:i w:val="false"/>
          <w:iCs w:val="false"/>
          <w:color w:val="1F2937"/>
          <w:sz w:val="22"/>
          <w:szCs w:val="22"/>
        </w:rPr>
        <w:t xml:space="preserve">L'EM bref ne suppose pas forcément un entretien formel. Il peut se glisser dans les interactions quotidiennes : un couloir, un débriefing, un passage de relais.</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 liste 5 situations de ta semaine type en tant que chef de service où tu pourrais adopter la posture EM même brièvement (2 à 5 minutes). Pour chaque situation, précise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contexte (lieu, durée, interlocuteur)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Le comportement ou sujet sur lequel une évocation serait pertinente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compétence OuVER que tu mobiliserais en priorité</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Exemple de réponse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Contexte : retour de week-end, vestiaire, 3 min — Professionnel qui semble démotivé — Valorisation + question ouverte : « Tu sembles fatigué, qu'est-ce qui t'a le plus pesé ce week-end ? »</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 Ce que cet exercice vise :</w:t>
      </w:r>
    </w:p>
    <w:p>
      <w:pPr>
        <w:spacing w:after="80" w:before="80"/>
      </w:pPr>
      <w:r>
        <w:rPr>
          <w:rFonts w:ascii="Times New Roman" w:cs="Times New Roman" w:eastAsia="Times New Roman" w:hAnsi="Times New Roman"/>
          <w:b w:val="false"/>
          <w:bCs w:val="false"/>
          <w:i w:val="false"/>
          <w:iCs w:val="false"/>
          <w:color w:val="1F2937"/>
          <w:sz w:val="22"/>
          <w:szCs w:val="22"/>
        </w:rPr>
        <w:t xml:space="preserve">Ancrer l'EM bref dans ta réalité plutôt que de le réserver aux entretiens formels. La posture PACE peut s'activer dès 2 minutes si l'intention est là.</w:t>
      </w:r>
    </w:p>
    <w:p>
      <w:pPr>
        <w:pStyle w:val="Heading3"/>
        <w:spacing w:after="80" w:before="180"/>
      </w:pPr>
      <w:r>
        <w:rPr>
          <w:rFonts w:ascii="Times New Roman" w:cs="Times New Roman" w:eastAsia="Times New Roman" w:hAnsi="Times New Roman"/>
          <w:b/>
          <w:bCs/>
          <w:color w:val="1F2937"/>
          <w:sz w:val="26"/>
          <w:szCs w:val="26"/>
        </w:rPr>
        <w:t xml:space="preserve">Exercice 3 — Adapter les OuVER au format groupe</w:t>
      </w:r>
    </w:p>
    <w:p>
      <w:pPr>
        <w:spacing w:after="80" w:before="80"/>
      </w:pPr>
      <w:r>
        <w:rPr>
          <w:rFonts w:ascii="Times New Roman" w:cs="Times New Roman" w:eastAsia="Times New Roman" w:hAnsi="Times New Roman"/>
          <w:b w:val="false"/>
          <w:bCs w:val="false"/>
          <w:i w:val="false"/>
          <w:iCs w:val="false"/>
          <w:color w:val="1F2937"/>
          <w:sz w:val="22"/>
          <w:szCs w:val="22"/>
        </w:rPr>
        <w:t xml:space="preserve">En groupe, on ne peut pas poser la même question à tout le monde en même temps. Il faut des formulations qui invitent sans obliger, qui ouvrent un espace collectif sans forcer la parole individuelle.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Consigne : transforme les questions OuVER ci-dessous d'un format individuel vers un format groupe. Rédige la version groupe pour chacune.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Question individuelle → À transformer en version groupe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 Qu'est-ce qui vous donnerait envie de changer cette habitude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 Qu'avez-vous déjà essayé qui a fonctionné, même partiellement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 Sur une échelle de 0 à 10, à quel point c'est important pour vous de changer ? »</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 Exemples de versions groupe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1. « Je vous invite à réfléchir chacun à votre rythme : qu'est-ce qui pourrait rendre ce changement intéressant pour vous ? Si quelqu'un souhaite partager, on s'écoute. » → Invitation non contraignante, préserve l'autonomie.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2. « Y a-t-il des personnes dans le groupe qui ont déjà testé quelque chose, même une petite chose, qui a marché ? » → Formulation factuelle, pas de pression individuelle.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3. « Je vais demander à chacun de noter mentalement son chiffre, de 0 à 10. Ceux qui veulent peuvent le partager. Ensuite je vous poserai une question sur ce chiffre. » → L'échelle reste individuelle, le groupe écoute — ce qui modélise l'importance de la réflexion personnelle.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Point de vigilance : en groupe, éviter les questions qui exposent (« Qui ici a le plus de mal ? »). L'esprit EM protège l'autonomie — en groupe cela signifie aussi protéger la face sociale des participants.</w:t>
      </w:r>
    </w:p>
    <w:p>
      <w:pPr>
        <w:pStyle w:val="Heading2"/>
        <w:spacing w:after="120" w:before="240"/>
      </w:pPr>
      <w:r>
        <w:rPr>
          <w:rFonts w:ascii="Times New Roman" w:cs="Times New Roman" w:eastAsia="Times New Roman" w:hAnsi="Times New Roman"/>
          <w:b/>
          <w:bCs/>
          <w:color w:val="1B3A6B"/>
          <w:sz w:val="30"/>
          <w:szCs w:val="30"/>
        </w:rPr>
        <w:t xml:space="preserve">🎯 Challenge — Concevoir une séance EM en groupe (45 min)</w:t>
      </w:r>
    </w:p>
    <w:p>
      <w:pPr>
        <w:spacing w:after="80" w:before="80"/>
      </w:pPr>
      <w:r>
        <w:rPr>
          <w:rFonts w:ascii="Times New Roman" w:cs="Times New Roman" w:eastAsia="Times New Roman" w:hAnsi="Times New Roman"/>
          <w:b w:val="false"/>
          <w:bCs w:val="false"/>
          <w:i w:val="false"/>
          <w:iCs w:val="false"/>
          <w:color w:val="1F2937"/>
          <w:sz w:val="22"/>
          <w:szCs w:val="22"/>
        </w:rPr>
        <w:t xml:space="preserve">Contexte : tu dois animer une réunion d'équipe sur un changement de pratique important (par exemple : mise en place des projets personnalisés d'accompagnement dans un nouveau format collaboratif). Plusieurs professionnels expriment une résistance.</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Ta mission : concevoir le plan d'une séance de 45 minutes en esprit EM en groupe. Le plan doit respecter les quatre phases du Group MI (engagement → évocation → élargissement → passage à l'action).</w:t>
      </w:r>
    </w:p>
    <w:p>
      <w:r>
        <w:t xml:space="preserve"/>
      </w:r>
    </w:p>
    <w:p>
      <w:pPr>
        <w:spacing w:after="80" w:before="80"/>
      </w:pPr>
      <w:r>
        <w:rPr>
          <w:rFonts w:ascii="Times New Roman" w:cs="Times New Roman" w:eastAsia="Times New Roman" w:hAnsi="Times New Roman"/>
          <w:b w:val="false"/>
          <w:bCs w:val="false"/>
          <w:i w:val="false"/>
          <w:iCs w:val="false"/>
          <w:color w:val="1F2937"/>
          <w:sz w:val="22"/>
          <w:szCs w:val="22"/>
        </w:rPr>
        <w:t xml:space="preserve">Pour chaque phase, précise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Durée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Activité / technique utilisée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Intention EM sous-jacente (PACE, OARS, discours-changement…)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Ce que tu évites (réflexe correcteur, argumentation, monopole de la parole)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 Exemple de plan commenté :</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Phase 1 — Engagement (10 min)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Activité : tour de table « en un mot, comment tu arrives aujourd'hui ? » + règles de fonctionnement co-construites (confidentialité, écoute, non-jugement)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Intention EM : créer la sécurité (PACE — acceptation inconditionnelle), normaliser les réticences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éviter : lancer directement le sujet du changement, interpréter la résistance comme un problème</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Phase 2 — Évocation (15 min)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Activité : question ouverte en groupe — « Qu'est-ce que ce changement représente pour vous, en bien ou en moins bien ? » Écoute en silence, reflets collectifs (« J'entends à la fois… et aussi…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Intention EM : faire émerger les deux faces de l'ambivalence collective, ne pas presser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éviter : rassurer, argumenter en faveur du changement, couper la parole des sceptiques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Phase 3 — Élargissement et momentum (12 min)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Activité : « Parmi ce que vous avez entendu, qu'est-ce qui vous a surpris ou résonné ? » — Les membres se répondent. Valoriser le discours-changement qui émerge organiquement.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Intention EM : utiliser le groupe comme ressource (effet miroir), renforcer le discours-changement sans le forcer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éviter : orienter les échanges vers les « bons » arguments, mettre en avant les sceptiques</w:t>
      </w:r>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Phase 4 — Passage à l'action (8 min)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Activité : « Si vous deviez identifier une toute petite chose que vous pourriez essayer la semaine prochaine, ce serait quoi ? » Chacun écrit sa réponse (même sans partager).</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Intention EM : amorcer la planification sans imposer, respecter le rythme de chacun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À éviter : demander un engagement ferme public, faire la liste des décisions collectives</w:t>
      </w:r>
    </w:p>
    <w:p>
      <w:pPr>
        <w:pBdr>
          <w:bottom w:val="single" w:color="1B3A6B" w:sz="4" w:space="1"/>
        </w:pBdr>
        <w:spacing w:after="120" w:before="120"/>
      </w:pPr>
    </w:p>
    <w:p>
      <w:pPr>
        <w:pStyle w:val="Heading2"/>
        <w:spacing w:after="120" w:before="240"/>
      </w:pPr>
      <w:r>
        <w:rPr>
          <w:rFonts w:ascii="Times New Roman" w:cs="Times New Roman" w:eastAsia="Times New Roman" w:hAnsi="Times New Roman"/>
          <w:b/>
          <w:bCs/>
          <w:color w:val="1B3A6B"/>
          <w:sz w:val="30"/>
          <w:szCs w:val="30"/>
        </w:rPr>
        <w:t xml:space="preserve">🌉 Pont professionnel — Chef de service en ESSMS</w:t>
      </w:r>
    </w:p>
    <w:p>
      <w:pPr>
        <w:spacing w:after="80" w:before="80"/>
      </w:pPr>
      <w:r>
        <w:rPr>
          <w:rFonts w:ascii="Times New Roman" w:cs="Times New Roman" w:eastAsia="Times New Roman" w:hAnsi="Times New Roman"/>
          <w:b w:val="false"/>
          <w:bCs w:val="false"/>
          <w:i w:val="false"/>
          <w:iCs w:val="false"/>
          <w:color w:val="1F2937"/>
          <w:sz w:val="22"/>
          <w:szCs w:val="22"/>
        </w:rPr>
        <w:t xml:space="preserve">En foyer d'hébergement, les réunions d'équipe et les entretiens professionnels sont des formats collectifs et semi-brefs qui se prêtent à l'esprit EM. La résistance aux changements organisationnels (nouveau DUI, réforme SERAFIN-PH, démarche qualité HAS) s'accompagne souvent d'une ambivalence authentique — pas d'une mauvaise volonté. Adopter la posture Group MI dans une réunion mensuelle, c'est créer les conditions où les équipes AES/ME/ES peuvent exprimer leurs doutes ET trouver leurs propres raisons d'adhérer.</w:t>
      </w:r>
    </w:p>
    <w:p>
      <w:pPr>
        <w:spacing w:after="80" w:before="80"/>
      </w:pPr>
      <w:r>
        <w:rPr>
          <w:rFonts w:ascii="Times New Roman" w:cs="Times New Roman" w:eastAsia="Times New Roman" w:hAnsi="Times New Roman"/>
          <w:b w:val="false"/>
          <w:bCs w:val="false"/>
          <w:i w:val="false"/>
          <w:iCs w:val="false"/>
          <w:color w:val="1F2937"/>
          <w:sz w:val="22"/>
          <w:szCs w:val="22"/>
        </w:rPr>
        <w:t xml:space="preserve">Le BMI en entretien individuel (15 min entre deux réunions) permet d'accompagner un professionnel en difficulté sans bloquer une heure dans un agenda contraint.</w:t>
      </w:r>
    </w:p>
    <w:p>
      <w:pPr>
        <w:pBdr>
          <w:bottom w:val="single" w:color="1B3A6B" w:sz="4" w:space="1"/>
        </w:pBdr>
        <w:spacing w:after="120" w:before="120"/>
      </w:pPr>
    </w:p>
    <w:p>
      <w:pPr>
        <w:pStyle w:val="Heading2"/>
        <w:spacing w:after="120" w:before="240"/>
      </w:pPr>
      <w:r>
        <w:rPr>
          <w:rFonts w:ascii="Times New Roman" w:cs="Times New Roman" w:eastAsia="Times New Roman" w:hAnsi="Times New Roman"/>
          <w:b/>
          <w:bCs/>
          <w:color w:val="1B3A6B"/>
          <w:sz w:val="30"/>
          <w:szCs w:val="30"/>
        </w:rPr>
        <w:t xml:space="preserve">📚 Ressources cliquables</w:t>
      </w:r>
    </w:p>
    <w:p>
      <w:pPr>
        <w:spacing w:after="80" w:before="80"/>
      </w:pPr>
      <w:r>
        <w:rPr>
          <w:rFonts w:ascii="Times New Roman" w:cs="Times New Roman" w:eastAsia="Times New Roman" w:hAnsi="Times New Roman"/>
          <w:b w:val="false"/>
          <w:bCs w:val="false"/>
          <w:i w:val="false"/>
          <w:iCs w:val="false"/>
          <w:color w:val="1F2937"/>
          <w:sz w:val="22"/>
          <w:szCs w:val="22"/>
        </w:rPr>
        <w:t xml:space="preserve">Toutes les URLs ont été testées et retournent HTTP 200 lors de cette exécution.</w:t>
      </w:r>
    </w:p>
    <w:p>
      <w:r>
        <w:t xml:space="preserve"/>
      </w:r>
    </w:p>
    <w:p>
      <w:pPr>
        <w:spacing w:after="60" w:before="60"/>
      </w:pPr>
      <w:hyperlink w:history="1" r:id="rIdhokl5a7sfahu7-rtrfj_n">
        <w:r>
          <w:rPr>
            <w:rFonts w:ascii="Times New Roman" w:cs="Times New Roman" w:eastAsia="Times New Roman" w:hAnsi="Times New Roman"/>
            <w:color w:val="1155CC"/>
            <w:sz w:val="22"/>
            <w:szCs w:val="22"/>
            <w:u w:val="single"/>
          </w:rPr>
          <w:t xml:space="preserve">Wikipedia EN — Motivational Interviewing (formats brefs, Group MI, MET, BCC)</w:t>
        </w:r>
      </w:hyperlink>
    </w:p>
    <w:p>
      <w:pPr>
        <w:spacing w:after="60" w:before="60"/>
      </w:pPr>
      <w:hyperlink w:history="1" r:id="rIdxemiwz5xtyxgtpghuvxji">
        <w:r>
          <w:rPr>
            <w:rFonts w:ascii="Times New Roman" w:cs="Times New Roman" w:eastAsia="Times New Roman" w:hAnsi="Times New Roman"/>
            <w:color w:val="1155CC"/>
            <w:sz w:val="22"/>
            <w:szCs w:val="22"/>
            <w:u w:val="single"/>
          </w:rPr>
          <w:t xml:space="preserve">Wikipedia FR — Entretien motivationnel</w:t>
        </w:r>
      </w:hyperlink>
    </w:p>
    <w:p>
      <w:pPr>
        <w:spacing w:after="60" w:before="60"/>
      </w:pPr>
      <w:hyperlink w:history="1" r:id="rIdtsbk0dv2eejzgfb6yah_i">
        <w:r>
          <w:rPr>
            <w:rFonts w:ascii="Times New Roman" w:cs="Times New Roman" w:eastAsia="Times New Roman" w:hAnsi="Times New Roman"/>
            <w:color w:val="1155CC"/>
            <w:sz w:val="22"/>
            <w:szCs w:val="22"/>
            <w:u w:val="single"/>
          </w:rPr>
          <w:t xml:space="preserve">PLoS ONE (2019) — Martín-Pérez et al. : Brief group MI aussi efficace que CBT (Pubmed)</w:t>
        </w:r>
      </w:hyperlink>
    </w:p>
    <w:p>
      <w:pPr>
        <w:spacing w:after="60" w:before="60"/>
      </w:pPr>
      <w:hyperlink w:history="1" r:id="rId94bx2cmpinuane47_nrog">
        <w:r>
          <w:rPr>
            <w:rFonts w:ascii="Times New Roman" w:cs="Times New Roman" w:eastAsia="Times New Roman" w:hAnsi="Times New Roman"/>
            <w:color w:val="1155CC"/>
            <w:sz w:val="22"/>
            <w:szCs w:val="22"/>
            <w:u w:val="single"/>
          </w:rPr>
          <w:t xml:space="preserve">PMC — Texte intégral : Brief group-delivered MI vs CBT (PMC6903743)</w:t>
        </w:r>
      </w:hyperlink>
    </w:p>
    <w:p>
      <w:pPr>
        <w:spacing w:after="60" w:before="60"/>
      </w:pPr>
      <w:hyperlink w:history="1" r:id="rIdzubr0azenlcqovtijjeq0">
        <w:r>
          <w:rPr>
            <w:rFonts w:ascii="Times New Roman" w:cs="Times New Roman" w:eastAsia="Times New Roman" w:hAnsi="Times New Roman"/>
            <w:color w:val="1155CC"/>
            <w:sz w:val="22"/>
            <w:szCs w:val="22"/>
            <w:u w:val="single"/>
          </w:rPr>
          <w:t xml:space="preserve">AFDEM — Association francophone de diffusion de l'EM (ressources francophones)</w:t>
        </w:r>
      </w:hyperlink>
    </w:p>
    <w:p>
      <w:pPr>
        <w:spacing w:after="60" w:before="60"/>
      </w:pPr>
      <w:hyperlink w:history="1" r:id="rIdsj_1aecuy8gfoyqrmsoj_">
        <w:r>
          <w:rPr>
            <w:rFonts w:ascii="Times New Roman" w:cs="Times New Roman" w:eastAsia="Times New Roman" w:hAnsi="Times New Roman"/>
            <w:color w:val="1155CC"/>
            <w:sz w:val="22"/>
            <w:szCs w:val="22"/>
            <w:u w:val="single"/>
          </w:rPr>
          <w:t xml:space="preserve">MINT — Motivational Interviewing Network of Trainers (site officiel international)</w:t>
        </w:r>
      </w:hyperlink>
    </w:p>
    <w:p>
      <w:r>
        <w:t xml:space="preserve"/>
      </w:r>
    </w:p>
    <w:p>
      <w:pPr>
        <w:spacing w:after="80" w:before="80"/>
      </w:pPr>
      <w:r>
        <w:rPr>
          <w:rFonts w:ascii="Times New Roman" w:cs="Times New Roman" w:eastAsia="Times New Roman" w:hAnsi="Times New Roman"/>
          <w:b/>
          <w:bCs/>
          <w:i w:val="false"/>
          <w:iCs w:val="false"/>
          <w:color w:val="1F2937"/>
          <w:sz w:val="22"/>
          <w:szCs w:val="22"/>
        </w:rPr>
        <w:t xml:space="preserve">Sources non consultables en headless (⛔)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www.entretienmotivationnel.org — Erreur de certificat TLS (altname mismatch) lors de cette exécution</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 www.collegedrinkingprevention.gov — Retourne HTTP 403 (blocage anti-robot)</w:t>
      </w:r>
    </w:p>
    <w:p>
      <w:pPr>
        <w:pBdr>
          <w:bottom w:val="single" w:color="1B3A6B" w:sz="4" w:space="1"/>
        </w:pBdr>
        <w:spacing w:after="120" w:before="120"/>
      </w:pPr>
    </w:p>
    <w:p>
      <w:pPr>
        <w:pStyle w:val="Heading2"/>
        <w:spacing w:after="120" w:before="240"/>
      </w:pPr>
      <w:r>
        <w:rPr>
          <w:rFonts w:ascii="Times New Roman" w:cs="Times New Roman" w:eastAsia="Times New Roman" w:hAnsi="Times New Roman"/>
          <w:b/>
          <w:bCs/>
          <w:color w:val="1B3A6B"/>
          <w:sz w:val="30"/>
          <w:szCs w:val="30"/>
        </w:rPr>
        <w:t xml:space="preserve">🔜 Prochaine leçon (n°12)</w:t>
      </w:r>
    </w:p>
    <w:p>
      <w:pPr>
        <w:spacing w:after="80" w:before="80"/>
      </w:pPr>
      <w:r>
        <w:rPr>
          <w:rFonts w:ascii="Times New Roman" w:cs="Times New Roman" w:eastAsia="Times New Roman" w:hAnsi="Times New Roman"/>
          <w:b w:val="false"/>
          <w:bCs w:val="false"/>
          <w:i w:val="false"/>
          <w:iCs w:val="false"/>
          <w:color w:val="1F2937"/>
          <w:sz w:val="22"/>
          <w:szCs w:val="22"/>
        </w:rPr>
        <w:t xml:space="preserve">Thème : EM et publics spécifiques — troubles psychiques sévères, TSA/TDI, adolescents</w:t>
      </w:r>
    </w:p>
    <w:p>
      <w:pPr>
        <w:spacing w:after="80" w:before="80"/>
      </w:pPr>
      <w:r>
        <w:rPr>
          <w:rFonts w:ascii="Times New Roman" w:cs="Times New Roman" w:eastAsia="Times New Roman" w:hAnsi="Times New Roman"/>
          <w:b w:val="false"/>
          <w:bCs w:val="false"/>
          <w:i w:val="false"/>
          <w:iCs w:val="false"/>
          <w:color w:val="1F2937"/>
          <w:sz w:val="22"/>
          <w:szCs w:val="22"/>
        </w:rPr>
        <w:t xml:space="preserve">Slug prévu : em-publics-specifiques-tsatdi</w:t>
      </w:r>
    </w:p>
    <w:p>
      <w:pPr>
        <w:spacing w:after="80" w:before="80"/>
      </w:pPr>
      <w:r>
        <w:rPr>
          <w:rFonts w:ascii="Times New Roman" w:cs="Times New Roman" w:eastAsia="Times New Roman" w:hAnsi="Times New Roman"/>
          <w:b w:val="false"/>
          <w:bCs w:val="false"/>
          <w:i w:val="false"/>
          <w:iCs w:val="false"/>
          <w:color w:val="1F2937"/>
          <w:sz w:val="22"/>
          <w:szCs w:val="22"/>
        </w:rPr>
        <w:t xml:space="preserve">Tu exploreras les adaptations de l'EM pour des publics dont les particularités cognitives, communicationnelles ou développementales exigent des ajustements de posture et de technique.</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okl5a7sfahu7-rtrfj_n" Type="http://schemas.openxmlformats.org/officeDocument/2006/relationships/hyperlink" Target="https://en.wikipedia.org/wiki/Motivational_interviewing" TargetMode="External"/><Relationship Id="rIdxemiwz5xtyxgtpghuvxji" Type="http://schemas.openxmlformats.org/officeDocument/2006/relationships/hyperlink" Target="https://fr.wikipedia.org/wiki/Entretien_motivationnel" TargetMode="External"/><Relationship Id="rIdtsbk0dv2eejzgfb6yah_i" Type="http://schemas.openxmlformats.org/officeDocument/2006/relationships/hyperlink" Target="https://pubmed.ncbi.nlm.nih.gov/31821350/" TargetMode="External"/><Relationship Id="rId94bx2cmpinuane47_nrog" Type="http://schemas.openxmlformats.org/officeDocument/2006/relationships/hyperlink" Target="https://pmc.ncbi.nlm.nih.gov/articles/PMC6903743/" TargetMode="External"/><Relationship Id="rIdzubr0azenlcqovtijjeq0" Type="http://schemas.openxmlformats.org/officeDocument/2006/relationships/hyperlink" Target="https://afdem.org/" TargetMode="External"/><Relationship Id="rIdsj_1aecuy8gfoyqrmsoj_" Type="http://schemas.openxmlformats.org/officeDocument/2006/relationships/hyperlink" Target="https://motivationalinterviewing.or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2026-08-06T07:38:37.389Z</dcterms:created>
  <dcterms:modified xsi:type="dcterms:W3CDTF">2026-08-06T07:38:37.750Z</dcterms:modified>
</cp:coreProperties>
</file>

<file path=docProps/custom.xml><?xml version="1.0" encoding="utf-8"?>
<Properties xmlns="http://schemas.openxmlformats.org/officeDocument/2006/custom-properties" xmlns:vt="http://schemas.openxmlformats.org/officeDocument/2006/docPropsVTypes"/>
</file>