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Hypnose &amp; auto-hypnose n°9</w:t>
      </w:r>
    </w:p>
    <w:p>
      <w:pPr>
        <w:pStyle w:val="Heading1"/>
        <w:spacing w:after="200" w:before="200"/>
        <w:jc w:val="center"/>
      </w:pPr>
      <w:r>
        <w:rPr>
          <w:rFonts w:ascii="Times New Roman" w:cs="Times New Roman" w:eastAsia="Times New Roman" w:hAnsi="Times New Roman"/>
          <w:b/>
          <w:bCs/>
          <w:color w:val="1B3A6B"/>
          <w:sz w:val="52"/>
          <w:szCs w:val="52"/>
        </w:rPr>
        <w:t xml:space="preserve">L'auto-hypnose au quotidien : ancrages et pratique régulière</w:t>
      </w:r>
    </w:p>
    <w:p>
      <w:pPr>
        <w:spacing w:after="60" w:before="60"/>
        <w:jc w:val="center"/>
      </w:pPr>
      <w:r>
        <w:rPr>
          <w:rFonts w:ascii="Times New Roman" w:cs="Times New Roman" w:eastAsia="Times New Roman" w:hAnsi="Times New Roman"/>
          <w:color w:val="6B7280"/>
          <w:sz w:val="20"/>
          <w:szCs w:val="20"/>
        </w:rPr>
        <w:t xml:space="preserve">Date : 2026-08-11   |   Leçon 9 / 20</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sauras intégrer l'auto-hypnose dans ta vie quotidienne : construire des ancrages fiables, maintenir une pratique régulière et déclencher rapidement un état de ressource sans induction formelle longue.</w:t>
      </w:r>
    </w:p>
    <w:p>
      <w:pPr>
        <w:spacing w:after="80" w:before="80"/>
      </w:pPr>
      <w:r>
        <w:rPr>
          <w:rFonts w:ascii="Times New Roman" w:cs="Times New Roman" w:eastAsia="Times New Roman" w:hAnsi="Times New Roman"/>
          <w:color w:val="1F2937"/>
          <w:sz w:val="22"/>
          <w:szCs w:val="22"/>
        </w:rPr>
        <w:t xml:space="preserve">Continuité : la leçon 08 a posé les fondations de l'auto-hypnose — l'état, l'induction, la suggestion de base. Ici, on passe à l'utilisation concrète au fil des jours : routines, ancrages sensoriels, mini-pratiques, et construction d'une boîte à outils personnelle.</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pBdr>
          <w:left w:val="single" w:color="1B3A6B" w:sz="12"/>
        </w:pBdr>
        <w:shd w:fill="F3F4F6" w:val="clear"/>
        <w:spacing w:after="140" w:before="140"/>
        <w:ind w:left="431" w:right="431"/>
      </w:pPr>
      <w:r>
        <w:rPr>
          <w:rFonts w:ascii="Times New Roman" w:cs="Times New Roman" w:eastAsia="Times New Roman" w:hAnsi="Times New Roman"/>
          <w:color w:val="1F2937"/>
          <w:sz w:val="20"/>
          <w:szCs w:val="20"/>
        </w:rPr>
        <w:t xml:space="preserve">Ce contenu vise le développement personnel et l'auto-pratique pour toi-même. Il ne constitue pas une formation à l'hypnothérapie sur autrui, ni un soin ou un conseil médical.</w:t>
      </w:r>
      <w:r>
        <w:rPr>
          <w:rFonts w:ascii="Times New Roman" w:cs="Times New Roman" w:eastAsia="Times New Roman" w:hAnsi="Times New Roman"/>
          <w:color w:val="1F2937"/>
          <w:sz w:val="20"/>
          <w:szCs w:val="20"/>
        </w:rPr>
        <w:t xml:space="preserve">
Si tu souffres de troubles dissociatifs, de dépression sévère, de troubles psychotiques ou d'épilepsie, consulte un professionnel de santé avant d'approfondir cette pratique.</w:t>
      </w:r>
      <w:r>
        <w:rPr>
          <w:rFonts w:ascii="Times New Roman" w:cs="Times New Roman" w:eastAsia="Times New Roman" w:hAnsi="Times New Roman"/>
          <w:color w:val="1F2937"/>
          <w:sz w:val="20"/>
          <w:szCs w:val="20"/>
        </w:rPr>
        <w:t xml:space="preserve">
Ne pratique jamais l'auto-hypnose au volant, en opérant des machines, ou dans toute situation nécessitant une vigilance totale.</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Théorie — L'ancrage et la pratique régulière (20%)</w:t>
      </w:r>
    </w:p>
    <w:p>
      <w:pPr>
        <w:pStyle w:val="Heading3"/>
        <w:spacing w:after="80" w:before="240"/>
      </w:pPr>
      <w:r>
        <w:rPr>
          <w:rFonts w:ascii="Times New Roman" w:cs="Times New Roman" w:eastAsia="Times New Roman" w:hAnsi="Times New Roman"/>
          <w:b/>
          <w:bCs/>
          <w:color w:val="1F2937"/>
          <w:sz w:val="26"/>
          <w:szCs w:val="26"/>
        </w:rPr>
        <w:t xml:space="preserve">1. Qu'est-ce qu'un ancrage hypnotique ?</w:t>
      </w:r>
    </w:p>
    <w:p>
      <w:pPr>
        <w:spacing w:after="80" w:before="80"/>
      </w:pPr>
      <w:r>
        <w:rPr>
          <w:rFonts w:ascii="Times New Roman" w:cs="Times New Roman" w:eastAsia="Times New Roman" w:hAnsi="Times New Roman"/>
          <w:color w:val="1F2937"/>
          <w:sz w:val="22"/>
          <w:szCs w:val="22"/>
        </w:rPr>
        <w:t xml:space="preserve">Un ancrage est une association apprise entre un stimulus (geste, son, mot, sensation) et un état interne (calme, concentration, confiance). En auto-hypnose, l'ancrage est établi en état de transe : la suggestion unit le stimulus à l'état désiré de façon répétée, jusqu'à ce que la connexion devienne automatique.</w:t>
      </w:r>
    </w:p>
    <w:p>
      <w:pPr>
        <w:spacing w:after="80" w:before="80"/>
      </w:pPr>
      <w:r>
        <w:rPr>
          <w:rFonts w:ascii="Times New Roman" w:cs="Times New Roman" w:eastAsia="Times New Roman" w:hAnsi="Times New Roman"/>
          <w:color w:val="1F2937"/>
          <w:sz w:val="22"/>
          <w:szCs w:val="22"/>
        </w:rPr>
        <w:t xml:space="preserve">Sur le plan neurologique, la littérature scientifique décrit l'ancrage comme une forme de conditionnement classique impliquant des régions associées à la mémoire émotionnelle (amygdale, hippocampe) et aux cortex sensoriels. Des travaux sur les mécanismes de la régulation émotionnelle par l'hypnose (voir ressources ci-dessous) montrent que les états induits en transe peuvent être reproduits hors transe via des indices contextuels.</w:t>
      </w:r>
    </w:p>
    <w:p>
      <w:pPr>
        <w:pStyle w:val="Heading3"/>
        <w:spacing w:after="80" w:before="240"/>
      </w:pPr>
      <w:r>
        <w:rPr>
          <w:rFonts w:ascii="Times New Roman" w:cs="Times New Roman" w:eastAsia="Times New Roman" w:hAnsi="Times New Roman"/>
          <w:b/>
          <w:bCs/>
          <w:color w:val="1F2937"/>
          <w:sz w:val="26"/>
          <w:szCs w:val="26"/>
        </w:rPr>
        <w:t xml:space="preserve">2. Types d'ancrages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Ancrage tactile : geste précis (pincer pouce-index, presser un point sur le poignet). Le plus discret et réutilisable au quotidien.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Ancrage auditif : mot-clé ou phrase (un seul mot, toujours le même, prononcé intérieurement).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Ancrage visuel : image mentale associée à l'état cible, rappelée à volonté.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Ancrage kinesthésique complexe : posture, position de respiration, relâchement d'un groupe musculaire précis.</w:t>
      </w:r>
    </w:p>
    <w:p>
      <w:pPr>
        <w:spacing w:after="80" w:before="80"/>
      </w:pPr>
      <w:r>
        <w:rPr>
          <w:rFonts w:ascii="Times New Roman" w:cs="Times New Roman" w:eastAsia="Times New Roman" w:hAnsi="Times New Roman"/>
          <w:color w:val="1F2937"/>
          <w:sz w:val="22"/>
          <w:szCs w:val="22"/>
        </w:rPr>
        <w:t xml:space="preserve">La solidité d'un ancrage dépend de trois facteurs : l'intensité de l'état au moment de la pose (plus la transe est profonde, plus l'ancrage est puissant), la répétition (3 à 7 poses successives sur plusieurs jours), et la singularité (un stimulus unique pour un état unique, sans chevauchement).</w:t>
      </w:r>
    </w:p>
    <w:p>
      <w:pPr>
        <w:pStyle w:val="Heading3"/>
        <w:spacing w:after="80" w:before="240"/>
      </w:pPr>
      <w:r>
        <w:rPr>
          <w:rFonts w:ascii="Times New Roman" w:cs="Times New Roman" w:eastAsia="Times New Roman" w:hAnsi="Times New Roman"/>
          <w:b/>
          <w:bCs/>
          <w:color w:val="1F2937"/>
          <w:sz w:val="26"/>
          <w:szCs w:val="26"/>
        </w:rPr>
        <w:t xml:space="preserve">3. Pratique régulière : pourquoi la constance prime sur la durée</w:t>
      </w:r>
    </w:p>
    <w:p>
      <w:pPr>
        <w:spacing w:after="80" w:before="80"/>
      </w:pPr>
      <w:r>
        <w:rPr>
          <w:rFonts w:ascii="Times New Roman" w:cs="Times New Roman" w:eastAsia="Times New Roman" w:hAnsi="Times New Roman"/>
          <w:color w:val="1F2937"/>
          <w:sz w:val="22"/>
          <w:szCs w:val="22"/>
        </w:rPr>
        <w:t xml:space="preserve">Les études sur la pratique de l'auto-hypnose (notamment les protocoles de 4 semaines examinés dans la littérature PMC sur l'auto-hypnose pour le sommeil et la gestion de la douleur) convergent vers un constat : une séance courte (10-15 min) tous les jours produit des effets plus durables qu'une longue séance hebdomadaire.</w:t>
      </w:r>
    </w:p>
    <w:p>
      <w:pPr>
        <w:spacing w:after="80" w:before="80"/>
      </w:pPr>
      <w:r>
        <w:rPr>
          <w:rFonts w:ascii="Times New Roman" w:cs="Times New Roman" w:eastAsia="Times New Roman" w:hAnsi="Times New Roman"/>
          <w:color w:val="1F2937"/>
          <w:sz w:val="22"/>
          <w:szCs w:val="22"/>
        </w:rPr>
        <w:t xml:space="preserve">La raison tient à la neuroplasticité : des répétitions régulières renforcent les voies neuronales associées à la régulation attentionnelle et émotionnelle. La régularité installe aussi une habitude de routine, ce qui abaisse le coût cognitif de l'induction (on entre plus vite en état car le cerveau « reconnaît » le signal).</w:t>
      </w:r>
    </w:p>
    <w:p>
      <w:pPr>
        <w:spacing w:after="80" w:before="80"/>
      </w:pPr>
      <w:r>
        <w:rPr>
          <w:rFonts w:ascii="Times New Roman" w:cs="Times New Roman" w:eastAsia="Times New Roman" w:hAnsi="Times New Roman"/>
          <w:color w:val="1F2937"/>
          <w:sz w:val="22"/>
          <w:szCs w:val="22"/>
        </w:rPr>
        <w:t xml:space="preserve">Progression typique en trois phases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Phase 1 (semaines 1-2) : 10-15 min/jour avec induction complète + pose d'ancrage.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Phase 2 (semaines 3-4) : 8-10 min/jour avec induction allégée + utilisation de l'ancrage.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Phase 3 (maintenance) : 3-5 min/jour via l'ancrage seul, + une séance longue hebdomadaire.</w:t>
      </w:r>
    </w:p>
    <w:p>
      <w:pPr>
        <w:pStyle w:val="Heading3"/>
        <w:spacing w:after="80" w:before="240"/>
      </w:pPr>
      <w:r>
        <w:rPr>
          <w:rFonts w:ascii="Times New Roman" w:cs="Times New Roman" w:eastAsia="Times New Roman" w:hAnsi="Times New Roman"/>
          <w:b/>
          <w:bCs/>
          <w:color w:val="1F2937"/>
          <w:sz w:val="26"/>
          <w:szCs w:val="26"/>
        </w:rPr>
        <w:t xml:space="preserve">4. Les micro-pratiques et états naturels de transe</w:t>
      </w:r>
    </w:p>
    <w:p>
      <w:pPr>
        <w:spacing w:after="80" w:before="80"/>
      </w:pPr>
      <w:r>
        <w:rPr>
          <w:rFonts w:ascii="Times New Roman" w:cs="Times New Roman" w:eastAsia="Times New Roman" w:hAnsi="Times New Roman"/>
          <w:color w:val="1F2937"/>
          <w:sz w:val="22"/>
          <w:szCs w:val="22"/>
        </w:rPr>
        <w:t xml:space="preserve">Plusieurs chercheurs et praticiens de l'hypnose ericksonienne soulignent que nous traversons spontanément des états de transe légère dans la journée : lors d'une conduite routinière, en lisant, en fixant un écran sans intention. Ces « micro-transes naturelles » peuvent être exploitées consciemment pour insérer une courte pratique d'auto-hypnose sans rituel formel : une respiration lente, l'activation de l'ancrage, une suggestion brève.</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Pratique — Exercices d'apprentissage actif (80%)</w:t>
      </w:r>
    </w:p>
    <w:p>
      <w:pPr>
        <w:pStyle w:val="Heading3"/>
        <w:spacing w:after="80" w:before="240"/>
      </w:pPr>
      <w:r>
        <w:rPr>
          <w:rFonts w:ascii="Times New Roman" w:cs="Times New Roman" w:eastAsia="Times New Roman" w:hAnsi="Times New Roman"/>
          <w:b/>
          <w:bCs/>
          <w:color w:val="1F2937"/>
          <w:sz w:val="26"/>
          <w:szCs w:val="26"/>
        </w:rPr>
        <w:t xml:space="preserve">Exercice 1 — Poser un ancrage tactile (20 min)</w:t>
      </w:r>
    </w:p>
    <w:p>
      <w:pPr>
        <w:spacing w:after="80" w:before="80"/>
      </w:pPr>
      <w:r>
        <w:rPr>
          <w:rFonts w:ascii="Times New Roman" w:cs="Times New Roman" w:eastAsia="Times New Roman" w:hAnsi="Times New Roman"/>
          <w:color w:val="1F2937"/>
          <w:sz w:val="22"/>
          <w:szCs w:val="22"/>
        </w:rPr>
        <w:t xml:space="preserve">Objectif : créer ton ancrage personnel pour un état de calme-concentration.</w:t>
      </w:r>
    </w:p>
    <w:p>
      <w:pPr>
        <w:spacing w:after="80" w:before="80"/>
      </w:pPr>
      <w:r>
        <w:rPr>
          <w:rFonts w:ascii="Times New Roman" w:cs="Times New Roman" w:eastAsia="Times New Roman" w:hAnsi="Times New Roman"/>
          <w:color w:val="1F2937"/>
          <w:sz w:val="22"/>
          <w:szCs w:val="22"/>
        </w:rPr>
        <w:t xml:space="preserve">Déroulé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Installe-toi confortablement. Effectue ton induction habituelle (la technique que tu as préférée en leçon 05 ou 08 : respiration, regard fixe, décompte).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Descends à un niveau de transe confortable et stable. Ressens bien l'état : calme, respiration ralentie, muscles relâchés.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Au moment où l'état est à son maximum d'intensité, pincer doucement le pouce et l'index de ta main dominante pendant 5 à 7 secondes. Dis mentalement ton mot-clé (choisis un mot qui n'est pas banal dans ta vie quotidienne, par exemple : « ancre » ou « fluide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Relâche. Laisse l'état s'estomper légèrement. Répète la séquence 3 fois dans la même séance.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Sors de transe normalement.</w:t>
      </w:r>
    </w:p>
    <w:p>
      <w:pPr>
        <w:spacing w:after="80" w:before="80"/>
      </w:pPr>
      <w:r>
        <w:rPr>
          <w:rFonts w:ascii="Times New Roman" w:cs="Times New Roman" w:eastAsia="Times New Roman" w:hAnsi="Times New Roman"/>
          <w:color w:val="1F2937"/>
          <w:sz w:val="22"/>
          <w:szCs w:val="22"/>
        </w:rPr>
        <w:t xml:space="preserve">Répète cet exercice 3 jours de suite sans utiliser l'ancrage entre les séances (phase de « saturation »).</w:t>
      </w:r>
    </w:p>
    <w:p>
      <w:pPr>
        <w:spacing w:after="80" w:before="80"/>
      </w:pPr>
      <w:r>
        <w:rPr>
          <w:rFonts w:ascii="Times New Roman" w:cs="Times New Roman" w:eastAsia="Times New Roman" w:hAnsi="Times New Roman"/>
          <w:color w:val="1F2937"/>
          <w:sz w:val="22"/>
          <w:szCs w:val="22"/>
        </w:rPr>
        <w:t xml:space="preserve">Test au 4e jour : en état ordinaire, effectue le geste + dis le mot-clé intérieurement. Note la réponse physiologique (respiration, tension musculaire, état mental). Consigne dans ton journal.</w:t>
      </w:r>
    </w:p>
    <w:p>
      <w:pPr>
        <w:pBdr>
          <w:left w:val="single" w:color="1B3A6B" w:sz="12"/>
        </w:pBdr>
        <w:shd w:fill="F3F4F6" w:val="clear"/>
        <w:spacing w:after="140" w:before="140"/>
        <w:ind w:left="431" w:right="431"/>
      </w:pPr>
      <w:r>
        <w:rPr>
          <w:rFonts w:ascii="Times New Roman" w:cs="Times New Roman" w:eastAsia="Times New Roman" w:hAnsi="Times New Roman"/>
          <w:color w:val="1F2937"/>
          <w:sz w:val="20"/>
          <w:szCs w:val="20"/>
        </w:rPr>
        <w:t xml:space="preserve">Journal de bord (à tenir sur les 14 premiers jours) :</w:t>
      </w:r>
      <w:r>
        <w:rPr>
          <w:rFonts w:ascii="Times New Roman" w:cs="Times New Roman" w:eastAsia="Times New Roman" w:hAnsi="Times New Roman"/>
          <w:color w:val="1F2937"/>
          <w:sz w:val="20"/>
          <w:szCs w:val="20"/>
        </w:rPr>
        <w:t xml:space="preserve">
• Date — Durée de la séance</w:t>
      </w:r>
      <w:r>
        <w:rPr>
          <w:rFonts w:ascii="Times New Roman" w:cs="Times New Roman" w:eastAsia="Times New Roman" w:hAnsi="Times New Roman"/>
          <w:color w:val="1F2937"/>
          <w:sz w:val="20"/>
          <w:szCs w:val="20"/>
        </w:rPr>
        <w:t xml:space="preserve">
• État avant / état après (note de 1 à 10)</w:t>
      </w:r>
      <w:r>
        <w:rPr>
          <w:rFonts w:ascii="Times New Roman" w:cs="Times New Roman" w:eastAsia="Times New Roman" w:hAnsi="Times New Roman"/>
          <w:color w:val="1F2937"/>
          <w:sz w:val="20"/>
          <w:szCs w:val="20"/>
        </w:rPr>
        <w:t xml:space="preserve">
• Qualité de l'ancrage (réponse ressentie, oui / partiel / non)</w:t>
      </w:r>
      <w:r>
        <w:rPr>
          <w:rFonts w:ascii="Times New Roman" w:cs="Times New Roman" w:eastAsia="Times New Roman" w:hAnsi="Times New Roman"/>
          <w:color w:val="1F2937"/>
          <w:sz w:val="20"/>
          <w:szCs w:val="20"/>
        </w:rPr>
        <w:t xml:space="preserve">
• Observations libres (pensées parasites, profondeur, sensations)</w:t>
      </w:r>
    </w:p>
    <w:p>
      <w:pPr>
        <w:pStyle w:val="Heading3"/>
        <w:spacing w:after="80" w:before="240"/>
      </w:pPr>
      <w:r>
        <w:rPr>
          <w:rFonts w:ascii="Times New Roman" w:cs="Times New Roman" w:eastAsia="Times New Roman" w:hAnsi="Times New Roman"/>
          <w:b/>
          <w:bCs/>
          <w:color w:val="1F2937"/>
          <w:sz w:val="26"/>
          <w:szCs w:val="26"/>
        </w:rPr>
        <w:t xml:space="preserve">Exercice 2 — La routine des trois moments (15 min/semaine à construire)</w:t>
      </w:r>
    </w:p>
    <w:p>
      <w:pPr>
        <w:spacing w:after="80" w:before="80"/>
      </w:pPr>
      <w:r>
        <w:rPr>
          <w:rFonts w:ascii="Times New Roman" w:cs="Times New Roman" w:eastAsia="Times New Roman" w:hAnsi="Times New Roman"/>
          <w:color w:val="1F2937"/>
          <w:sz w:val="22"/>
          <w:szCs w:val="22"/>
        </w:rPr>
        <w:t xml:space="preserve">Objectif : intégrer l'auto-hypnose dans des transitions naturelles de la journée.</w:t>
      </w:r>
    </w:p>
    <w:p>
      <w:pPr>
        <w:spacing w:after="80" w:before="80"/>
      </w:pPr>
      <w:r>
        <w:rPr>
          <w:rFonts w:ascii="Times New Roman" w:cs="Times New Roman" w:eastAsia="Times New Roman" w:hAnsi="Times New Roman"/>
          <w:color w:val="1F2937"/>
          <w:sz w:val="22"/>
          <w:szCs w:val="22"/>
        </w:rPr>
        <w:t xml:space="preserve">Identifie 3 moments réguliers dans ta semaine qui précèdent déjà une activité fixe (ex. : réveil → douche → café, déjeuner → retour au bureau, soirée → lecture → coucher). Ces transitions sont des « fenêtres d'induction naturelle » : l'attention est disponible, le corps change de rythme.</w:t>
      </w:r>
    </w:p>
    <w:p>
      <w:pPr>
        <w:spacing w:after="80" w:before="80"/>
      </w:pPr>
      <w:r>
        <w:rPr>
          <w:rFonts w:ascii="Times New Roman" w:cs="Times New Roman" w:eastAsia="Times New Roman" w:hAnsi="Times New Roman"/>
          <w:color w:val="1F2937"/>
          <w:sz w:val="22"/>
          <w:szCs w:val="22"/>
        </w:rPr>
        <w:t xml:space="preserve">Protocole court (5 min) pour chaque moment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30 secondes : 3 respirations profondes, relâchement des épaules.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minutes : induction abrégée (fermer les yeux, décompter de 5 à 1 avec sensation de descente).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minutes : une suggestion courte adaptée au moment (matin : énergie/intention ; milieu de journée : recentrage ; soir : lâcher-prise).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30 secondes : ancrage + sortie (décompter de 1 à 3, ouvrir les yeux).</w:t>
      </w:r>
    </w:p>
    <w:p>
      <w:pPr>
        <w:spacing w:after="80" w:before="80"/>
      </w:pPr>
      <w:r>
        <w:rPr>
          <w:rFonts w:ascii="Times New Roman" w:cs="Times New Roman" w:eastAsia="Times New Roman" w:hAnsi="Times New Roman"/>
          <w:color w:val="1F2937"/>
          <w:sz w:val="22"/>
          <w:szCs w:val="22"/>
        </w:rPr>
        <w:t xml:space="preserve">Tiens un tableau hebdomadaire : 3 colonnes (matin / midi / soir), 7 lignes (lundi-dimanche), coche chaque pratique réalisée. L'objectif est de rendre la régularité visible.</w:t>
      </w:r>
    </w:p>
    <w:p>
      <w:pPr>
        <w:pStyle w:val="Heading3"/>
        <w:spacing w:after="80" w:before="240"/>
      </w:pPr>
      <w:r>
        <w:rPr>
          <w:rFonts w:ascii="Times New Roman" w:cs="Times New Roman" w:eastAsia="Times New Roman" w:hAnsi="Times New Roman"/>
          <w:b/>
          <w:bCs/>
          <w:color w:val="1F2937"/>
          <w:sz w:val="26"/>
          <w:szCs w:val="26"/>
        </w:rPr>
        <w:t xml:space="preserve">Exercice 3 — L'ancrage en contexte réel (pratique d'insertion)</w:t>
      </w:r>
    </w:p>
    <w:p>
      <w:pPr>
        <w:spacing w:after="80" w:before="80"/>
      </w:pPr>
      <w:r>
        <w:rPr>
          <w:rFonts w:ascii="Times New Roman" w:cs="Times New Roman" w:eastAsia="Times New Roman" w:hAnsi="Times New Roman"/>
          <w:color w:val="1F2937"/>
          <w:sz w:val="22"/>
          <w:szCs w:val="22"/>
        </w:rPr>
        <w:t xml:space="preserve">Objectif : tester l'utilisation de l'ancrage hors séance, dans une situation ordinaire de la semaine.</w:t>
      </w:r>
    </w:p>
    <w:p>
      <w:pPr>
        <w:spacing w:after="80" w:before="80"/>
      </w:pPr>
      <w:r>
        <w:rPr>
          <w:rFonts w:ascii="Times New Roman" w:cs="Times New Roman" w:eastAsia="Times New Roman" w:hAnsi="Times New Roman"/>
          <w:color w:val="1F2937"/>
          <w:sz w:val="22"/>
          <w:szCs w:val="22"/>
        </w:rPr>
        <w:t xml:space="preserve">Choisis une situation récurrente légèrement inconfortable ou exigeante en attention : réunion, coup de téléphone difficile, tâche chronophage, moment de fatigue post-déjeuner.</w:t>
      </w:r>
    </w:p>
    <w:p>
      <w:pPr>
        <w:spacing w:after="80" w:before="80"/>
      </w:pPr>
      <w:r>
        <w:rPr>
          <w:rFonts w:ascii="Times New Roman" w:cs="Times New Roman" w:eastAsia="Times New Roman" w:hAnsi="Times New Roman"/>
          <w:color w:val="1F2937"/>
          <w:sz w:val="22"/>
          <w:szCs w:val="22"/>
        </w:rPr>
        <w:t xml:space="preserve">Juste avant cette situation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Trois respirations calmes (sans fermer les yeux si l'environnement ne le permet pas).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Activation de l'ancrage : geste + mot-clé intérieur. Maintien 3 secondes.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Intention : une phrase courte que tu te dis (ex. : « Je suis présent et posé »).</w:t>
      </w:r>
    </w:p>
    <w:p>
      <w:pPr>
        <w:spacing w:after="80" w:before="80"/>
      </w:pPr>
      <w:r>
        <w:rPr>
          <w:rFonts w:ascii="Times New Roman" w:cs="Times New Roman" w:eastAsia="Times New Roman" w:hAnsi="Times New Roman"/>
          <w:color w:val="1F2937"/>
          <w:sz w:val="22"/>
          <w:szCs w:val="22"/>
        </w:rPr>
        <w:t xml:space="preserve">Après la situation : note immédiatement (sur ton téléphone ou carnet) : l'ancrage a-t-il modifié ton état de départ ? As-tu senti une différence dans ta façon de traverser la situation ? Quel ajustement faire ?</w:t>
      </w:r>
    </w:p>
    <w:p>
      <w:pPr>
        <w:spacing w:after="80" w:before="80"/>
      </w:pPr>
      <w:r>
        <w:rPr>
          <w:rFonts w:ascii="Times New Roman" w:cs="Times New Roman" w:eastAsia="Times New Roman" w:hAnsi="Times New Roman"/>
          <w:color w:val="1F2937"/>
          <w:sz w:val="22"/>
          <w:szCs w:val="22"/>
        </w:rPr>
        <w:t xml:space="preserve">Cet exercice entraîne le transfert des compétences acquises en séance vers la vie réelle — c'est l'enjeu central de cette leçon.</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Challenge — Construire ta « boîte à outils » d'auto-hypnose</w:t>
      </w:r>
    </w:p>
    <w:p>
      <w:pPr>
        <w:spacing w:after="80" w:before="80"/>
      </w:pPr>
      <w:r>
        <w:rPr>
          <w:rFonts w:ascii="Times New Roman" w:cs="Times New Roman" w:eastAsia="Times New Roman" w:hAnsi="Times New Roman"/>
          <w:color w:val="1F2937"/>
          <w:sz w:val="22"/>
          <w:szCs w:val="22"/>
        </w:rPr>
        <w:t xml:space="preserve">Cet exercice de synthèse intègre les trois exercices précédents en une architecture cohérente.</w:t>
      </w:r>
    </w:p>
    <w:p>
      <w:pPr>
        <w:spacing w:after="80" w:before="80"/>
      </w:pPr>
      <w:r>
        <w:rPr>
          <w:rFonts w:ascii="Times New Roman" w:cs="Times New Roman" w:eastAsia="Times New Roman" w:hAnsi="Times New Roman"/>
          <w:color w:val="1F2937"/>
          <w:sz w:val="22"/>
          <w:szCs w:val="22"/>
        </w:rPr>
        <w:t xml:space="preserve">Sur une page (papier ou document numérique), construis ta boîte à outils personnelle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Mon ancrage : [stimulus] + [mot-clé] + [état cible]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Mes 3 moments quotidiens (transitions choisies) : [moment 1] — [moment 2] — [moment 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 durée de séance principale : [X min, fréquence]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 durée de micro-pratique : [X min, quand]</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situations réelles dans lesquelles j'utilise mon ancrage cette semaine : [1] [2] [3]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Mon indicateur de progression : comment je sais que ça fonctionne (critère observable, pas vague)</w:t>
      </w:r>
    </w:p>
    <w:p>
      <w:pPr>
        <w:spacing w:after="80" w:before="80"/>
      </w:pPr>
      <w:r>
        <w:rPr>
          <w:rFonts w:ascii="Times New Roman" w:cs="Times New Roman" w:eastAsia="Times New Roman" w:hAnsi="Times New Roman"/>
          <w:color w:val="1F2937"/>
          <w:sz w:val="22"/>
          <w:szCs w:val="22"/>
        </w:rPr>
        <w:t xml:space="preserve">Reviens sur cette page à la leçon 10. Tu compareras ta boîte à outils initiale avec ton expérience réelle des deux semaines écoulées.</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pBdr>
          <w:left w:val="single" w:color="1B3A6B" w:sz="12"/>
        </w:pBdr>
        <w:shd w:fill="F3F4F6" w:val="clear"/>
        <w:spacing w:after="140" w:before="140"/>
        <w:ind w:left="431" w:right="431"/>
      </w:pPr>
      <w:r>
        <w:rPr>
          <w:rFonts w:ascii="Times New Roman" w:cs="Times New Roman" w:eastAsia="Times New Roman" w:hAnsi="Times New Roman"/>
          <w:color w:val="1F2937"/>
          <w:sz w:val="20"/>
          <w:szCs w:val="20"/>
        </w:rPr>
        <w:t xml:space="preserve">La pratique des ancrages est bien documentée dans la littérature sur la gestion du stress au travail. En tant que chef de service, la capacité à réguler son état interne rapidement (avant un entretien difficile, une réunion de crise, une situation d'urgence) est une compétence de leadership concrète.</w:t>
      </w:r>
      <w:r>
        <w:rPr>
          <w:rFonts w:ascii="Times New Roman" w:cs="Times New Roman" w:eastAsia="Times New Roman" w:hAnsi="Times New Roman"/>
          <w:color w:val="1F2937"/>
          <w:sz w:val="20"/>
          <w:szCs w:val="20"/>
        </w:rPr>
        <w:t xml:space="preserve">
Attention : l'usage de techniques hypnotiques sur des membres d'équipe ou des personnes accompagnées exige une formation qualifiante et un cadre éthique explicite. La pratique décrite ici ne concerne que ton propre développement personnel.</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Sources consultées pendant cette leçon (toutes vérifiées 200 le 2026-08-11) :</w:t>
      </w:r>
    </w:p>
    <w:p>
      <w:pPr>
        <w:spacing w:after="60" w:before="80"/>
      </w:pPr>
      <w:r>
        <w:rPr>
          <w:rFonts w:ascii="Times New Roman" w:cs="Times New Roman" w:eastAsia="Times New Roman" w:hAnsi="Times New Roman"/>
          <w:b/>
          <w:bCs/>
          <w:color w:val="1F2937"/>
          <w:sz w:val="22"/>
          <w:szCs w:val="22"/>
        </w:rPr>
        <w:t xml:space="preserve">1. </w:t>
      </w:r>
      <w:hyperlink w:history="1" r:id="rIdopv7olpl0measeizrfgw2">
        <w:r>
          <w:rPr>
            <w:rStyle w:val="Hyperlink"/>
            <w:rFonts w:ascii="Times New Roman" w:cs="Times New Roman" w:eastAsia="Times New Roman" w:hAnsi="Times New Roman"/>
            <w:color w:val="1155CC"/>
            <w:sz w:val="22"/>
            <w:szCs w:val="22"/>
            <w:u w:val="single"/>
          </w:rPr>
          <w:t xml:space="preserve">Wikipedia — Self-hypnosis</w:t>
        </w:r>
      </w:hyperlink>
      <w:r>
        <w:rPr>
          <w:rFonts w:ascii="Times New Roman" w:cs="Times New Roman" w:eastAsia="Times New Roman" w:hAnsi="Times New Roman"/>
          <w:color w:val="1F2937"/>
          <w:sz w:val="22"/>
          <w:szCs w:val="22"/>
        </w:rPr>
        <w:t xml:space="preserve"> — Définition, mécanismes, techniques (en). Article synthétique et bien sourcé.</w:t>
      </w:r>
    </w:p>
    <w:p>
      <w:pPr>
        <w:spacing w:after="60" w:before="60"/>
      </w:pPr>
      <w:r>
        <w:rPr>
          <w:rFonts w:ascii="Times New Roman" w:cs="Times New Roman" w:eastAsia="Times New Roman" w:hAnsi="Times New Roman"/>
          <w:b/>
          <w:bCs/>
          <w:color w:val="1F2937"/>
          <w:sz w:val="22"/>
          <w:szCs w:val="22"/>
        </w:rPr>
        <w:t xml:space="preserve">2. </w:t>
      </w:r>
      <w:hyperlink w:history="1" r:id="rIdcot6keq5pr_1s17obk1hl">
        <w:r>
          <w:rPr>
            <w:rStyle w:val="Hyperlink"/>
            <w:rFonts w:ascii="Times New Roman" w:cs="Times New Roman" w:eastAsia="Times New Roman" w:hAnsi="Times New Roman"/>
            <w:color w:val="1155CC"/>
            <w:sz w:val="22"/>
            <w:szCs w:val="22"/>
            <w:u w:val="single"/>
          </w:rPr>
          <w:t xml:space="preserve">Psychology Today — Hypnosis</w:t>
        </w:r>
      </w:hyperlink>
      <w:r>
        <w:rPr>
          <w:rFonts w:ascii="Times New Roman" w:cs="Times New Roman" w:eastAsia="Times New Roman" w:hAnsi="Times New Roman"/>
          <w:color w:val="1F2937"/>
          <w:sz w:val="22"/>
          <w:szCs w:val="22"/>
        </w:rPr>
        <w:t xml:space="preserve"> — Vulgarisation sérieuse : états de transe quotidiens, pratique personnelle.</w:t>
      </w:r>
    </w:p>
    <w:p>
      <w:pPr>
        <w:spacing w:after="60" w:before="60"/>
      </w:pPr>
      <w:r>
        <w:rPr>
          <w:rFonts w:ascii="Times New Roman" w:cs="Times New Roman" w:eastAsia="Times New Roman" w:hAnsi="Times New Roman"/>
          <w:b/>
          <w:bCs/>
          <w:color w:val="1F2937"/>
          <w:sz w:val="22"/>
          <w:szCs w:val="22"/>
        </w:rPr>
        <w:t xml:space="preserve">3. </w:t>
      </w:r>
      <w:hyperlink w:history="1" r:id="rIdf0eaufogct8fd5y8qqwt8">
        <w:r>
          <w:rPr>
            <w:rStyle w:val="Hyperlink"/>
            <w:rFonts w:ascii="Times New Roman" w:cs="Times New Roman" w:eastAsia="Times New Roman" w:hAnsi="Times New Roman"/>
            <w:color w:val="1155CC"/>
            <w:sz w:val="22"/>
            <w:szCs w:val="22"/>
            <w:u w:val="single"/>
          </w:rPr>
          <w:t xml:space="preserve">autohypnose-facile.fr — Les ancrages</w:t>
        </w:r>
      </w:hyperlink>
      <w:r>
        <w:rPr>
          <w:rFonts w:ascii="Times New Roman" w:cs="Times New Roman" w:eastAsia="Times New Roman" w:hAnsi="Times New Roman"/>
          <w:color w:val="1F2937"/>
          <w:sz w:val="22"/>
          <w:szCs w:val="22"/>
        </w:rPr>
        <w:t xml:space="preserve"> — Guide pratique en français sur la construction et l'utilisation des ancrages.</w:t>
      </w:r>
    </w:p>
    <w:p>
      <w:pPr>
        <w:spacing w:after="60" w:before="60"/>
      </w:pPr>
      <w:r>
        <w:rPr>
          <w:rFonts w:ascii="Times New Roman" w:cs="Times New Roman" w:eastAsia="Times New Roman" w:hAnsi="Times New Roman"/>
          <w:b/>
          <w:bCs/>
          <w:color w:val="1F2937"/>
          <w:sz w:val="22"/>
          <w:szCs w:val="22"/>
        </w:rPr>
        <w:t xml:space="preserve">4. </w:t>
      </w:r>
      <w:hyperlink w:history="1" r:id="rIdlo-6nuaovqtt8uejvuc5r">
        <w:r>
          <w:rPr>
            <w:rStyle w:val="Hyperlink"/>
            <w:rFonts w:ascii="Times New Roman" w:cs="Times New Roman" w:eastAsia="Times New Roman" w:hAnsi="Times New Roman"/>
            <w:color w:val="1155CC"/>
            <w:sz w:val="22"/>
            <w:szCs w:val="22"/>
            <w:u w:val="single"/>
          </w:rPr>
          <w:t xml:space="preserve">fabienevain.com — Auto-hypnose au quotidien</w:t>
        </w:r>
      </w:hyperlink>
      <w:r>
        <w:rPr>
          <w:rFonts w:ascii="Times New Roman" w:cs="Times New Roman" w:eastAsia="Times New Roman" w:hAnsi="Times New Roman"/>
          <w:color w:val="1F2937"/>
          <w:sz w:val="22"/>
          <w:szCs w:val="22"/>
        </w:rPr>
        <w:t xml:space="preserve"> — 3 techniques pratiques contre stress et anxiété.</w:t>
      </w:r>
    </w:p>
    <w:p>
      <w:pPr>
        <w:spacing w:after="60" w:before="60"/>
      </w:pPr>
      <w:r>
        <w:rPr>
          <w:rFonts w:ascii="Times New Roman" w:cs="Times New Roman" w:eastAsia="Times New Roman" w:hAnsi="Times New Roman"/>
          <w:b/>
          <w:bCs/>
          <w:color w:val="1F2937"/>
          <w:sz w:val="22"/>
          <w:szCs w:val="22"/>
        </w:rPr>
        <w:t xml:space="preserve">5. </w:t>
      </w:r>
      <w:hyperlink w:history="1" r:id="rIdcifp_fxc7ulku462b02dt">
        <w:r>
          <w:rPr>
            <w:rStyle w:val="Hyperlink"/>
            <w:rFonts w:ascii="Times New Roman" w:cs="Times New Roman" w:eastAsia="Times New Roman" w:hAnsi="Times New Roman"/>
            <w:color w:val="1155CC"/>
            <w:sz w:val="22"/>
            <w:szCs w:val="22"/>
            <w:u w:val="single"/>
          </w:rPr>
          <w:t xml:space="preserve">PMC — Hypnosis, Emotion Regulation and Self-Integration (2025)</w:t>
        </w:r>
      </w:hyperlink>
      <w:r>
        <w:rPr>
          <w:rFonts w:ascii="Times New Roman" w:cs="Times New Roman" w:eastAsia="Times New Roman" w:hAnsi="Times New Roman"/>
          <w:color w:val="1F2937"/>
          <w:sz w:val="22"/>
          <w:szCs w:val="22"/>
        </w:rPr>
        <w:t xml:space="preserve"> — Revue intégrative sur les voies neurales, cognitives et expérientielles de l'hypnose pour la régulation émotionnelle.</w:t>
      </w:r>
    </w:p>
    <w:p>
      <w:pPr>
        <w:spacing w:after="60" w:before="60"/>
      </w:pPr>
      <w:r>
        <w:rPr>
          <w:rFonts w:ascii="Times New Roman" w:cs="Times New Roman" w:eastAsia="Times New Roman" w:hAnsi="Times New Roman"/>
          <w:b/>
          <w:bCs/>
          <w:color w:val="1F2937"/>
          <w:sz w:val="22"/>
          <w:szCs w:val="22"/>
        </w:rPr>
        <w:t xml:space="preserve">6. </w:t>
      </w:r>
      <w:hyperlink w:history="1" r:id="rIdip8zahlu7mp2wypsnrdrw">
        <w:r>
          <w:rPr>
            <w:rStyle w:val="Hyperlink"/>
            <w:rFonts w:ascii="Times New Roman" w:cs="Times New Roman" w:eastAsia="Times New Roman" w:hAnsi="Times New Roman"/>
            <w:color w:val="1155CC"/>
            <w:sz w:val="22"/>
            <w:szCs w:val="22"/>
            <w:u w:val="single"/>
          </w:rPr>
          <w:t xml:space="preserve">Adam Eason — How to Apply Self-Hypnosis in Daily Life</w:t>
        </w:r>
      </w:hyperlink>
      <w:r>
        <w:rPr>
          <w:rFonts w:ascii="Times New Roman" w:cs="Times New Roman" w:eastAsia="Times New Roman" w:hAnsi="Times New Roman"/>
          <w:color w:val="1F2937"/>
          <w:sz w:val="22"/>
          <w:szCs w:val="22"/>
        </w:rPr>
        <w:t xml:space="preserve"> — Application quotidienne, fréquence recommandée, intégration dans les routines (en).</w:t>
      </w:r>
    </w:p>
    <w:p>
      <w:pPr>
        <w:spacing w:after="80" w:before="60"/>
      </w:pPr>
      <w:r>
        <w:rPr>
          <w:rFonts w:ascii="Times New Roman" w:cs="Times New Roman" w:eastAsia="Times New Roman" w:hAnsi="Times New Roman"/>
          <w:b/>
          <w:bCs/>
          <w:color w:val="1F2937"/>
          <w:sz w:val="22"/>
          <w:szCs w:val="22"/>
        </w:rPr>
        <w:t xml:space="preserve">7. </w:t>
      </w:r>
      <w:hyperlink w:history="1" r:id="rIdevpkutnaqbmebsqhqtols">
        <w:r>
          <w:rPr>
            <w:rStyle w:val="Hyperlink"/>
            <w:rFonts w:ascii="Times New Roman" w:cs="Times New Roman" w:eastAsia="Times New Roman" w:hAnsi="Times New Roman"/>
            <w:color w:val="1155CC"/>
            <w:sz w:val="22"/>
            <w:szCs w:val="22"/>
            <w:u w:val="single"/>
          </w:rPr>
          <w:t xml:space="preserve">Discovering Hypnosis — Anchoring in Hypnosis</w:t>
        </w:r>
      </w:hyperlink>
      <w:r>
        <w:rPr>
          <w:rFonts w:ascii="Times New Roman" w:cs="Times New Roman" w:eastAsia="Times New Roman" w:hAnsi="Times New Roman"/>
          <w:color w:val="1F2937"/>
          <w:sz w:val="22"/>
          <w:szCs w:val="22"/>
        </w:rPr>
        <w:t xml:space="preserve"> — Mécanismes de l'ancrage hypnotique : amygdale, hippocampe, conditionnement (en).</w:t>
      </w:r>
    </w:p>
    <w:p>
      <w:pPr>
        <w:pBdr>
          <w:bottom w:val="single" w:color="CCCCCC"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10 / 20 — La suggestion post-hypnotique</w:t>
      </w:r>
    </w:p>
    <w:p>
      <w:pPr>
        <w:spacing w:after="80" w:before="80"/>
      </w:pPr>
      <w:r>
        <w:rPr>
          <w:rFonts w:ascii="Times New Roman" w:cs="Times New Roman" w:eastAsia="Times New Roman" w:hAnsi="Times New Roman"/>
          <w:color w:val="1F2937"/>
          <w:sz w:val="22"/>
          <w:szCs w:val="22"/>
        </w:rPr>
        <w:t xml:space="preserve">Nous approfondirons la mécanique de la suggestion qui perdure hors transe : comment formuler des suggestions efficaces, quand elles fonctionnent, pourquoi certaines échouent. La leçon 10 s'appuiera directement sur les ancrages et la pratique régulière installés dans cette leçon 09.</w:t>
      </w:r>
    </w:p>
    <w:p>
      <w:pPr>
        <w:pBdr>
          <w:bottom w:val="single" w:color="CCCCCC" w:sz="6"/>
        </w:pBdr>
        <w:spacing w:after="200" w:before="200"/>
      </w:pPr>
    </w:p>
    <w:p>
      <w:pPr>
        <w:spacing w:after="80" w:before="120"/>
        <w:jc w:val="center"/>
      </w:pPr>
      <w:r>
        <w:rPr>
          <w:rFonts w:ascii="Times New Roman" w:cs="Times New Roman" w:eastAsia="Times New Roman" w:hAnsi="Times New Roman"/>
          <w:color w:val="9CA3AF"/>
          <w:sz w:val="18"/>
          <w:szCs w:val="18"/>
        </w:rPr>
        <w:t xml:space="preserve">Leçon 9 / 20 · Parcours Hypnose &amp; auto-hypnose · 2026-08-11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v7olpl0measeizrfgw2" Type="http://schemas.openxmlformats.org/officeDocument/2006/relationships/hyperlink" Target="https://en.wikipedia.org/wiki/Self-hypnosis" TargetMode="External"/><Relationship Id="rIdcot6keq5pr_1s17obk1hl" Type="http://schemas.openxmlformats.org/officeDocument/2006/relationships/hyperlink" Target="https://www.psychologytoday.com/us/basics/hypnosis" TargetMode="External"/><Relationship Id="rIdf0eaufogct8fd5y8qqwt8" Type="http://schemas.openxmlformats.org/officeDocument/2006/relationships/hyperlink" Target="https://www.autohypnose-facile.fr/les-secrets-des-ancrages" TargetMode="External"/><Relationship Id="rIdlo-6nuaovqtt8uejvuc5r" Type="http://schemas.openxmlformats.org/officeDocument/2006/relationships/hyperlink" Target="https://www.fabienevain.com/pausementale/auto-hypnose-au-quotidien-techniques-et-applications-pratiques" TargetMode="External"/><Relationship Id="rIdcifp_fxc7ulku462b02dt" Type="http://schemas.openxmlformats.org/officeDocument/2006/relationships/hyperlink" Target="https://pmc.ncbi.nlm.nih.gov/articles/PMC13024316/" TargetMode="External"/><Relationship Id="rIdip8zahlu7mp2wypsnrdrw" Type="http://schemas.openxmlformats.org/officeDocument/2006/relationships/hyperlink" Target="https://adam-eason.com/how-to-apply-self-hypnosis-in-daily-life/" TargetMode="External"/><Relationship Id="rIdevpkutnaqbmebsqhqtols" Type="http://schemas.openxmlformats.org/officeDocument/2006/relationships/hyperlink" Target="https://discoveringhypnosis.com/anchoring-in-hypnosis-how-it-shapes-the-mind"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2026-08-11T07:06:43.364Z</dcterms:created>
  <dcterms:modified xsi:type="dcterms:W3CDTF">2026-08-11T07:06:43.367Z</dcterms:modified>
</cp:coreProperties>
</file>

<file path=docProps/custom.xml><?xml version="1.0" encoding="utf-8"?>
<Properties xmlns="http://schemas.openxmlformats.org/officeDocument/2006/custom-properties" xmlns:vt="http://schemas.openxmlformats.org/officeDocument/2006/docPropsVTypes"/>
</file>