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jc w:val="center"/>
      </w:pPr>
      <w:r>
        <w:rPr>
          <w:rFonts w:ascii="Times New Roman" w:cs="Times New Roman" w:eastAsia="Times New Roman" w:hAnsi="Times New Roman"/>
          <w:b/>
          <w:bCs/>
          <w:color w:val="1B3A6B"/>
          <w:sz w:val="52"/>
          <w:szCs w:val="52"/>
        </w:rPr>
        <w:t xml:space="preserve">Leçon Hypnose &amp; auto-hypnose n°11</w:t>
      </w:r>
    </w:p>
    <w:p>
      <w:pPr>
        <w:pStyle w:val="Heading1"/>
        <w:spacing w:after="160"/>
        <w:jc w:val="center"/>
      </w:pPr>
      <w:r>
        <w:rPr>
          <w:rFonts w:ascii="Times New Roman" w:cs="Times New Roman" w:eastAsia="Times New Roman" w:hAnsi="Times New Roman"/>
          <w:b/>
          <w:bCs/>
          <w:color w:val="1B3A6B"/>
          <w:sz w:val="52"/>
          <w:szCs w:val="52"/>
        </w:rPr>
        <w:t xml:space="preserve">Les métaphores thérapeutiques et les histoires</w:t>
      </w:r>
    </w:p>
    <w:p>
      <w:pPr>
        <w:spacing w:after="80"/>
        <w:jc w:val="center"/>
      </w:pPr>
      <w:r>
        <w:rPr>
          <w:rFonts w:ascii="Times New Roman" w:cs="Times New Roman" w:eastAsia="Times New Roman" w:hAnsi="Times New Roman"/>
          <w:i/>
          <w:iCs/>
          <w:color w:val="1B3A6B"/>
          <w:sz w:val="22"/>
          <w:szCs w:val="22"/>
        </w:rPr>
        <w:t xml:space="preserve">25 août 2026  ·  Leçon 11 / 20</w:t>
      </w:r>
    </w:p>
    <w:p>
      <w:pPr>
        <w:spacing w:after="80"/>
      </w:pPr>
    </w:p>
    <w:p>
      <w:pPr>
        <w:pStyle w:val="Heading2"/>
        <w:spacing w:after="120" w:before="320"/>
      </w:pPr>
      <w:r>
        <w:rPr>
          <w:rFonts w:ascii="Times New Roman" w:cs="Times New Roman" w:eastAsia="Times New Roman" w:hAnsi="Times New Roman"/>
          <w:b/>
          <w:bCs/>
          <w:color w:val="1B3A6B"/>
          <w:sz w:val="30"/>
          <w:szCs w:val="30"/>
        </w:rPr>
        <w:t xml:space="preserve">🎯 Objectif &amp; continuité</w:t>
      </w:r>
    </w:p>
    <w:p>
      <w:pPr>
        <w:spacing w:after="120"/>
      </w:pPr>
      <w:r>
        <w:rPr>
          <w:rFonts w:ascii="Times New Roman" w:cs="Times New Roman" w:eastAsia="Times New Roman" w:hAnsi="Times New Roman"/>
          <w:color w:val="1F2937"/>
          <w:sz w:val="22"/>
          <w:szCs w:val="22"/>
        </w:rPr>
        <w:t xml:space="preserve">À l'issue de cette leçon, tu comprendras comment les métaphores et les récits fonctionnent comme vecteurs de suggestion indirecte en hypnose, et tu seras capable de construire et d'utiliser une métaphore simple en auto-hypnose pour contourner les résistances conscientes et parler directement à ta vie intérieure.</w:t>
      </w:r>
    </w:p>
    <w:p>
      <w:pPr>
        <w:spacing w:after="120"/>
      </w:pPr>
      <w:r>
        <w:rPr>
          <w:rFonts w:ascii="Times New Roman" w:cs="Times New Roman" w:eastAsia="Times New Roman" w:hAnsi="Times New Roman"/>
          <w:color w:val="1F2937"/>
          <w:sz w:val="22"/>
          <w:szCs w:val="22"/>
        </w:rPr>
        <w:t xml:space="preserve">Lien avec la leçon 10 (suggestion post-hypnotique) : la suggestion post-hypnotique formule une instruction directe — « tu feras X après la transe ». La métaphore thérapeutique agit autrement : elle enveloppe la suggestion dans une histoire, laissant l'inconscient trouver lui-même le sens pertinent. Les deux techniques sont complémentaires et se renforcent.</w:t>
      </w:r>
    </w:p>
    <w:p>
      <w:pPr>
        <w:spacing w:after="80"/>
      </w:pPr>
    </w:p>
    <w:p>
      <w:pPr>
        <w:pStyle w:val="Heading2"/>
        <w:spacing w:after="120" w:before="320"/>
      </w:pPr>
      <w:r>
        <w:rPr>
          <w:rFonts w:ascii="Times New Roman" w:cs="Times New Roman" w:eastAsia="Times New Roman" w:hAnsi="Times New Roman"/>
          <w:b/>
          <w:bCs/>
          <w:color w:val="1B3A6B"/>
          <w:sz w:val="30"/>
          <w:szCs w:val="30"/>
        </w:rPr>
        <w:t xml:space="preserve">⚠️ Cadre &amp; sécurité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F2F7" w:val="clear"/>
            <w:tcMar>
              <w:top w:type="dxa" w:w="100"/>
              <w:left w:type="dxa" w:w="200"/>
              <w:bottom w:type="dxa" w:w="100"/>
              <w:right w:type="dxa" w:w="200"/>
            </w:tcMar>
          </w:tcPr>
          <w:p>
            <w:pPr>
              <w:spacing w:after="80"/>
            </w:pPr>
            <w:r>
              <w:rPr>
                <w:rFonts w:ascii="Times New Roman" w:cs="Times New Roman" w:eastAsia="Times New Roman" w:hAnsi="Times New Roman"/>
                <w:color w:val="1F2937"/>
                <w:sz w:val="22"/>
                <w:szCs w:val="22"/>
              </w:rPr>
              <w:t xml:space="preserve">Ces exercices relèvent de l'auto-pratique de développement personnel (gestion du stress, créativité, exploration intérieure), pas d'une formation à l'hypnothérapie.</w:t>
            </w:r>
          </w:p>
          <w:p>
            <w:pPr>
              <w:spacing w:after="80"/>
            </w:pPr>
            <w:r>
              <w:rPr>
                <w:rFonts w:ascii="Times New Roman" w:cs="Times New Roman" w:eastAsia="Times New Roman" w:hAnsi="Times New Roman"/>
                <w:color w:val="1F2937"/>
                <w:sz w:val="22"/>
                <w:szCs w:val="22"/>
              </w:rPr>
              <w:t xml:space="preserve">Utiliser la métaphore sur autrui — a fortiori sur des personnes accompagnées — exige une qualification professionnelle. Ce n'est pas l'objet de ce parcours.</w:t>
            </w:r>
          </w:p>
          <w:p>
            <w:pPr>
              <w:spacing w:after="80"/>
            </w:pPr>
            <w:r>
              <w:rPr>
                <w:rFonts w:ascii="Times New Roman" w:cs="Times New Roman" w:eastAsia="Times New Roman" w:hAnsi="Times New Roman"/>
                <w:color w:val="1F2937"/>
                <w:sz w:val="22"/>
                <w:szCs w:val="22"/>
              </w:rPr>
              <w:t xml:space="preserve">Contre-indications spécifiques à ce thème : certaines histoires mobilisant des images fortes peuvent réactiver des contenus sensibles (traumatismes, deuils). En auto-pratique, reste attentif à tes réactions émotionnelles et interromps l'exercice sans hésiter si l'émotion devient trop intense.</w:t>
            </w:r>
          </w:p>
        </w:tc>
      </w:tr>
    </w:tbl>
    <w:p>
      <w:pPr>
        <w:spacing w:after="80"/>
      </w:pPr>
    </w:p>
    <w:p>
      <w:pPr>
        <w:pStyle w:val="Heading2"/>
        <w:spacing w:after="120" w:before="320"/>
      </w:pPr>
      <w:r>
        <w:rPr>
          <w:rFonts w:ascii="Times New Roman" w:cs="Times New Roman" w:eastAsia="Times New Roman" w:hAnsi="Times New Roman"/>
          <w:b/>
          <w:bCs/>
          <w:color w:val="1B3A6B"/>
          <w:sz w:val="30"/>
          <w:szCs w:val="30"/>
        </w:rPr>
        <w:t xml:space="preserve">🔬 Théorie (20 %) — Pourquoi les histoires touchent là où les mots directs butent</w:t>
      </w:r>
    </w:p>
    <w:p>
      <w:pPr>
        <w:pStyle w:val="Heading3"/>
        <w:spacing w:after="80" w:before="200"/>
      </w:pPr>
      <w:r>
        <w:rPr>
          <w:rFonts w:ascii="Times New Roman" w:cs="Times New Roman" w:eastAsia="Times New Roman" w:hAnsi="Times New Roman"/>
          <w:b/>
          <w:bCs/>
          <w:color w:val="1F2937"/>
          <w:sz w:val="26"/>
          <w:szCs w:val="26"/>
        </w:rPr>
        <w:t xml:space="preserve">1. La métaphore : langage préférentiel de l'inconscient</w:t>
      </w:r>
    </w:p>
    <w:p>
      <w:pPr>
        <w:spacing w:after="120"/>
      </w:pPr>
      <w:r>
        <w:rPr>
          <w:rFonts w:ascii="Times New Roman" w:cs="Times New Roman" w:eastAsia="Times New Roman" w:hAnsi="Times New Roman"/>
          <w:color w:val="1F2937"/>
          <w:sz w:val="22"/>
          <w:szCs w:val="22"/>
        </w:rPr>
        <w:t xml:space="preserve">L'hypnose ericksonienne repose sur un postulat central : l'inconscient pense par images, analogies et récits — pas par raisonnement logique. Une instruction directe (« relaxe-toi », « sois confiant ») active d'abord la censure consciente : le mental évalue, compare, objecte. Une histoire, elle, contourne ce filtre.</w:t>
      </w:r>
    </w:p>
    <w:p>
      <w:pPr>
        <w:spacing w:after="120"/>
      </w:pPr>
      <w:r>
        <w:rPr>
          <w:rFonts w:ascii="Times New Roman" w:cs="Times New Roman" w:eastAsia="Times New Roman" w:hAnsi="Times New Roman"/>
          <w:color w:val="1F2937"/>
          <w:sz w:val="22"/>
          <w:szCs w:val="22"/>
        </w:rPr>
        <w:t xml:space="preserve">La Wikipedia sur l'hypnose note que les praticiens contemporains emploient des suggestions indirectes telles que « des métaphores ou des histoires dont le sens visé peut être dissimulé à l'esprit conscient du sujet ». C'est précisément là que réside l'efficacité de la technique : le conscient suit le récit, l'inconscient reçoit le message.</w:t>
      </w:r>
    </w:p>
    <w:p>
      <w:pPr>
        <w:pStyle w:val="Heading3"/>
        <w:spacing w:after="80" w:before="200"/>
      </w:pPr>
      <w:r>
        <w:rPr>
          <w:rFonts w:ascii="Times New Roman" w:cs="Times New Roman" w:eastAsia="Times New Roman" w:hAnsi="Times New Roman"/>
          <w:b/>
          <w:bCs/>
          <w:color w:val="1F2937"/>
          <w:sz w:val="26"/>
          <w:szCs w:val="26"/>
        </w:rPr>
        <w:t xml:space="preserve">2. Milton Erickson et les « histoires thérapeutiques »</w:t>
      </w:r>
    </w:p>
    <w:p>
      <w:pPr>
        <w:spacing w:after="120"/>
      </w:pPr>
      <w:r>
        <w:rPr>
          <w:rFonts w:ascii="Times New Roman" w:cs="Times New Roman" w:eastAsia="Times New Roman" w:hAnsi="Times New Roman"/>
          <w:color w:val="1F2937"/>
          <w:sz w:val="22"/>
          <w:szCs w:val="22"/>
        </w:rPr>
        <w:t xml:space="preserve">Erickson est la figure fondatrice de l'usage systématique de la métaphore en hypnose. Sa pratique s'appuyait sur des anecdotes personnelles, des fables, des contes et même des plaisanteries — choisis en fonction des centres d'intérêt et du monde référentiel du patient. La Fondation Milton H. Erickson rappelle sa conviction : chaque personne possède les ressources pour surmonter ses difficultés, et le thérapeute les active en mobilisant les propres analogies et images du patient.</w:t>
      </w:r>
    </w:p>
    <w:p>
      <w:pPr>
        <w:spacing w:after="120"/>
      </w:pPr>
      <w:r>
        <w:rPr>
          <w:rFonts w:ascii="Times New Roman" w:cs="Times New Roman" w:eastAsia="Times New Roman" w:hAnsi="Times New Roman"/>
          <w:color w:val="1F2937"/>
          <w:sz w:val="22"/>
          <w:szCs w:val="22"/>
        </w:rPr>
        <w:t xml:space="preserve">Parmi ses récits les plus cités (par plusieurs sources anglophones spécialisées) : l'histoire du cheval perdu, dans laquelle Erickson raconte comment il a guidé un cheval égaré jusqu'à son enclos en lui faisant simplement confiance pour trouver le chemin — métaphore de la confiance accordée aux ressources internes du patient. Aucune citation mot-pour-mot n'est reproduite ici, les versions transcrites variant selon les sources.</w:t>
      </w:r>
    </w:p>
    <w:p>
      <w:pPr>
        <w:pStyle w:val="Heading3"/>
        <w:spacing w:after="80" w:before="200"/>
      </w:pPr>
      <w:r>
        <w:rPr>
          <w:rFonts w:ascii="Times New Roman" w:cs="Times New Roman" w:eastAsia="Times New Roman" w:hAnsi="Times New Roman"/>
          <w:b/>
          <w:bCs/>
          <w:color w:val="1F2937"/>
          <w:sz w:val="26"/>
          <w:szCs w:val="26"/>
        </w:rPr>
        <w:t xml:space="preserve">3. Mécanismes : comment la métaphore agit</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Contournement des résistances : </w:t>
      </w:r>
      <w:r>
        <w:rPr>
          <w:rFonts w:ascii="Times New Roman" w:cs="Times New Roman" w:eastAsia="Times New Roman" w:hAnsi="Times New Roman"/>
          <w:color w:val="1F2937"/>
          <w:sz w:val="22"/>
          <w:szCs w:val="22"/>
        </w:rPr>
        <w:t xml:space="preserve">l'esprit critique suit le récit comme fiction ; il ne mobilise pas ses défenses habituelles.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Identification projective : </w:t>
      </w:r>
      <w:r>
        <w:rPr>
          <w:rFonts w:ascii="Times New Roman" w:cs="Times New Roman" w:eastAsia="Times New Roman" w:hAnsi="Times New Roman"/>
          <w:color w:val="1F2937"/>
          <w:sz w:val="22"/>
          <w:szCs w:val="22"/>
        </w:rPr>
        <w:t xml:space="preserve">l'écoutant ou le lecteur projette inconsciemment sa propre situation sur les personnages. C'est le même mécanisme identifié en bibliothérapie : l'identification à un personnage ouvre une perspective alternative sur sa propre réalité.</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Travail post-séance : </w:t>
      </w:r>
      <w:r>
        <w:rPr>
          <w:rFonts w:ascii="Times New Roman" w:cs="Times New Roman" w:eastAsia="Times New Roman" w:hAnsi="Times New Roman"/>
          <w:color w:val="1F2937"/>
          <w:sz w:val="22"/>
          <w:szCs w:val="22"/>
        </w:rPr>
        <w:t xml:space="preserve">les métaphores bien construites continuent d'opérer après la séance — l'inconscient continue de dérouler le sens, de trouver de nouvelles correspondances. Plusieurs sources anglophones spécialisées (selfhypnosis.com, hypnosiscredentials.com) décrivent cet effet de « graines semées » qui germent dans le temps.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Polysémie contrôlée : </w:t>
      </w:r>
      <w:r>
        <w:rPr>
          <w:rFonts w:ascii="Times New Roman" w:cs="Times New Roman" w:eastAsia="Times New Roman" w:hAnsi="Times New Roman"/>
          <w:color w:val="1F2937"/>
          <w:sz w:val="22"/>
          <w:szCs w:val="22"/>
        </w:rPr>
        <w:t xml:space="preserve">une bonne métaphore est suffisamment ouverte pour que chaque individu y trouve ce qui le concerne, sans qu'il soit nécessaire d'identifier explicitement le problème.</w:t>
      </w:r>
    </w:p>
    <w:p>
      <w:pPr>
        <w:spacing w:after="80"/>
      </w:pPr>
    </w:p>
    <w:p>
      <w:pPr>
        <w:pStyle w:val="Heading3"/>
        <w:spacing w:after="80" w:before="200"/>
      </w:pPr>
      <w:r>
        <w:rPr>
          <w:rFonts w:ascii="Times New Roman" w:cs="Times New Roman" w:eastAsia="Times New Roman" w:hAnsi="Times New Roman"/>
          <w:b/>
          <w:bCs/>
          <w:color w:val="1F2937"/>
          <w:sz w:val="26"/>
          <w:szCs w:val="26"/>
        </w:rPr>
        <w:t xml:space="preserve">4. Types de métaphores utilisées en hypnose</w:t>
      </w:r>
    </w:p>
    <w:p>
      <w:pPr>
        <w:spacing w:after="120"/>
      </w:pPr>
      <w:r>
        <w:rPr>
          <w:rFonts w:ascii="Times New Roman" w:cs="Times New Roman" w:eastAsia="Times New Roman" w:hAnsi="Times New Roman"/>
          <w:color w:val="1F2937"/>
          <w:sz w:val="22"/>
          <w:szCs w:val="22"/>
        </w:rPr>
        <w:t xml:space="preserve">On distingue généralement (synthèse des sources consultées)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Métaphore directe (isomorphe) : </w:t>
      </w:r>
      <w:r>
        <w:rPr>
          <w:rFonts w:ascii="Times New Roman" w:cs="Times New Roman" w:eastAsia="Times New Roman" w:hAnsi="Times New Roman"/>
          <w:color w:val="1F2937"/>
          <w:sz w:val="22"/>
          <w:szCs w:val="22"/>
        </w:rPr>
        <w:t xml:space="preserve">le récit reflète fidèlement la structure du problème et de sa résolution (un arbre qui apprend à plier sans se briser → résilience face au stress).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Métaphore indirecte : </w:t>
      </w:r>
      <w:r>
        <w:rPr>
          <w:rFonts w:ascii="Times New Roman" w:cs="Times New Roman" w:eastAsia="Times New Roman" w:hAnsi="Times New Roman"/>
          <w:color w:val="1F2937"/>
          <w:sz w:val="22"/>
          <w:szCs w:val="22"/>
        </w:rPr>
        <w:t xml:space="preserve">le lien avec la situation réelle est moins explicite ; c'est l'inconscient qui fait le pont.</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Conte et fable : </w:t>
      </w:r>
      <w:r>
        <w:rPr>
          <w:rFonts w:ascii="Times New Roman" w:cs="Times New Roman" w:eastAsia="Times New Roman" w:hAnsi="Times New Roman"/>
          <w:color w:val="1F2937"/>
          <w:sz w:val="22"/>
          <w:szCs w:val="22"/>
        </w:rPr>
        <w:t xml:space="preserve">récit complet avec personnages, péripéties, résolution — format plus long, très utilisé chez l'enfant, mais efficace à tout âge.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Anecdote personnelle : </w:t>
      </w:r>
      <w:r>
        <w:rPr>
          <w:rFonts w:ascii="Times New Roman" w:cs="Times New Roman" w:eastAsia="Times New Roman" w:hAnsi="Times New Roman"/>
          <w:color w:val="1F2937"/>
          <w:sz w:val="22"/>
          <w:szCs w:val="22"/>
        </w:rPr>
        <w:t xml:space="preserve">le praticien ou la personne elle-même raconte une expérience réelle vécue — ancre l'authenticité et facilite l'identification.</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Métaphore naturelle : </w:t>
      </w:r>
      <w:r>
        <w:rPr>
          <w:rFonts w:ascii="Times New Roman" w:cs="Times New Roman" w:eastAsia="Times New Roman" w:hAnsi="Times New Roman"/>
          <w:color w:val="1F2937"/>
          <w:sz w:val="22"/>
          <w:szCs w:val="22"/>
        </w:rPr>
        <w:t xml:space="preserve">utilisation d'images de la nature (mer, rivière, saisons, arbre) — registre universel, peu de résistances culturelles.</w:t>
      </w:r>
    </w:p>
    <w:p>
      <w:pPr>
        <w:spacing w:after="80"/>
      </w:pPr>
    </w:p>
    <w:p>
      <w:pPr>
        <w:pStyle w:val="Heading3"/>
        <w:spacing w:after="80" w:before="200"/>
      </w:pPr>
      <w:r>
        <w:rPr>
          <w:rFonts w:ascii="Times New Roman" w:cs="Times New Roman" w:eastAsia="Times New Roman" w:hAnsi="Times New Roman"/>
          <w:b/>
          <w:bCs/>
          <w:color w:val="1F2937"/>
          <w:sz w:val="26"/>
          <w:szCs w:val="26"/>
        </w:rPr>
        <w:t xml:space="preserve">5. Cadre scientifique : ce qu'on sait, ce qu'on ne sait pas</w:t>
      </w:r>
    </w:p>
    <w:p>
      <w:pPr>
        <w:spacing w:after="120"/>
      </w:pPr>
      <w:r>
        <w:rPr>
          <w:rFonts w:ascii="Times New Roman" w:cs="Times New Roman" w:eastAsia="Times New Roman" w:hAnsi="Times New Roman"/>
          <w:color w:val="1F2937"/>
          <w:sz w:val="22"/>
          <w:szCs w:val="22"/>
        </w:rPr>
        <w:t xml:space="preserve">La recherche sur l'efficacité spécifique de la métaphore en hypnose reste limitée. Les études disponibles portent davantage sur l'hypnose thérapeutique en général (douleur, anxiété, tabac) que sur la métaphore isolément. Psychology Today rappelle que l'hypnose induit un état de « concentration hautement focalisée et de suggestibilité accrue » — état dans lequel la métaphore est vraisemblablement plus efficace, car les défenses conscientes sont abaissées.</w:t>
      </w:r>
    </w:p>
    <w:p>
      <w:pPr>
        <w:spacing w:after="120"/>
      </w:pPr>
      <w:r>
        <w:rPr>
          <w:rFonts w:ascii="Times New Roman" w:cs="Times New Roman" w:eastAsia="Times New Roman" w:hAnsi="Times New Roman"/>
          <w:color w:val="1F2937"/>
          <w:sz w:val="22"/>
          <w:szCs w:val="22"/>
        </w:rPr>
        <w:t xml:space="preserve">En auto-pratique, l'intérêt documenté est principalement indirect : les récits auto-générés (auto-narration) aident à restructurer cognitivement les expériences difficiles, phénomène bien établi en psychologie narrative. L'usage en auto-hypnose reste une pratique expérientielle à explorer avec discernement, pas un protocole thérapeutique validé.</w:t>
      </w:r>
    </w:p>
    <w:p>
      <w:pPr>
        <w:spacing w:after="80"/>
      </w:pPr>
    </w:p>
    <w:p>
      <w:pPr>
        <w:pStyle w:val="Heading2"/>
        <w:spacing w:after="120" w:before="320"/>
      </w:pPr>
      <w:r>
        <w:rPr>
          <w:rFonts w:ascii="Times New Roman" w:cs="Times New Roman" w:eastAsia="Times New Roman" w:hAnsi="Times New Roman"/>
          <w:b/>
          <w:bCs/>
          <w:color w:val="1B3A6B"/>
          <w:sz w:val="30"/>
          <w:szCs w:val="30"/>
        </w:rPr>
        <w:t xml:space="preserve">🛠️ Pratique (80 %) — Trois exercices progressifs</w:t>
      </w:r>
    </w:p>
    <w:p>
      <w:pPr>
        <w:pStyle w:val="Heading3"/>
        <w:spacing w:after="80" w:before="200"/>
      </w:pPr>
      <w:r>
        <w:rPr>
          <w:rFonts w:ascii="Times New Roman" w:cs="Times New Roman" w:eastAsia="Times New Roman" w:hAnsi="Times New Roman"/>
          <w:b/>
          <w:bCs/>
          <w:color w:val="1F2937"/>
          <w:sz w:val="26"/>
          <w:szCs w:val="26"/>
        </w:rPr>
        <w:t xml:space="preserve">Exercice 1 — Décoder une métaphore existante (30 min)</w:t>
      </w:r>
    </w:p>
    <w:p>
      <w:pPr>
        <w:spacing w:after="120"/>
      </w:pPr>
      <w:r>
        <w:rPr>
          <w:rFonts w:ascii="Times New Roman" w:cs="Times New Roman" w:eastAsia="Times New Roman" w:hAnsi="Times New Roman"/>
          <w:color w:val="1F2937"/>
          <w:sz w:val="22"/>
          <w:szCs w:val="22"/>
        </w:rPr>
        <w:t xml:space="preserve">Objectif : comprendre par l'expérience comment une métaphore « parle » à l'inconscient.</w:t>
      </w:r>
    </w:p>
    <w:p>
      <w:pPr>
        <w:spacing w:after="120"/>
      </w:pPr>
      <w:r>
        <w:rPr>
          <w:rFonts w:ascii="Times New Roman" w:cs="Times New Roman" w:eastAsia="Times New Roman" w:hAnsi="Times New Roman"/>
          <w:color w:val="1F2937"/>
          <w:sz w:val="22"/>
          <w:szCs w:val="22"/>
        </w:rPr>
        <w:t xml:space="preserve">Déroulement :</w:t>
      </w:r>
    </w:p>
    <w:p>
      <w:pPr>
        <w:pStyle w:val="ListParagraph"/>
        <w:numPr>
          <w:ilvl w:val="0"/>
          <w:numId w:val="1"/>
        </w:numPr>
        <w:spacing w:after="80"/>
      </w:pPr>
      <w:r>
        <w:rPr>
          <w:rFonts w:ascii="Times New Roman" w:cs="Times New Roman" w:eastAsia="Times New Roman" w:hAnsi="Times New Roman"/>
          <w:color w:val="1F2937"/>
          <w:sz w:val="22"/>
          <w:szCs w:val="22"/>
        </w:rPr>
        <w:t xml:space="preserve">Installe-toi confortablement. Ferme les yeux. Prends 3 respirations profondes.</w:t>
      </w:r>
    </w:p>
    <w:p>
      <w:pPr>
        <w:pStyle w:val="ListParagraph"/>
        <w:numPr>
          <w:ilvl w:val="0"/>
          <w:numId w:val="1"/>
        </w:numPr>
        <w:spacing w:after="80"/>
      </w:pPr>
      <w:r>
        <w:rPr>
          <w:rFonts w:ascii="Times New Roman" w:cs="Times New Roman" w:eastAsia="Times New Roman" w:hAnsi="Times New Roman"/>
          <w:color w:val="1F2937"/>
          <w:sz w:val="22"/>
          <w:szCs w:val="22"/>
        </w:rPr>
        <w:t xml:space="preserve">Lis intérieurement (ou enregistre et écoute) cette courte histoire :</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F2F7" w:val="clear"/>
            <w:tcMar>
              <w:top w:type="dxa" w:w="100"/>
              <w:left w:type="dxa" w:w="200"/>
              <w:bottom w:type="dxa" w:w="100"/>
              <w:right w:type="dxa" w:w="200"/>
            </w:tcMar>
          </w:tcPr>
          <w:p>
            <w:pPr>
              <w:spacing w:after="80"/>
            </w:pPr>
            <w:r>
              <w:rPr>
                <w:rFonts w:ascii="Times New Roman" w:cs="Times New Roman" w:eastAsia="Times New Roman" w:hAnsi="Times New Roman"/>
                <w:color w:val="1F2937"/>
                <w:sz w:val="22"/>
                <w:szCs w:val="22"/>
              </w:rPr>
              <w:t xml:space="preserve">Une graine tombe au pied d'un vieux mur. Elle ne voit pas le soleil, la terre est sèche, les autres plantes semblent avoir tant d'espace. Elle reste là, quelques jours, quelques semaines.</w:t>
            </w:r>
          </w:p>
          <w:p>
            <w:pPr>
              <w:spacing w:after="80"/>
            </w:pPr>
            <w:r>
              <w:rPr>
                <w:rFonts w:ascii="Times New Roman" w:cs="Times New Roman" w:eastAsia="Times New Roman" w:hAnsi="Times New Roman"/>
                <w:color w:val="1F2937"/>
                <w:sz w:val="22"/>
                <w:szCs w:val="22"/>
              </w:rPr>
              <w:t xml:space="preserve">Puis, sans qu'on lui ait rien demandé, ses racines commencent à explorer — lentement, dans toutes les directions. Elles trouvent une fissure dans le mur, une poche d'humidité, un peu d'humus.</w:t>
            </w:r>
          </w:p>
          <w:p>
            <w:pPr>
              <w:spacing w:after="80"/>
            </w:pPr>
            <w:r>
              <w:rPr>
                <w:rFonts w:ascii="Times New Roman" w:cs="Times New Roman" w:eastAsia="Times New Roman" w:hAnsi="Times New Roman"/>
                <w:color w:val="1F2937"/>
                <w:sz w:val="22"/>
                <w:szCs w:val="22"/>
              </w:rPr>
              <w:t xml:space="preserve">Au printemps, une pousse verte émerge, exactement là où personne ne l'attendait. Elle a trouvé son chemin, pas malgré les obstacles, mais à travers eux.</w:t>
            </w:r>
          </w:p>
        </w:tc>
      </w:tr>
    </w:tbl>
    <w:p>
      <w:pPr>
        <w:spacing w:after="80"/>
      </w:pPr>
    </w:p>
    <w:p>
      <w:pPr>
        <w:pStyle w:val="ListParagraph"/>
        <w:numPr>
          <w:ilvl w:val="0"/>
          <w:numId w:val="1"/>
        </w:numPr>
        <w:spacing w:after="80"/>
      </w:pPr>
      <w:r>
        <w:rPr>
          <w:rFonts w:ascii="Times New Roman" w:cs="Times New Roman" w:eastAsia="Times New Roman" w:hAnsi="Times New Roman"/>
          <w:color w:val="1F2937"/>
          <w:sz w:val="22"/>
          <w:szCs w:val="22"/>
        </w:rPr>
        <w:t xml:space="preserve">Reste dans cet état quelques minutes. Laisse l'image de la graine et du mur rester présente.</w:t>
      </w:r>
    </w:p>
    <w:p>
      <w:pPr>
        <w:pStyle w:val="ListParagraph"/>
        <w:numPr>
          <w:ilvl w:val="0"/>
          <w:numId w:val="1"/>
        </w:numPr>
        <w:spacing w:after="80"/>
      </w:pPr>
      <w:r>
        <w:rPr>
          <w:rFonts w:ascii="Times New Roman" w:cs="Times New Roman" w:eastAsia="Times New Roman" w:hAnsi="Times New Roman"/>
          <w:color w:val="1F2937"/>
          <w:sz w:val="22"/>
          <w:szCs w:val="22"/>
        </w:rPr>
        <w:t xml:space="preserve">Puis pose-toi ces questions (note tes réponses par écrit) :</w:t>
      </w:r>
    </w:p>
    <w:p>
      <w:pPr>
        <w:pStyle w:val="ListParagraph"/>
        <w:numPr>
          <w:ilvl w:val="1"/>
          <w:numId w:val="1"/>
        </w:numPr>
        <w:spacing w:after="80"/>
      </w:pPr>
      <w:r>
        <w:rPr>
          <w:rFonts w:ascii="Times New Roman" w:cs="Times New Roman" w:eastAsia="Times New Roman" w:hAnsi="Times New Roman"/>
          <w:color w:val="1F2937"/>
          <w:sz w:val="22"/>
          <w:szCs w:val="22"/>
        </w:rPr>
        <w:t xml:space="preserve">Qu'est-ce qui, dans ma vie en ce moment, ressemble à cette graine ?</w:t>
      </w:r>
    </w:p>
    <w:p>
      <w:pPr>
        <w:pStyle w:val="ListParagraph"/>
        <w:numPr>
          <w:ilvl w:val="1"/>
          <w:numId w:val="1"/>
        </w:numPr>
        <w:spacing w:after="80"/>
      </w:pPr>
      <w:r>
        <w:rPr>
          <w:rFonts w:ascii="Times New Roman" w:cs="Times New Roman" w:eastAsia="Times New Roman" w:hAnsi="Times New Roman"/>
          <w:color w:val="1F2937"/>
          <w:sz w:val="22"/>
          <w:szCs w:val="22"/>
        </w:rPr>
        <w:t xml:space="preserve">Quel est mon « vieux mur » ?</w:t>
      </w:r>
    </w:p>
    <w:p>
      <w:pPr>
        <w:pStyle w:val="ListParagraph"/>
        <w:numPr>
          <w:ilvl w:val="1"/>
          <w:numId w:val="1"/>
        </w:numPr>
        <w:spacing w:after="80"/>
      </w:pPr>
      <w:r>
        <w:rPr>
          <w:rFonts w:ascii="Times New Roman" w:cs="Times New Roman" w:eastAsia="Times New Roman" w:hAnsi="Times New Roman"/>
          <w:color w:val="1F2937"/>
          <w:sz w:val="22"/>
          <w:szCs w:val="22"/>
        </w:rPr>
        <w:t xml:space="preserve">Quelle fissure puis-je explorer ?</w:t>
      </w:r>
    </w:p>
    <w:p>
      <w:pPr>
        <w:pStyle w:val="ListParagraph"/>
        <w:numPr>
          <w:ilvl w:val="0"/>
          <w:numId w:val="1"/>
        </w:numPr>
        <w:spacing w:after="80"/>
      </w:pPr>
      <w:r>
        <w:rPr>
          <w:rFonts w:ascii="Times New Roman" w:cs="Times New Roman" w:eastAsia="Times New Roman" w:hAnsi="Times New Roman"/>
          <w:color w:val="1F2937"/>
          <w:sz w:val="22"/>
          <w:szCs w:val="22"/>
        </w:rPr>
        <w:t xml:space="preserve">Sans chercher à « analyser » — note ce qui vient spontanément, même si ça semble incongru.</w:t>
      </w:r>
    </w:p>
    <w:p>
      <w:pPr>
        <w:spacing w:after="80"/>
      </w:pPr>
    </w:p>
    <w:p>
      <w:pPr>
        <w:spacing w:after="120"/>
      </w:pPr>
      <w:r>
        <w:rPr>
          <w:rFonts w:ascii="Times New Roman" w:cs="Times New Roman" w:eastAsia="Times New Roman" w:hAnsi="Times New Roman"/>
          <w:b/>
          <w:bCs/>
          <w:color w:val="1F2937"/>
          <w:sz w:val="22"/>
          <w:szCs w:val="22"/>
        </w:rPr>
        <w:t xml:space="preserve">Ce que tu observes : </w:t>
      </w:r>
      <w:r>
        <w:rPr>
          <w:rFonts w:ascii="Times New Roman" w:cs="Times New Roman" w:eastAsia="Times New Roman" w:hAnsi="Times New Roman"/>
          <w:color w:val="1F2937"/>
          <w:sz w:val="22"/>
          <w:szCs w:val="22"/>
        </w:rPr>
        <w:t xml:space="preserve">la métaphore a contourné la question directe (« quel est ton problème ? ») et laissé émerger des éléments que le conscient n'aurait peut-être pas formulés directement. C'est le mécanisme de l'identification projective.</w:t>
      </w:r>
    </w:p>
    <w:p>
      <w:pPr>
        <w:spacing w:after="80"/>
      </w:pPr>
    </w:p>
    <w:p>
      <w:pPr>
        <w:pStyle w:val="Heading3"/>
        <w:spacing w:after="80" w:before="200"/>
      </w:pPr>
      <w:r>
        <w:rPr>
          <w:rFonts w:ascii="Times New Roman" w:cs="Times New Roman" w:eastAsia="Times New Roman" w:hAnsi="Times New Roman"/>
          <w:b/>
          <w:bCs/>
          <w:color w:val="1F2937"/>
          <w:sz w:val="26"/>
          <w:szCs w:val="26"/>
        </w:rPr>
        <w:t xml:space="preserve">Exercice 2 — Construire ta propre métaphore (45 min)</w:t>
      </w:r>
    </w:p>
    <w:p>
      <w:pPr>
        <w:spacing w:after="120"/>
      </w:pPr>
      <w:r>
        <w:rPr>
          <w:rFonts w:ascii="Times New Roman" w:cs="Times New Roman" w:eastAsia="Times New Roman" w:hAnsi="Times New Roman"/>
          <w:color w:val="1F2937"/>
          <w:sz w:val="22"/>
          <w:szCs w:val="22"/>
        </w:rPr>
        <w:t xml:space="preserve">Objectif : apprendre à fabriquer une métaphore isomorphe adaptée à une situation personnelle.</w:t>
      </w:r>
    </w:p>
    <w:p>
      <w:pPr>
        <w:spacing w:after="120"/>
      </w:pPr>
      <w:r>
        <w:rPr>
          <w:rFonts w:ascii="Times New Roman" w:cs="Times New Roman" w:eastAsia="Times New Roman" w:hAnsi="Times New Roman"/>
          <w:color w:val="1F2937"/>
          <w:sz w:val="22"/>
          <w:szCs w:val="22"/>
        </w:rPr>
        <w:t xml:space="preserve">La structure d'une métaphore isomorphe suit 4 temps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1. Personnage en situation : </w:t>
      </w:r>
      <w:r>
        <w:rPr>
          <w:rFonts w:ascii="Times New Roman" w:cs="Times New Roman" w:eastAsia="Times New Roman" w:hAnsi="Times New Roman"/>
          <w:color w:val="1F2937"/>
          <w:sz w:val="22"/>
          <w:szCs w:val="22"/>
        </w:rPr>
        <w:t xml:space="preserve">un être (plante, animal, objet, humain dans un autre contexte) qui vit une situation analogue à la tienne.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2. Obstacle ou tension : </w:t>
      </w:r>
      <w:r>
        <w:rPr>
          <w:rFonts w:ascii="Times New Roman" w:cs="Times New Roman" w:eastAsia="Times New Roman" w:hAnsi="Times New Roman"/>
          <w:color w:val="1F2937"/>
          <w:sz w:val="22"/>
          <w:szCs w:val="22"/>
        </w:rPr>
        <w:t xml:space="preserve">une difficulté qui reflète la nature de ton défi (manque, excès, blocage, conflit...).</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3. Ressource découverte : </w:t>
      </w:r>
      <w:r>
        <w:rPr>
          <w:rFonts w:ascii="Times New Roman" w:cs="Times New Roman" w:eastAsia="Times New Roman" w:hAnsi="Times New Roman"/>
          <w:color w:val="1F2937"/>
          <w:sz w:val="22"/>
          <w:szCs w:val="22"/>
        </w:rPr>
        <w:t xml:space="preserve">le personnage trouve quelque chose — en lui ou dans son environnement — qui lui permet d'avancer.</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4. Résolution symbolique : </w:t>
      </w:r>
      <w:r>
        <w:rPr>
          <w:rFonts w:ascii="Times New Roman" w:cs="Times New Roman" w:eastAsia="Times New Roman" w:hAnsi="Times New Roman"/>
          <w:color w:val="1F2937"/>
          <w:sz w:val="22"/>
          <w:szCs w:val="22"/>
        </w:rPr>
        <w:t xml:space="preserve">pas forcément un happy end parfait, mais un mouvement, une ouverture, une transformation.</w:t>
      </w:r>
    </w:p>
    <w:p>
      <w:pPr>
        <w:spacing w:after="80"/>
      </w:pPr>
    </w:p>
    <w:p>
      <w:pPr>
        <w:spacing w:after="120"/>
      </w:pPr>
      <w:r>
        <w:rPr>
          <w:rFonts w:ascii="Times New Roman" w:cs="Times New Roman" w:eastAsia="Times New Roman" w:hAnsi="Times New Roman"/>
          <w:color w:val="1F2937"/>
          <w:sz w:val="22"/>
          <w:szCs w:val="22"/>
        </w:rPr>
        <w:t xml:space="preserve">Déroulement :</w:t>
      </w:r>
    </w:p>
    <w:p>
      <w:pPr>
        <w:pStyle w:val="ListParagraph"/>
        <w:numPr>
          <w:ilvl w:val="0"/>
          <w:numId w:val="1"/>
        </w:numPr>
        <w:spacing w:after="80"/>
      </w:pPr>
      <w:r>
        <w:rPr>
          <w:rFonts w:ascii="Times New Roman" w:cs="Times New Roman" w:eastAsia="Times New Roman" w:hAnsi="Times New Roman"/>
          <w:color w:val="1F2937"/>
          <w:sz w:val="22"/>
          <w:szCs w:val="22"/>
        </w:rPr>
        <w:t xml:space="preserve">Choisis une situation que tu traverses en ce moment (un défi professionnel, une fatigue, une décision à prendre — quelque chose de réel mais pas traumatique pour cet exercice d'apprentissage).</w:t>
      </w:r>
    </w:p>
    <w:p>
      <w:pPr>
        <w:pStyle w:val="ListParagraph"/>
        <w:numPr>
          <w:ilvl w:val="0"/>
          <w:numId w:val="1"/>
        </w:numPr>
        <w:spacing w:after="80"/>
      </w:pPr>
      <w:r>
        <w:rPr>
          <w:rFonts w:ascii="Times New Roman" w:cs="Times New Roman" w:eastAsia="Times New Roman" w:hAnsi="Times New Roman"/>
          <w:color w:val="1F2937"/>
          <w:sz w:val="22"/>
          <w:szCs w:val="22"/>
        </w:rPr>
        <w:t xml:space="preserve">Identifie ses éléments clés : Qui suis-je ? Quel est l'obstacle ? Quelle ressource me manque ou est cachée ? Quelle direction je cherche ?</w:t>
      </w:r>
    </w:p>
    <w:p>
      <w:pPr>
        <w:pStyle w:val="ListParagraph"/>
        <w:numPr>
          <w:ilvl w:val="0"/>
          <w:numId w:val="1"/>
        </w:numPr>
        <w:spacing w:after="80"/>
      </w:pPr>
      <w:r>
        <w:rPr>
          <w:rFonts w:ascii="Times New Roman" w:cs="Times New Roman" w:eastAsia="Times New Roman" w:hAnsi="Times New Roman"/>
          <w:color w:val="1F2937"/>
          <w:sz w:val="22"/>
          <w:szCs w:val="22"/>
        </w:rPr>
        <w:t xml:space="preserve">Maintenant, transpose : choisis un personnage métaphorique (un oiseau migrateur, un ruisseau qui cherche la mer, un feu de camp qui manque de bois...). Construis une histoire courte en 4-6 phrases qui suit la structure ci-dessus.</w:t>
      </w:r>
    </w:p>
    <w:p>
      <w:pPr>
        <w:pStyle w:val="ListParagraph"/>
        <w:numPr>
          <w:ilvl w:val="0"/>
          <w:numId w:val="1"/>
        </w:numPr>
        <w:spacing w:after="80"/>
      </w:pPr>
      <w:r>
        <w:rPr>
          <w:rFonts w:ascii="Times New Roman" w:cs="Times New Roman" w:eastAsia="Times New Roman" w:hAnsi="Times New Roman"/>
          <w:color w:val="1F2937"/>
          <w:sz w:val="22"/>
          <w:szCs w:val="22"/>
        </w:rPr>
        <w:t xml:space="preserve">Lis ta métaphore à voix basse, lentement, en état de légère relaxation (tu peux faire une induction courte de 2 minutes d'abord — respiration + ancrage).</w:t>
      </w:r>
    </w:p>
    <w:p>
      <w:pPr>
        <w:pStyle w:val="ListParagraph"/>
        <w:numPr>
          <w:ilvl w:val="0"/>
          <w:numId w:val="1"/>
        </w:numPr>
        <w:spacing w:after="80"/>
      </w:pPr>
      <w:r>
        <w:rPr>
          <w:rFonts w:ascii="Times New Roman" w:cs="Times New Roman" w:eastAsia="Times New Roman" w:hAnsi="Times New Roman"/>
          <w:color w:val="1F2937"/>
          <w:sz w:val="22"/>
          <w:szCs w:val="22"/>
        </w:rPr>
        <w:t xml:space="preserve">Observe ce que tu ressens. Note dans ton journal.</w:t>
      </w:r>
    </w:p>
    <w:p>
      <w:pPr>
        <w:spacing w:after="80"/>
      </w:pPr>
    </w:p>
    <w:p>
      <w:pPr>
        <w:spacing w:after="120"/>
      </w:pPr>
      <w:r>
        <w:rPr>
          <w:rFonts w:ascii="Times New Roman" w:cs="Times New Roman" w:eastAsia="Times New Roman" w:hAnsi="Times New Roman"/>
          <w:b/>
          <w:bCs/>
          <w:color w:val="1F2937"/>
          <w:sz w:val="22"/>
          <w:szCs w:val="22"/>
        </w:rPr>
        <w:t xml:space="preserve">Point de vigilance : </w:t>
      </w:r>
      <w:r>
        <w:rPr>
          <w:rFonts w:ascii="Times New Roman" w:cs="Times New Roman" w:eastAsia="Times New Roman" w:hAnsi="Times New Roman"/>
          <w:color w:val="1F2937"/>
          <w:sz w:val="22"/>
          <w:szCs w:val="22"/>
        </w:rPr>
        <w:t xml:space="preserve">la métaphore n'a pas besoin d'être « belle » ou « profonde ». L'important est qu'elle soit vraie pour toi. Une métaphore maladroite que tu as construite toi-même est souvent plus puissante qu'une métaphore élaborée empruntée à un autre, car elle porte ton vocabulaire intérieur.</w:t>
      </w:r>
    </w:p>
    <w:p>
      <w:pPr>
        <w:spacing w:after="80"/>
      </w:pPr>
    </w:p>
    <w:p>
      <w:pPr>
        <w:pStyle w:val="Heading3"/>
        <w:spacing w:after="80" w:before="200"/>
      </w:pPr>
      <w:r>
        <w:rPr>
          <w:rFonts w:ascii="Times New Roman" w:cs="Times New Roman" w:eastAsia="Times New Roman" w:hAnsi="Times New Roman"/>
          <w:b/>
          <w:bCs/>
          <w:color w:val="1F2937"/>
          <w:sz w:val="26"/>
          <w:szCs w:val="26"/>
        </w:rPr>
        <w:t xml:space="preserve">Exercice 3 — Séance guidée d'auto-hypnose avec métaphore naturelle (20 min)</w:t>
      </w:r>
    </w:p>
    <w:p>
      <w:pPr>
        <w:spacing w:after="120"/>
      </w:pPr>
      <w:r>
        <w:rPr>
          <w:rFonts w:ascii="Times New Roman" w:cs="Times New Roman" w:eastAsia="Times New Roman" w:hAnsi="Times New Roman"/>
          <w:color w:val="1F2937"/>
          <w:sz w:val="22"/>
          <w:szCs w:val="22"/>
        </w:rPr>
        <w:t xml:space="preserve">Objectif : intégrer la métaphore dans une séance complète d'auto-hypnose.</w:t>
      </w:r>
    </w:p>
    <w:p>
      <w:pPr>
        <w:spacing w:after="80"/>
      </w:pPr>
    </w:p>
    <w:p>
      <w:pPr>
        <w:spacing w:after="120"/>
      </w:pPr>
      <w:r>
        <w:rPr>
          <w:rFonts w:ascii="Times New Roman" w:cs="Times New Roman" w:eastAsia="Times New Roman" w:hAnsi="Times New Roman"/>
          <w:color w:val="1F2937"/>
          <w:sz w:val="22"/>
          <w:szCs w:val="22"/>
        </w:rPr>
        <w:t xml:space="preserve">Installe-toi dans un endroit calme. Durée totale : environ 20 minutes.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F2F7" w:val="clear"/>
            <w:tcMar>
              <w:top w:type="dxa" w:w="100"/>
              <w:left w:type="dxa" w:w="200"/>
              <w:bottom w:type="dxa" w:w="100"/>
              <w:right w:type="dxa" w:w="200"/>
            </w:tcMar>
          </w:tcPr>
          <w:p>
            <w:pPr>
              <w:spacing w:after="80"/>
            </w:pPr>
            <w:r>
              <w:rPr>
                <w:rFonts w:ascii="Times New Roman" w:cs="Times New Roman" w:eastAsia="Times New Roman" w:hAnsi="Times New Roman"/>
                <w:color w:val="1F2937"/>
                <w:sz w:val="22"/>
                <w:szCs w:val="22"/>
              </w:rPr>
              <w:t xml:space="preserve">PHASE 1 — Induction (4 min)</w:t>
            </w:r>
          </w:p>
          <w:p>
            <w:pPr>
              <w:spacing w:after="80"/>
            </w:pPr>
            <w:r>
              <w:rPr>
                <w:rFonts w:ascii="Times New Roman" w:cs="Times New Roman" w:eastAsia="Times New Roman" w:hAnsi="Times New Roman"/>
                <w:color w:val="1F2937"/>
                <w:sz w:val="22"/>
                <w:szCs w:val="22"/>
              </w:rPr>
              <w:t xml:space="preserve">Ferme les yeux. Respire lentement, 4 temps d'inspiration, 4 de rétention, 6 d'expiration.</w:t>
            </w:r>
          </w:p>
          <w:p>
            <w:pPr>
              <w:spacing w:after="80"/>
            </w:pPr>
            <w:r>
              <w:rPr>
                <w:rFonts w:ascii="Times New Roman" w:cs="Times New Roman" w:eastAsia="Times New Roman" w:hAnsi="Times New Roman"/>
                <w:color w:val="1F2937"/>
                <w:sz w:val="22"/>
                <w:szCs w:val="22"/>
              </w:rPr>
              <w:t xml:space="preserve">Répète intérieurement : « À chaque expiration, je me détends davantage. »</w:t>
            </w:r>
          </w:p>
          <w:p>
            <w:pPr>
              <w:spacing w:after="80"/>
            </w:pPr>
            <w:r>
              <w:rPr>
                <w:rFonts w:ascii="Times New Roman" w:cs="Times New Roman" w:eastAsia="Times New Roman" w:hAnsi="Times New Roman"/>
                <w:color w:val="1F2937"/>
                <w:sz w:val="22"/>
                <w:szCs w:val="22"/>
              </w:rPr>
              <w:t xml:space="preserve">Imagine descendre un escalier de 10 marches. Compte-les lentement en descendant.</w:t>
            </w:r>
          </w:p>
          <w:p>
            <w:pPr>
              <w:spacing w:after="80"/>
            </w:pPr>
            <w:r>
              <w:rPr>
                <w:rFonts w:ascii="Times New Roman" w:cs="Times New Roman" w:eastAsia="Times New Roman" w:hAnsi="Times New Roman"/>
                <w:color w:val="1F2937"/>
                <w:sz w:val="22"/>
                <w:szCs w:val="22"/>
              </w:rPr>
              <w:t xml:space="preserve"/>
            </w:r>
          </w:p>
          <w:p>
            <w:pPr>
              <w:spacing w:after="80"/>
            </w:pPr>
            <w:r>
              <w:rPr>
                <w:rFonts w:ascii="Times New Roman" w:cs="Times New Roman" w:eastAsia="Times New Roman" w:hAnsi="Times New Roman"/>
                <w:color w:val="1F2937"/>
                <w:sz w:val="22"/>
                <w:szCs w:val="22"/>
              </w:rPr>
              <w:t xml:space="preserve">PHASE 2 — Métaphore (10 min)</w:t>
            </w:r>
          </w:p>
          <w:p>
            <w:pPr>
              <w:spacing w:after="80"/>
            </w:pPr>
            <w:r>
              <w:rPr>
                <w:rFonts w:ascii="Times New Roman" w:cs="Times New Roman" w:eastAsia="Times New Roman" w:hAnsi="Times New Roman"/>
                <w:color w:val="1F2937"/>
                <w:sz w:val="22"/>
                <w:szCs w:val="22"/>
              </w:rPr>
              <w:t xml:space="preserve">Imagine que tu arrives au bord d'une rivière. L'eau est claire, le courant régulier.</w:t>
            </w:r>
          </w:p>
          <w:p>
            <w:pPr>
              <w:spacing w:after="80"/>
            </w:pPr>
            <w:r>
              <w:rPr>
                <w:rFonts w:ascii="Times New Roman" w:cs="Times New Roman" w:eastAsia="Times New Roman" w:hAnsi="Times New Roman"/>
                <w:color w:val="1F2937"/>
                <w:sz w:val="22"/>
                <w:szCs w:val="22"/>
              </w:rPr>
              <w:t xml:space="preserve">Tu poses un bateau en papier sur l'eau. Sur ce bateau, tu déposes — sans les nommer — les tensions de la journée.</w:t>
            </w:r>
          </w:p>
          <w:p>
            <w:pPr>
              <w:spacing w:after="80"/>
            </w:pPr>
            <w:r>
              <w:rPr>
                <w:rFonts w:ascii="Times New Roman" w:cs="Times New Roman" w:eastAsia="Times New Roman" w:hAnsi="Times New Roman"/>
                <w:color w:val="1F2937"/>
                <w:sz w:val="22"/>
                <w:szCs w:val="22"/>
              </w:rPr>
              <w:t xml:space="preserve">Tu regardes le bateau s'éloigner, porté par le courant. Il disparaît au loin.</w:t>
            </w:r>
          </w:p>
          <w:p>
            <w:pPr>
              <w:spacing w:after="80"/>
            </w:pPr>
            <w:r>
              <w:rPr>
                <w:rFonts w:ascii="Times New Roman" w:cs="Times New Roman" w:eastAsia="Times New Roman" w:hAnsi="Times New Roman"/>
                <w:color w:val="1F2937"/>
                <w:sz w:val="22"/>
                <w:szCs w:val="22"/>
              </w:rPr>
              <w:t xml:space="preserve">Un autre bateau arrive de l'amont — vide, propre. Tu y poses ce que tu veux emmener avec toi aujourd'hui : une qualité, une intention, une image.</w:t>
            </w:r>
          </w:p>
          <w:p>
            <w:pPr>
              <w:spacing w:after="80"/>
            </w:pPr>
            <w:r>
              <w:rPr>
                <w:rFonts w:ascii="Times New Roman" w:cs="Times New Roman" w:eastAsia="Times New Roman" w:hAnsi="Times New Roman"/>
                <w:color w:val="1F2937"/>
                <w:sz w:val="22"/>
                <w:szCs w:val="22"/>
              </w:rPr>
              <w:t xml:space="preserve">Tu gardes cette image quelques minutes. Laisse-la se préciser sans forcer.</w:t>
            </w:r>
          </w:p>
          <w:p>
            <w:pPr>
              <w:spacing w:after="80"/>
            </w:pPr>
            <w:r>
              <w:rPr>
                <w:rFonts w:ascii="Times New Roman" w:cs="Times New Roman" w:eastAsia="Times New Roman" w:hAnsi="Times New Roman"/>
                <w:color w:val="1F2937"/>
                <w:sz w:val="22"/>
                <w:szCs w:val="22"/>
              </w:rPr>
              <w:t xml:space="preserve"/>
            </w:r>
          </w:p>
          <w:p>
            <w:pPr>
              <w:spacing w:after="80"/>
            </w:pPr>
            <w:r>
              <w:rPr>
                <w:rFonts w:ascii="Times New Roman" w:cs="Times New Roman" w:eastAsia="Times New Roman" w:hAnsi="Times New Roman"/>
                <w:color w:val="1F2937"/>
                <w:sz w:val="22"/>
                <w:szCs w:val="22"/>
              </w:rPr>
              <w:t xml:space="preserve">PHASE 3 — Sortie de transe (4 min)</w:t>
            </w:r>
          </w:p>
          <w:p>
            <w:pPr>
              <w:spacing w:after="80"/>
            </w:pPr>
            <w:r>
              <w:rPr>
                <w:rFonts w:ascii="Times New Roman" w:cs="Times New Roman" w:eastAsia="Times New Roman" w:hAnsi="Times New Roman"/>
                <w:color w:val="1F2937"/>
                <w:sz w:val="22"/>
                <w:szCs w:val="22"/>
              </w:rPr>
              <w:t xml:space="preserve">Compte de 1 à 5. À 5, tu es pleinement éveillé, détendu et présent.</w:t>
            </w:r>
          </w:p>
          <w:p>
            <w:pPr>
              <w:spacing w:after="80"/>
            </w:pPr>
            <w:r>
              <w:rPr>
                <w:rFonts w:ascii="Times New Roman" w:cs="Times New Roman" w:eastAsia="Times New Roman" w:hAnsi="Times New Roman"/>
                <w:color w:val="1F2937"/>
                <w:sz w:val="22"/>
                <w:szCs w:val="22"/>
              </w:rPr>
              <w:t xml:space="preserve">Étire doucement les doigts, les pieds. Ouvre les yeux.</w:t>
            </w:r>
          </w:p>
          <w:p>
            <w:pPr>
              <w:spacing w:after="80"/>
            </w:pPr>
            <w:r>
              <w:rPr>
                <w:rFonts w:ascii="Times New Roman" w:cs="Times New Roman" w:eastAsia="Times New Roman" w:hAnsi="Times New Roman"/>
                <w:color w:val="1F2937"/>
                <w:sz w:val="22"/>
                <w:szCs w:val="22"/>
              </w:rPr>
              <w:t xml:space="preserve"/>
            </w:r>
          </w:p>
          <w:p>
            <w:pPr>
              <w:spacing w:after="80"/>
            </w:pPr>
            <w:r>
              <w:rPr>
                <w:rFonts w:ascii="Times New Roman" w:cs="Times New Roman" w:eastAsia="Times New Roman" w:hAnsi="Times New Roman"/>
                <w:color w:val="1F2937"/>
                <w:sz w:val="22"/>
                <w:szCs w:val="22"/>
              </w:rPr>
              <w:t xml:space="preserve">PHASE 4 — Journal (2 min)</w:t>
            </w:r>
          </w:p>
          <w:p>
            <w:pPr>
              <w:spacing w:after="80"/>
            </w:pPr>
            <w:r>
              <w:rPr>
                <w:rFonts w:ascii="Times New Roman" w:cs="Times New Roman" w:eastAsia="Times New Roman" w:hAnsi="Times New Roman"/>
                <w:color w:val="1F2937"/>
                <w:sz w:val="22"/>
                <w:szCs w:val="22"/>
              </w:rPr>
              <w:t xml:space="preserve">Note immédiatement : l'image du bateau entrant, ce que tu y as déposé, ce que tu as ressenti.</w:t>
            </w:r>
          </w:p>
        </w:tc>
      </w:tr>
    </w:tbl>
    <w:p>
      <w:pPr>
        <w:spacing w:after="80"/>
      </w:pPr>
    </w:p>
    <w:p>
      <w:pPr>
        <w:pStyle w:val="Heading2"/>
        <w:spacing w:after="120" w:before="320"/>
      </w:pPr>
      <w:r>
        <w:rPr>
          <w:rFonts w:ascii="Times New Roman" w:cs="Times New Roman" w:eastAsia="Times New Roman" w:hAnsi="Times New Roman"/>
          <w:b/>
          <w:bCs/>
          <w:color w:val="1B3A6B"/>
          <w:sz w:val="30"/>
          <w:szCs w:val="30"/>
        </w:rPr>
        <w:t xml:space="preserve">🎯 Challenge — Construire une série de 3 métaphores progressives</w:t>
      </w:r>
    </w:p>
    <w:p>
      <w:pPr>
        <w:spacing w:after="120"/>
      </w:pPr>
      <w:r>
        <w:rPr>
          <w:rFonts w:ascii="Times New Roman" w:cs="Times New Roman" w:eastAsia="Times New Roman" w:hAnsi="Times New Roman"/>
          <w:color w:val="1F2937"/>
          <w:sz w:val="22"/>
          <w:szCs w:val="22"/>
        </w:rPr>
        <w:t xml:space="preserve">Ce challenge mobilise l'ensemble de la leçon. Il sera utile sur la durée : construire un petit répertoire personnel de métaphores auxquelles tu pourras revenir.</w:t>
      </w:r>
    </w:p>
    <w:p>
      <w:pPr>
        <w:spacing w:after="120"/>
      </w:pPr>
      <w:r>
        <w:rPr>
          <w:rFonts w:ascii="Times New Roman" w:cs="Times New Roman" w:eastAsia="Times New Roman" w:hAnsi="Times New Roman"/>
          <w:color w:val="1F2937"/>
          <w:sz w:val="22"/>
          <w:szCs w:val="22"/>
        </w:rPr>
        <w:t xml:space="preserve">Travail sur une semaine :</w:t>
      </w:r>
    </w:p>
    <w:p>
      <w:pPr>
        <w:pStyle w:val="ListParagraph"/>
        <w:numPr>
          <w:ilvl w:val="0"/>
          <w:numId w:val="1"/>
        </w:numPr>
        <w:spacing w:after="80"/>
      </w:pPr>
      <w:r>
        <w:rPr>
          <w:rFonts w:ascii="Times New Roman" w:cs="Times New Roman" w:eastAsia="Times New Roman" w:hAnsi="Times New Roman"/>
          <w:color w:val="1F2937"/>
          <w:sz w:val="22"/>
          <w:szCs w:val="22"/>
        </w:rPr>
        <w:t xml:space="preserve">Jour 1-2 : Identifie 3 situations de ta vie (une légère tension, un défi moyen, un enjeu important). Pour chacune, note ses éléments clés (obstacle, ressource manquante, direction souhaitée).</w:t>
      </w:r>
    </w:p>
    <w:p>
      <w:pPr>
        <w:pStyle w:val="ListParagraph"/>
        <w:numPr>
          <w:ilvl w:val="0"/>
          <w:numId w:val="1"/>
        </w:numPr>
        <w:spacing w:after="80"/>
      </w:pPr>
      <w:r>
        <w:rPr>
          <w:rFonts w:ascii="Times New Roman" w:cs="Times New Roman" w:eastAsia="Times New Roman" w:hAnsi="Times New Roman"/>
          <w:color w:val="1F2937"/>
          <w:sz w:val="22"/>
          <w:szCs w:val="22"/>
        </w:rPr>
        <w:t xml:space="preserve">Jour 3-4 : Construis une métaphore isomorphe pour chacune des 3 situations, en suivant la structure en 4 temps vue dans l'exercice 2. Écris-les dans ton journal.</w:t>
      </w:r>
    </w:p>
    <w:p>
      <w:pPr>
        <w:pStyle w:val="ListParagraph"/>
        <w:numPr>
          <w:ilvl w:val="0"/>
          <w:numId w:val="1"/>
        </w:numPr>
        <w:spacing w:after="80"/>
      </w:pPr>
      <w:r>
        <w:rPr>
          <w:rFonts w:ascii="Times New Roman" w:cs="Times New Roman" w:eastAsia="Times New Roman" w:hAnsi="Times New Roman"/>
          <w:color w:val="1F2937"/>
          <w:sz w:val="22"/>
          <w:szCs w:val="22"/>
        </w:rPr>
        <w:t xml:space="preserve">Jour 5-7 : Utilise chacune de tes 3 métaphores dans une séance courte d'auto-hypnose (5 min par métaphore). Note, pour chacune : ton niveau de relaxation avant/après (0-10), les images ou sensations qui émergent, tout élément surprenant ou inattendu.</w:t>
      </w:r>
    </w:p>
    <w:p>
      <w:pPr>
        <w:spacing w:after="80"/>
      </w:pPr>
    </w:p>
    <w:p>
      <w:pPr>
        <w:spacing w:after="120"/>
      </w:pPr>
      <w:r>
        <w:rPr>
          <w:rFonts w:ascii="Times New Roman" w:cs="Times New Roman" w:eastAsia="Times New Roman" w:hAnsi="Times New Roman"/>
          <w:color w:val="1F2937"/>
          <w:sz w:val="22"/>
          <w:szCs w:val="22"/>
        </w:rPr>
        <w:t xml:space="preserve">À la fin de la semaine, relis les 3 entrées de journal. Formule une observation sur la relation entre la précision isomorphe de ta métaphore et l'intensité de l'effet ressenti.</w:t>
      </w:r>
    </w:p>
    <w:p>
      <w:pPr>
        <w:spacing w:after="80"/>
      </w:pPr>
    </w:p>
    <w:p>
      <w:pPr>
        <w:pStyle w:val="Heading2"/>
        <w:spacing w:after="120" w:before="320"/>
      </w:pPr>
      <w:r>
        <w:rPr>
          <w:rFonts w:ascii="Times New Roman" w:cs="Times New Roman" w:eastAsia="Times New Roman" w:hAnsi="Times New Roman"/>
          <w:b/>
          <w:bCs/>
          <w:color w:val="1B3A6B"/>
          <w:sz w:val="30"/>
          <w:szCs w:val="30"/>
        </w:rPr>
        <w:t xml:space="preserve">🌉 Pont pro (optionnel)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F2F7" w:val="clear"/>
            <w:tcMar>
              <w:top w:type="dxa" w:w="100"/>
              <w:left w:type="dxa" w:w="200"/>
              <w:bottom w:type="dxa" w:w="100"/>
              <w:right w:type="dxa" w:w="200"/>
            </w:tcMar>
          </w:tcPr>
          <w:p>
            <w:pPr>
              <w:spacing w:after="80"/>
            </w:pPr>
            <w:r>
              <w:rPr>
                <w:rFonts w:ascii="Times New Roman" w:cs="Times New Roman" w:eastAsia="Times New Roman" w:hAnsi="Times New Roman"/>
                <w:color w:val="1F2937"/>
                <w:sz w:val="22"/>
                <w:szCs w:val="22"/>
              </w:rPr>
              <w:t xml:space="preserve">Le récit et la métaphore sont aussi des outils de communication managériale. Face à une équipe réticente devant un changement, une anecdote concrète illustrant l'enjeu rend souvent le propos plus tangible qu'un argumentaire abstrait. Attention toutefois au cadrage : parler de « résistance au changement » désigne déjà l'équipe comme l'obstacle. Une objection est d'abord une information sur ce qui coince — charge de travail, expérience passée, désaccord de fond — et elle mérite d'être entendue avant d'être contournée.</w:t>
            </w:r>
          </w:p>
          <w:p>
            <w:pPr>
              <w:spacing w:after="80"/>
            </w:pPr>
            <w:r>
              <w:rPr>
                <w:rFonts w:ascii="Times New Roman" w:cs="Times New Roman" w:eastAsia="Times New Roman" w:hAnsi="Times New Roman"/>
                <w:color w:val="1F2937"/>
                <w:sz w:val="22"/>
                <w:szCs w:val="22"/>
              </w:rPr>
              <w:t xml:space="preserve">Où passe la limite ? Pas dans l'intention — tout le monde croit la sienne bonne — mais dans DEUX conditions vérifiables. D'abord la transparence du but : l'équipe sait ce qu'on lui demande et pourquoi ; le récit illustre la demande, il ne la remplace pas. Ensuite la possibilité de contredire : après l'histoire, l'objection reste recevable et trouve un espace réel pour s'exprimer. Si l'une des deux manque, on n'est plus dans l'illustration mais dans le contournement — et c'est bien de la manipulation, quelle que soit la qualité de l'intention. Choisir la bonne histoire au bon moment s'apprend surtout par l'expérience du terrain — mais rien ne permet d'affirmer que ce serait une compétence réservée à une catégorie de managers.</w:t>
            </w:r>
          </w:p>
          <w:p>
            <w:pPr>
              <w:spacing w:after="80"/>
            </w:pPr>
            <w:r>
              <w:rPr>
                <w:rFonts w:ascii="Times New Roman" w:cs="Times New Roman" w:eastAsia="Times New Roman" w:hAnsi="Times New Roman"/>
                <w:color w:val="1F2937"/>
                <w:sz w:val="22"/>
                <w:szCs w:val="22"/>
              </w:rPr>
              <w:t xml:space="preserve">⚠️ Rappel impératif : pratiquer l'hypnose sur des personnes accompagnées exige une qualification professionnelle. Ce pont pro concerne uniquement la communication managériale ordinaire.</w:t>
            </w:r>
          </w:p>
        </w:tc>
      </w:tr>
    </w:tbl>
    <w:p>
      <w:pPr>
        <w:spacing w:after="80"/>
      </w:pPr>
    </w:p>
    <w:p>
      <w:pPr>
        <w:pStyle w:val="Heading2"/>
        <w:spacing w:after="120" w:before="320"/>
      </w:pPr>
      <w:r>
        <w:rPr>
          <w:rFonts w:ascii="Times New Roman" w:cs="Times New Roman" w:eastAsia="Times New Roman" w:hAnsi="Times New Roman"/>
          <w:b/>
          <w:bCs/>
          <w:color w:val="1B3A6B"/>
          <w:sz w:val="30"/>
          <w:szCs w:val="30"/>
        </w:rPr>
        <w:t xml:space="preserve">📚 Ressources pour approfondir</w:t>
      </w:r>
    </w:p>
    <w:p>
      <w:pPr>
        <w:spacing w:after="120"/>
      </w:pPr>
      <w:r>
        <w:rPr>
          <w:rFonts w:ascii="Times New Roman" w:cs="Times New Roman" w:eastAsia="Times New Roman" w:hAnsi="Times New Roman"/>
          <w:color w:val="1F2937"/>
          <w:sz w:val="22"/>
          <w:szCs w:val="22"/>
        </w:rPr>
        <w:t xml:space="preserve">Sources consultées et vérifiées (HTTP 200) durant cette exécution. ⚠️ Lis-les en sachant d'où elles parlent : hormis la Fondation Erickson et le rapport de l'Inserm ajouté ci-dessous, l'essentiel de cette liste est constitué de sites de praticiens et d'organismes de formation en hypnothérapie — utiles pour décrire une pratique, sans valeur probante sur son efficacité. La leçon 10 s'appuyait sur des travaux publiés dans des revues à comité de lecture ; ce n'est pas le cas ici, et cela doit peser sur la confiance accordée aux mécanismes décrits.</w:t>
      </w:r>
    </w:p>
    <w:p>
      <w:pPr>
        <w:spacing w:after="80"/>
      </w:pPr>
    </w:p>
    <w:p>
      <w:pPr>
        <w:spacing w:after="100"/>
      </w:pPr>
      <w:hyperlink w:history="1" r:id="rIdaiywvfyn0vaotg1w9zmhr">
        <w:r>
          <w:rPr>
            <w:rStyle w:val="Hyperlink"/>
            <w:rFonts w:ascii="Times New Roman" w:cs="Times New Roman" w:eastAsia="Times New Roman" w:hAnsi="Times New Roman"/>
            <w:color w:val="1155CC"/>
            <w:sz w:val="22"/>
            <w:szCs w:val="22"/>
            <w:u w:val="single"/>
          </w:rPr>
          <w:t xml:space="preserve">Wikipedia — Hypnosis (section : langage métaphorique et suggestion indirecte)</w:t>
        </w:r>
      </w:hyperlink>
    </w:p>
    <w:p>
      <w:pPr>
        <w:spacing w:after="100"/>
      </w:pPr>
      <w:hyperlink w:history="1" r:id="rIdkei1gscondkvtwlcnbwio">
        <w:r>
          <w:rPr>
            <w:rStyle w:val="Hyperlink"/>
            <w:rFonts w:ascii="Times New Roman" w:cs="Times New Roman" w:eastAsia="Times New Roman" w:hAnsi="Times New Roman"/>
            <w:color w:val="1155CC"/>
            <w:sz w:val="22"/>
            <w:szCs w:val="22"/>
            <w:u w:val="single"/>
          </w:rPr>
          <w:t xml:space="preserve">The Milton H. Erickson Foundation — approche ericksonienne et pédagogie</w:t>
        </w:r>
      </w:hyperlink>
    </w:p>
    <w:p>
      <w:pPr>
        <w:spacing w:after="100"/>
      </w:pPr>
      <w:hyperlink w:history="1" r:id="rIdctpcwjsbb0lwcb-gxvyid">
        <w:r>
          <w:rPr>
            <w:rStyle w:val="Hyperlink"/>
            <w:rFonts w:ascii="Times New Roman" w:cs="Times New Roman" w:eastAsia="Times New Roman" w:hAnsi="Times New Roman"/>
            <w:color w:val="1155CC"/>
            <w:sz w:val="22"/>
            <w:szCs w:val="22"/>
            <w:u w:val="single"/>
          </w:rPr>
          <w:t xml:space="preserve">Psychology Today — Hypnosis : état, mécanismes, applications</w:t>
        </w:r>
      </w:hyperlink>
    </w:p>
    <w:p>
      <w:pPr>
        <w:spacing w:after="100"/>
      </w:pPr>
      <w:hyperlink w:history="1" r:id="rId2x2_lfjafnisl9qplkh9d">
        <w:r>
          <w:rPr>
            <w:rStyle w:val="Hyperlink"/>
            <w:rFonts w:ascii="Times New Roman" w:cs="Times New Roman" w:eastAsia="Times New Roman" w:hAnsi="Times New Roman"/>
            <w:color w:val="1155CC"/>
            <w:sz w:val="22"/>
            <w:szCs w:val="22"/>
            <w:u w:val="single"/>
          </w:rPr>
          <w:t xml:space="preserve">Psychologue.net — L'hypnose ericksonienne : l'art de la métaphore et de l'histoire thérapeutique</w:t>
        </w:r>
      </w:hyperlink>
    </w:p>
    <w:p>
      <w:pPr>
        <w:spacing w:after="100"/>
      </w:pPr>
      <w:hyperlink w:history="1" r:id="rIdznybu_-nnyzee0x3fqqmb">
        <w:r>
          <w:rPr>
            <w:rStyle w:val="Hyperlink"/>
            <w:rFonts w:ascii="Times New Roman" w:cs="Times New Roman" w:eastAsia="Times New Roman" w:hAnsi="Times New Roman"/>
            <w:color w:val="1155CC"/>
            <w:sz w:val="22"/>
            <w:szCs w:val="22"/>
            <w:u w:val="single"/>
          </w:rPr>
          <w:t xml:space="preserve">Hypnosis Credentials — Hypnotic Storytelling: Weaving Metaphors That Last</w:t>
        </w:r>
      </w:hyperlink>
    </w:p>
    <w:p>
      <w:pPr>
        <w:spacing w:after="100"/>
      </w:pPr>
      <w:hyperlink w:history="1" r:id="rIdq2laonctbsloo4nv0cziy">
        <w:r>
          <w:rPr>
            <w:rStyle w:val="Hyperlink"/>
            <w:rFonts w:ascii="Times New Roman" w:cs="Times New Roman" w:eastAsia="Times New Roman" w:hAnsi="Times New Roman"/>
            <w:color w:val="1155CC"/>
            <w:sz w:val="22"/>
            <w:szCs w:val="22"/>
            <w:u w:val="single"/>
          </w:rPr>
          <w:t xml:space="preserve">Hypnosis Credentials — Working with Metaphors: A Hypnotherapist's Creative Toolkit</w:t>
        </w:r>
      </w:hyperlink>
    </w:p>
    <w:p>
      <w:pPr>
        <w:spacing w:after="100"/>
      </w:pPr>
      <w:hyperlink w:history="1" r:id="rIdlxz7w08utgxtu64m70kdv">
        <w:r>
          <w:rPr>
            <w:rStyle w:val="Hyperlink"/>
            <w:rFonts w:ascii="Times New Roman" w:cs="Times New Roman" w:eastAsia="Times New Roman" w:hAnsi="Times New Roman"/>
            <w:color w:val="1155CC"/>
            <w:sz w:val="22"/>
            <w:szCs w:val="22"/>
            <w:u w:val="single"/>
          </w:rPr>
          <w:t xml:space="preserve">Self-Hypnosis.com — Metaphor and Story-Telling within Hypnotherapy</w:t>
        </w:r>
      </w:hyperlink>
    </w:p>
    <w:p>
      <w:pPr>
        <w:spacing w:after="100"/>
      </w:pPr>
      <w:hyperlink w:history="1" r:id="rIdw4-bkl9czj7ntktfcsxr5">
        <w:r>
          <w:rPr>
            <w:rStyle w:val="Hyperlink"/>
            <w:rFonts w:ascii="Times New Roman" w:cs="Times New Roman" w:eastAsia="Times New Roman" w:hAnsi="Times New Roman"/>
            <w:color w:val="1155CC"/>
            <w:sz w:val="22"/>
            <w:szCs w:val="22"/>
            <w:u w:val="single"/>
          </w:rPr>
          <w:t xml:space="preserve">Hypnogenesis — Therapeutic Metaphors &amp; Clinical Hypnosis</w:t>
        </w:r>
      </w:hyperlink>
    </w:p>
    <w:p>
      <w:pPr>
        <w:spacing w:after="100"/>
      </w:pPr>
      <w:hyperlink w:history="1" r:id="rId8nbxjswj-2ggoyfya7jsd">
        <w:r>
          <w:rPr>
            <w:rStyle w:val="Hyperlink"/>
            <w:rFonts w:ascii="Times New Roman" w:cs="Times New Roman" w:eastAsia="Times New Roman" w:hAnsi="Times New Roman"/>
            <w:color w:val="1155CC"/>
            <w:sz w:val="22"/>
            <w:szCs w:val="22"/>
            <w:u w:val="single"/>
          </w:rPr>
          <w:t xml:space="preserve">Institut Français d'Hypnose — L'hypnose Ericksonienne</w:t>
        </w:r>
      </w:hyperlink>
    </w:p>
    <w:p>
      <w:pPr>
        <w:spacing w:after="80"/>
      </w:pPr>
    </w:p>
    <w:p>
      <w:pPr>
        <w:spacing w:after="80" w:before="80"/>
      </w:pPr>
      <w:r>
        <w:rPr>
          <w:rFonts w:ascii="Times New Roman" w:cs="Times New Roman" w:eastAsia="Times New Roman" w:hAnsi="Times New Roman"/>
          <w:color w:val="1F2937"/>
          <w:sz w:val="22"/>
          <w:szCs w:val="22"/>
        </w:rPr>
        <w:t xml:space="preserve">Source institutionnelle ajoutée le 25/08/2026, testée ce jour (200) :</w:t>
      </w:r>
    </w:p>
    <w:p>
      <w:pPr>
        <w:spacing w:after="80" w:before="80"/>
      </w:pPr>
      <w:r>
        <w:rPr>
          <w:rFonts w:ascii="Times New Roman" w:cs="Times New Roman" w:eastAsia="Times New Roman" w:hAnsi="Times New Roman"/>
          <w:color w:val="1F2937"/>
          <w:sz w:val="22"/>
          <w:szCs w:val="22"/>
        </w:rPr>
        <w:t xml:space="preserve">→ </w:t>
      </w:r>
      <w:hyperlink w:history="1" r:id="rIdinsermhypnose2015r">
        <w:r>
          <w:rPr>
            <w:rFonts w:ascii="Times New Roman" w:cs="Times New Roman" w:eastAsia="Times New Roman" w:hAnsi="Times New Roman"/>
            <w:color w:val="1155CC"/>
            <w:sz w:val="22"/>
            <w:szCs w:val="22"/>
            <w:u w:val="single"/>
          </w:rPr>
          <w:t xml:space="preserve">Inserm — Évaluation de l'efficacité de la pratique de l'hypnose (2015) : expertise de plus de 200 pages réalisée à la demande de la Direction générale de la santé, distinguant hypnosédation, hypnoanalgésie et hypnothérapie. C'est la référence française pour savoir ce qui est établi et ce qui ne l'est pas — et elle ne traite pas de la métaphore isolément, ce qui confirme le constat de la section 5.</w:t>
        </w:r>
      </w:hyperlink>
    </w:p>
    <w:p>
      <w:pPr>
        <w:pStyle w:val="Heading2"/>
        <w:spacing w:after="120" w:before="320"/>
      </w:pPr>
      <w:r>
        <w:rPr>
          <w:rFonts w:ascii="Times New Roman" w:cs="Times New Roman" w:eastAsia="Times New Roman" w:hAnsi="Times New Roman"/>
          <w:b/>
          <w:bCs/>
          <w:color w:val="1B3A6B"/>
          <w:sz w:val="30"/>
          <w:szCs w:val="30"/>
        </w:rPr>
        <w:t xml:space="preserve">🔜 Prochaine leçon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F2F7" w:val="clear"/>
            <w:tcMar>
              <w:top w:type="dxa" w:w="100"/>
              <w:left w:type="dxa" w:w="200"/>
              <w:bottom w:type="dxa" w:w="100"/>
              <w:right w:type="dxa" w:w="200"/>
            </w:tcMar>
          </w:tcPr>
          <w:p>
            <w:pPr>
              <w:spacing w:after="80"/>
            </w:pPr>
            <w:r>
              <w:rPr>
                <w:rFonts w:ascii="Times New Roman" w:cs="Times New Roman" w:eastAsia="Times New Roman" w:hAnsi="Times New Roman"/>
                <w:color w:val="1F2937"/>
                <w:sz w:val="22"/>
                <w:szCs w:val="22"/>
              </w:rPr>
              <w:t xml:space="preserve">Leçon 12 / 20 — Hypnose et douleur : usages documentés</w:t>
            </w:r>
          </w:p>
          <w:p>
            <w:pPr>
              <w:spacing w:after="80"/>
            </w:pPr>
            <w:r>
              <w:rPr>
                <w:rFonts w:ascii="Times New Roman" w:cs="Times New Roman" w:eastAsia="Times New Roman" w:hAnsi="Times New Roman"/>
                <w:color w:val="1F2937"/>
                <w:sz w:val="22"/>
                <w:szCs w:val="22"/>
              </w:rPr>
              <w:t xml:space="preserve">Nous aborderons les protocoles d'analgésie hypnotique, ce que la recherche établit (gestion de la douleur chronique, douleur procédurale), et comment l'auto-hypnose peut servir de complément à la gestion de la douleur dans la vie quotidienne.</w:t>
            </w:r>
          </w:p>
        </w:tc>
      </w:tr>
    </w:tbl>
    <w:p>
      <w:pPr>
        <w:spacing w:after="80"/>
      </w:pPr>
    </w:p>
    <w:p>
      <w:pPr>
        <w:spacing w:after="120" w:before="320"/>
      </w:pPr>
      <w:r>
        <w:rPr>
          <w:rFonts w:ascii="Times New Roman" w:cs="Times New Roman" w:eastAsia="Times New Roman" w:hAnsi="Times New Roman"/>
          <w:b/>
          <w:bCs/>
          <w:color w:val="1B3A6B"/>
          <w:sz w:val="30"/>
          <w:szCs w:val="30"/>
        </w:rPr>
        <w:t xml:space="preserve">📝 Journal des corrections</w:t>
      </w:r>
    </w:p>
    <w:p>
      <w:pPr>
        <w:spacing w:after="80" w:before="80"/>
      </w:pPr>
      <w:r>
        <w:rPr>
          <w:rFonts w:ascii="Times New Roman" w:cs="Times New Roman" w:eastAsia="Times New Roman" w:hAnsi="Times New Roman"/>
          <w:color w:val="1F2937"/>
          <w:sz w:val="22"/>
          <w:szCs w:val="22"/>
        </w:rPr>
        <w:t xml:space="preserve">Leçon produite et relue le 25/08/2026. Les corrections sont fondues dans le texte ci-dessus ; les formulations d'origine sont conservées ici.</w:t>
      </w:r>
    </w:p>
    <w:p>
      <w:pPr>
        <w:spacing w:after="80" w:before="80"/>
      </w:pPr>
      <w:r>
        <w:rPr>
          <w:rFonts w:ascii="Times New Roman" w:cs="Times New Roman" w:eastAsia="Times New Roman" w:hAnsi="Times New Roman"/>
          <w:color w:val="1F2937"/>
          <w:sz w:val="22"/>
          <w:szCs w:val="22"/>
        </w:rPr>
        <w:t xml:space="preserve">1. Pont pro — « ce n'est pas de la manipulation » était affirmé, pas argumenté.</w:t>
      </w:r>
    </w:p>
    <w:p>
      <w:pPr>
        <w:spacing w:after="80" w:before="80"/>
      </w:pPr>
      <w:r>
        <w:rPr>
          <w:rFonts w:ascii="Times New Roman" w:cs="Times New Roman" w:eastAsia="Times New Roman" w:hAnsi="Times New Roman"/>
          <w:color w:val="1F2937"/>
          <w:sz w:val="22"/>
          <w:szCs w:val="22"/>
        </w:rPr>
        <w:t xml:space="preserve">Version initiale : « Ce n'est pas de la manipulation : c'est reconnaître que le sens se construit par le vécu et l'image autant que par la logique. » Le procédé décrit dans toute la leçon consiste précisément à contourner les résistances et à dissimuler le sens visé à l'esprit conscient : l'appliquer à une équipe demandait mieux qu'une dénégation. Le texte pose désormais deux conditions vérifiables — transparence du but (le récit illustre la demande, il ne la remplace pas) et possibilité de contredire (l'objection reste recevable et trouve un espace réel) — et dit explicitement que si l'une manque, il s'agit bien de manipulation, quelle que soit l'intention.</w:t>
      </w:r>
    </w:p>
    <w:p>
      <w:pPr>
        <w:spacing w:after="80" w:before="80"/>
      </w:pPr>
      <w:r>
        <w:rPr>
          <w:rFonts w:ascii="Times New Roman" w:cs="Times New Roman" w:eastAsia="Times New Roman" w:hAnsi="Times New Roman"/>
          <w:color w:val="1F2937"/>
          <w:sz w:val="22"/>
          <w:szCs w:val="22"/>
        </w:rPr>
        <w:t xml:space="preserve">2. Pont pro — le cadrage « résistance au changement ».</w:t>
      </w:r>
    </w:p>
    <w:p>
      <w:pPr>
        <w:spacing w:after="80" w:before="80"/>
      </w:pPr>
      <w:r>
        <w:rPr>
          <w:rFonts w:ascii="Times New Roman" w:cs="Times New Roman" w:eastAsia="Times New Roman" w:hAnsi="Times New Roman"/>
          <w:color w:val="1F2937"/>
          <w:sz w:val="22"/>
          <w:szCs w:val="22"/>
        </w:rPr>
        <w:t xml:space="preserve">Version initiale : « Face à une équipe en résistance face à un changement […] là où un argumentaire rationnel se heurte à des objections. » La formule désigne d'emblée l'équipe comme l'obstacle. Le passage rappelle maintenant qu'une objection est d'abord une information sur ce qui coince — charge de travail, expérience passée, désaccord de fond — et qu'elle mérite d'être entendue avant d'être contournée.</w:t>
      </w:r>
    </w:p>
    <w:p>
      <w:pPr>
        <w:spacing w:after="80" w:before="80"/>
      </w:pPr>
      <w:r>
        <w:rPr>
          <w:rFonts w:ascii="Times New Roman" w:cs="Times New Roman" w:eastAsia="Times New Roman" w:hAnsi="Times New Roman"/>
          <w:color w:val="1F2937"/>
          <w:sz w:val="22"/>
          <w:szCs w:val="22"/>
        </w:rPr>
        <w:t xml:space="preserve">3. Pont pro — une affirmation sans fondement.</w:t>
      </w:r>
    </w:p>
    <w:p>
      <w:pPr>
        <w:spacing w:after="80" w:before="80"/>
      </w:pPr>
      <w:r>
        <w:rPr>
          <w:rFonts w:ascii="Times New Roman" w:cs="Times New Roman" w:eastAsia="Times New Roman" w:hAnsi="Times New Roman"/>
          <w:color w:val="1F2937"/>
          <w:sz w:val="22"/>
          <w:szCs w:val="22"/>
        </w:rPr>
        <w:t xml:space="preserve">Version initiale : « Cette compétence […] est propre aux managers de terrain qui ont une longue expérience du terrain. » Rien ne l'étaye, et la formule se répétait. Reformulée en constat prudent.</w:t>
      </w:r>
    </w:p>
    <w:p>
      <w:pPr>
        <w:spacing w:after="80" w:before="80"/>
      </w:pPr>
      <w:r>
        <w:rPr>
          <w:rFonts w:ascii="Times New Roman" w:cs="Times New Roman" w:eastAsia="Times New Roman" w:hAnsi="Times New Roman"/>
          <w:color w:val="1F2937"/>
          <w:sz w:val="22"/>
          <w:szCs w:val="22"/>
        </w:rPr>
        <w:t xml:space="preserve">4. Sources — qualification du corpus et ajout d'une référence institutionnelle.</w:t>
      </w:r>
    </w:p>
    <w:p>
      <w:pPr>
        <w:spacing w:after="80" w:before="80"/>
      </w:pPr>
      <w:r>
        <w:rPr>
          <w:rFonts w:ascii="Times New Roman" w:cs="Times New Roman" w:eastAsia="Times New Roman" w:hAnsi="Times New Roman"/>
          <w:color w:val="1F2937"/>
          <w:sz w:val="22"/>
          <w:szCs w:val="22"/>
        </w:rPr>
        <w:t xml:space="preserve">Cinq des neuf références étaient des sites commerciaux d'hypnothérapie ou de formation (hypnosiscredentials.com, selfhypnosis.com, hypnos.co.uk, psychologue.net, hypnose.fr), la seule source institutionnelle étant la Fondation Erickson elle-même — alors que la leçon 10, produite une semaine plus tôt, s'appuyait sur des travaux Inserm de 2022 et sur Scientific Reports 2024. L'introduction des ressources dit désormais d'où parlent ces sites, et le rapport de l'Inserm « Évaluation de l'efficacité de la pratique de l'hypnose » (2015), réalisé à la demande de la Direction générale de la santé, a été ajouté et testé le 25/08/2026. À noter : ce rapport ne traite pas de la métaphore isolément, ce qui confirme plutôt qu'il n'infirme le constat de la section 5.</w:t>
      </w:r>
    </w:p>
    <w:p>
      <w:pPr>
        <w:spacing w:after="80" w:before="80"/>
      </w:pPr>
      <w:r>
        <w:rPr>
          <w:rFonts w:ascii="Times New Roman" w:cs="Times New Roman" w:eastAsia="Times New Roman" w:hAnsi="Times New Roman"/>
          <w:color w:val="1F2937"/>
          <w:sz w:val="22"/>
          <w:szCs w:val="22"/>
        </w:rPr>
        <w:t xml:space="preserve">Vérifié lors de la relecture et inchangé : la structure en quatre temps de la métaphore isomorphe ; les cinq types de métaphores ; les quatre mécanismes, dont l'identification projective et la polysémie contrôlée ; la prudence sur l'histoire du cheval perdu, résumée sans guillemets parce que les versions transcrites varient ; et l'ensemble du cadre de sécurité, y compris la contre-indication propre à ce thème et le rappel qu'employer la métaphore sur autrui exige une qualification professionnelle.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insermhypnose2015r" Type="http://schemas.openxmlformats.org/officeDocument/2006/relationships/hyperlink" Target="https://www.inserm.fr/rapport/evaluation-de-lefficacite-de-la-pratique-de-lhypnose-2015/" TargetMode="External"/><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iywvfyn0vaotg1w9zmhr" Type="http://schemas.openxmlformats.org/officeDocument/2006/relationships/hyperlink" Target="https://en.wikipedia.org/wiki/Hypnosis" TargetMode="External"/><Relationship Id="rIdkei1gscondkvtwlcnbwio" Type="http://schemas.openxmlformats.org/officeDocument/2006/relationships/hyperlink" Target="https://www.erickson-foundation.org/" TargetMode="External"/><Relationship Id="rIdctpcwjsbb0lwcb-gxvyid" Type="http://schemas.openxmlformats.org/officeDocument/2006/relationships/hyperlink" Target="https://www.psychologytoday.com/us/basics/hypnosis" TargetMode="External"/><Relationship Id="rId2x2_lfjafnisl9qplkh9d" Type="http://schemas.openxmlformats.org/officeDocument/2006/relationships/hyperlink" Target="https://www.psychologue.net/articles/lhypnose-ericksonienne-lart-de-la-metaphore-et-de-lhistoire-therapeutique-au-service-du-developpement-de-soi" TargetMode="External"/><Relationship Id="rIdznybu_-nnyzee0x3fqqmb" Type="http://schemas.openxmlformats.org/officeDocument/2006/relationships/hyperlink" Target="https://hypnosiscredentials.com/techniques/hypnotic-storytelling/" TargetMode="External"/><Relationship Id="rIdq2laonctbsloo4nv0cziy" Type="http://schemas.openxmlformats.org/officeDocument/2006/relationships/hyperlink" Target="https://hypnosiscredentials.com/techniques/metaphors-in-hypnotherapy/" TargetMode="External"/><Relationship Id="rIdlxz7w08utgxtu64m70kdv" Type="http://schemas.openxmlformats.org/officeDocument/2006/relationships/hyperlink" Target="https://www.selfhypnosis.com/metaphor-and-story-telling/" TargetMode="External"/><Relationship Id="rIdw4-bkl9czj7ntktfcsxr5" Type="http://schemas.openxmlformats.org/officeDocument/2006/relationships/hyperlink" Target="https://hypnos.co.uk/metaphor-esparsa.html" TargetMode="External"/><Relationship Id="rId8nbxjswj-2ggoyfya7jsd" Type="http://schemas.openxmlformats.org/officeDocument/2006/relationships/hyperlink" Target="https://www.hypnose.fr/hypnose/courants-hypnose-therapeutique/l-hypnose-ericksonienne/"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2026-08-25T07:07:05.188Z</dcterms:created>
  <dcterms:modified xsi:type="dcterms:W3CDTF">2026-08-25T07:07:05.189Z</dcterms:modified>
</cp:coreProperties>
</file>

<file path=docProps/custom.xml><?xml version="1.0" encoding="utf-8"?>
<Properties xmlns="http://schemas.openxmlformats.org/officeDocument/2006/custom-properties" xmlns:vt="http://schemas.openxmlformats.org/officeDocument/2006/docPropsVTypes"/>
</file>