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B3A6B"/>
          <w:sz w:val="52"/>
          <w:szCs w:val="52"/>
        </w:rPr>
        <w:t xml:space="preserve">Leçon Psychopathologie clinique n°02</w:t>
      </w:r>
    </w:p>
    <w:p>
      <w:pPr>
        <w:spacing w:after="80" w:before="0"/>
        <w:jc w:val="center"/>
      </w:pPr>
      <w:r>
        <w:rPr>
          <w:rFonts w:ascii="Times New Roman" w:cs="Times New Roman" w:eastAsia="Times New Roman" w:hAnsi="Times New Roman"/>
          <w:b/>
          <w:bCs/>
          <w:color w:val="1F2937"/>
          <w:sz w:val="32"/>
          <w:szCs w:val="32"/>
        </w:rPr>
        <w:t xml:space="preserve">Normal et Pathologique — Critères, Continuum, Classifications CIM-11 &amp; DSM-5-TR</w:t>
      </w:r>
    </w:p>
    <w:p>
      <w:pPr>
        <w:spacing w:after="60" w:before="0"/>
        <w:jc w:val="center"/>
      </w:pPr>
      <w:r>
        <w:rPr>
          <w:rFonts w:ascii="Times New Roman" w:cs="Times New Roman" w:eastAsia="Times New Roman" w:hAnsi="Times New Roman"/>
          <w:i/>
          <w:iCs/>
          <w:color w:val="6B7280"/>
          <w:sz w:val="20"/>
          <w:szCs w:val="20"/>
        </w:rPr>
        <w:t xml:space="preserve">Date : 22 juin 2026  •  Module Fondamental — Leçon 2/20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2/16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200" w:before="0"/>
        <w:jc w:val="center"/>
      </w:pPr>
      <w:r>
        <w:rPr>
          <w:rFonts w:ascii="Times New Roman" w:cs="Times New Roman" w:eastAsia="Times New Roman" w:hAnsi="Times New Roman"/>
          <w:i/>
          <w:iCs/>
          <w:color w:val="6B7280"/>
          <w:sz w:val="20"/>
          <w:szCs w:val="20"/>
        </w:rPr>
        <w:t xml:space="preserve">Parcours : Introduction (L1) ✓  →  Normal/Pathologique (L2)  →  Sémiologie (L3)…</w:t>
      </w:r>
    </w:p>
    <w:p>
      <w:pPr>
        <w:shd w:fill="F3F4F6" w:val="clear"/>
        <w:spacing w:after="80" w:before="80"/>
        <w:ind w:left="431"/>
      </w:pPr>
      <w:r>
        <w:rPr>
          <w:rFonts w:ascii="Times New Roman" w:cs="Times New Roman" w:eastAsia="Times New Roman" w:hAnsi="Times New Roman"/>
          <w:b/>
          <w:bCs/>
          <w:color w:val="1B3A6B"/>
          <w:sz w:val="22"/>
          <w:szCs w:val="22"/>
        </w:rPr>
        <w:t xml:space="preserve">⚠️ Cadre déontologique : </w:t>
      </w:r>
      <w:r>
        <w:rPr>
          <w:rFonts w:ascii="Times New Roman" w:cs="Times New Roman" w:eastAsia="Times New Roman" w:hAnsi="Times New Roman"/>
          <w:color w:val="1F2937"/>
          <w:sz w:val="22"/>
          <w:szCs w:val="22"/>
        </w:rPr>
        <w:t xml:space="preserve">Ces leçons visent à COMPRENDRE la psychopathologie pour mieux observer, accompagner et orienter — en aucun cas à poser un diagnostic, acte réservé aux médecins psychiatres et psychologues cliniciens. Posture non stigmatisante, centrée sur la personne et le rétablissement.</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Objectif et continuité</w:t>
      </w:r>
    </w:p>
    <w:p>
      <w:pPr>
        <w:spacing w:after="60" w:before="60"/>
      </w:pPr>
      <w:r>
        <w:rPr>
          <w:rFonts w:ascii="Times New Roman" w:cs="Times New Roman" w:eastAsia="Times New Roman" w:hAnsi="Times New Roman"/>
          <w:color w:val="1F2937"/>
          <w:sz w:val="22"/>
          <w:szCs w:val="22"/>
        </w:rPr>
        <w:t xml:space="preserve">À l'issue de cette leçon, tu seras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le normal du pathologique à l'aide de critères opérationnels (souffrance, durée, retentissement, inadaptation)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Situer un symptôme sur un continuum plutôt que dans une case binaire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Différencier les deux grandes classifications mondiales (CIM-11 et DSM-5-TR) et comprendre leur usage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Appliquer ces repères à des situations d'accompagnement en ESSMS</w:t>
      </w:r>
    </w:p>
    <w:p>
      <w:pPr>
        <w:spacing w:after="80" w:before="80"/>
      </w:pPr>
    </w:p>
    <w:p>
      <w:pPr>
        <w:shd w:fill="F3F4F6" w:val="clear"/>
        <w:spacing w:after="80" w:before="80"/>
        <w:ind w:left="431"/>
      </w:pPr>
      <w:r>
        <w:rPr>
          <w:rFonts w:ascii="Times New Roman" w:cs="Times New Roman" w:eastAsia="Times New Roman" w:hAnsi="Times New Roman"/>
          <w:b/>
          <w:bCs/>
          <w:color w:val="1B3A6B"/>
          <w:sz w:val="22"/>
          <w:szCs w:val="22"/>
        </w:rPr>
        <w:t xml:space="preserve">🔗 Lien avec la L1 : </w:t>
      </w:r>
      <w:r>
        <w:rPr>
          <w:rFonts w:ascii="Times New Roman" w:cs="Times New Roman" w:eastAsia="Times New Roman" w:hAnsi="Times New Roman"/>
          <w:color w:val="1F2937"/>
          <w:sz w:val="22"/>
          <w:szCs w:val="22"/>
        </w:rPr>
        <w:t xml:space="preserve">La leçon 1 a posé les grands modèles explicatifs de la psychopathologie (médical, psychanalytique, cognitivo-comportemental, phénoménologique, systémique). Cette leçon 2 répond à la question préalable à tout modèle : à partir de quand parle-t-on réellement de pathologie ? Et comment les systèmes internationaux organisent-ils cette réponse ?</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Théorie (20%) — Les fondamentaux</w:t>
      </w:r>
    </w:p>
    <w:p>
      <w:pPr>
        <w:spacing w:after="80" w:before="200"/>
      </w:pPr>
      <w:r>
        <w:rPr>
          <w:rFonts w:ascii="Times New Roman" w:cs="Times New Roman" w:eastAsia="Times New Roman" w:hAnsi="Times New Roman"/>
          <w:b/>
          <w:bCs/>
          <w:color w:val="1F2937"/>
          <w:sz w:val="26"/>
          <w:szCs w:val="26"/>
        </w:rPr>
        <w:t xml:space="preserve">1. La question fondamentale : où commence le pathologique ?</w:t>
      </w:r>
    </w:p>
    <w:p>
      <w:pPr>
        <w:spacing w:after="60" w:before="60"/>
      </w:pPr>
      <w:r>
        <w:rPr>
          <w:rFonts w:ascii="Times New Roman" w:cs="Times New Roman" w:eastAsia="Times New Roman" w:hAnsi="Times New Roman"/>
          <w:color w:val="1F2937"/>
          <w:sz w:val="22"/>
          <w:szCs w:val="22"/>
        </w:rPr>
        <w:t xml:space="preserve">La frontière entre le normal et le pathologique n'est pas une ligne nette — c'est une zone de gradient. Canguilhem (1943) l'a montré : la norme est relative à l'individu et à son milieu. Ce qui est pathologique pour l'un peut être adaptatif pour un autre.</w:t>
      </w:r>
    </w:p>
    <w:p>
      <w:pPr>
        <w:spacing w:after="60" w:before="60"/>
      </w:pPr>
    </w:p>
    <w:p>
      <w:pPr>
        <w:spacing w:after="60" w:before="60"/>
      </w:pPr>
      <w:r>
        <w:rPr>
          <w:rFonts w:ascii="Times New Roman" w:cs="Times New Roman" w:eastAsia="Times New Roman" w:hAnsi="Times New Roman"/>
          <w:color w:val="1F2937"/>
          <w:sz w:val="22"/>
          <w:szCs w:val="22"/>
        </w:rPr>
        <w:t xml:space="preserve">Quatre grands modèles de définition coexistent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Modèle statistique : est pathologique ce qui s'écarte significativement de la moyenne. Limite : le génie et le retard intellectuel sévère seraient tous deux 'pathologiques'.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Modèle médical/biologique : est pathologique ce qui résulte d'un dysfonctionnement organique ou neurochimique. Limite : réduit la psychopathologie à la biologie.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Modèle normatif/social : est pathologique ce qui transgresse les normes sociales et culturelles. Limite : le conformisme devient critère de santé (risques évidents).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Modèle fonctionnel et subjectif (consensus actuel) : est pathologique ce qui génère une souffrance significative ET/OU un retentissement fonctionnel — indépendamment de la norme statistique ou sociale.</w:t>
      </w:r>
    </w:p>
    <w:p>
      <w:pPr>
        <w:spacing w:after="80" w:before="80"/>
      </w:pPr>
    </w:p>
    <w:p>
      <w:pPr>
        <w:shd w:fill="F3F4F6" w:val="clear"/>
        <w:spacing w:after="100" w:before="100"/>
        <w:ind w:left="576"/>
      </w:pPr>
      <w:r>
        <w:rPr>
          <w:rFonts w:ascii="Times New Roman" w:cs="Times New Roman" w:eastAsia="Times New Roman" w:hAnsi="Times New Roman"/>
          <w:i/>
          <w:iCs/>
          <w:color w:val="1B3A6B"/>
          <w:sz w:val="22"/>
          <w:szCs w:val="22"/>
        </w:rPr>
        <w:t xml:space="preserve">Formulation de référence, reprise en substance des classifications : les symptômes doivent entraîner une souffrance cliniquement significative ou une altération du fonctionnement social, professionnel ou dans d’autres domaines importants. ⚠️ Les guillemets et l’attribution « DSM-5-TR, APA (2022) » ont été retirés le 06/09/2026 : le manuel ne figure PAS parmi les sources de cette leçon, aucune de ses sept URL n’y renvoie, et la formulation n’a donc pas pu être vérifiée mot pour mot. Le fond est exact et courant ; la citation, elle, n’était pas sourçable.</w:t>
      </w:r>
    </w:p>
    <w:p>
      <w:pPr>
        <w:spacing w:after="80" w:before="80"/>
      </w:pPr>
    </w:p>
    <w:p>
      <w:pPr>
        <w:spacing w:after="80" w:before="200"/>
      </w:pPr>
      <w:r>
        <w:rPr>
          <w:rFonts w:ascii="Times New Roman" w:cs="Times New Roman" w:eastAsia="Times New Roman" w:hAnsi="Times New Roman"/>
          <w:b/>
          <w:bCs/>
          <w:color w:val="1F2937"/>
          <w:sz w:val="26"/>
          <w:szCs w:val="26"/>
        </w:rPr>
        <w:t xml:space="preserve">2. Les critères opérationnels — Le tableau de référence</w:t>
      </w:r>
    </w:p>
    <w:p>
      <w:pPr>
        <w:spacing w:after="60" w:before="60"/>
      </w:pPr>
      <w:r>
        <w:rPr>
          <w:rFonts w:ascii="Times New Roman" w:cs="Times New Roman" w:eastAsia="Times New Roman" w:hAnsi="Times New Roman"/>
          <w:color w:val="1F2937"/>
          <w:sz w:val="22"/>
          <w:szCs w:val="22"/>
        </w:rPr>
        <w:t xml:space="preserve">Le consensus actuel (DSM-5-TR / CIM-11) retient un faisceau de critères :</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Critère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Description</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Exemple concret</w:t>
            </w:r>
          </w:p>
        </w:tc>
      </w:tr>
      <w:tr>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Souffrance</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L'individu vit une détresse subjective significative</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Anxiété paralysante quotidienne</w:t>
            </w:r>
          </w:p>
        </w:tc>
      </w:tr>
      <w:tr>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Durée</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Persistance dans le temps au-delà d'un seuil</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Dépression &gt; 2 semaines (DSM-5-TR)</w:t>
            </w:r>
          </w:p>
        </w:tc>
      </w:tr>
      <w:tr>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Retentissement</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Altération du fonctionnement social, pro, familial</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Incapacité à travailler ou à maintenir des liens</w:t>
            </w:r>
          </w:p>
        </w:tc>
      </w:tr>
      <w:tr>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Inadaptation</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Réponse non ajustée au contexte environnemental</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Phobie sociale invalidante</w:t>
            </w:r>
          </w:p>
        </w:tc>
      </w:tr>
      <w:tr>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Déviance</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Écart aux normes (critère insuffisant seul)</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Délire à distinguer de la créativité</w:t>
            </w:r>
          </w:p>
        </w:tc>
      </w:tr>
    </w:tbl>
    <w:p>
      <w:pPr>
        <w:spacing w:after="40" w:before="100"/>
      </w:pPr>
    </w:p>
    <w:p>
      <w:pPr>
        <w:shd w:fill="F3F4F6" w:val="clear"/>
        <w:spacing w:after="80" w:before="80"/>
        <w:ind w:left="431"/>
      </w:pPr>
      <w:r>
        <w:rPr>
          <w:rFonts w:ascii="Times New Roman" w:cs="Times New Roman" w:eastAsia="Times New Roman" w:hAnsi="Times New Roman"/>
          <w:b/>
          <w:bCs/>
          <w:color w:val="1B3A6B"/>
          <w:sz w:val="22"/>
          <w:szCs w:val="22"/>
        </w:rPr>
        <w:t xml:space="preserve">💡 Règle du faisceau : </w:t>
      </w:r>
      <w:r>
        <w:rPr>
          <w:rFonts w:ascii="Times New Roman" w:cs="Times New Roman" w:eastAsia="Times New Roman" w:hAnsi="Times New Roman"/>
          <w:color w:val="1F2937"/>
          <w:sz w:val="22"/>
          <w:szCs w:val="22"/>
        </w:rPr>
        <w:t xml:space="preserve">Aucun critère isolé ne suffit. C'est la COMBINAISON souffrance + durée + retentissement qui permet de qualifier un trouble. Un seuil de gravité est toujours précisé dans les classifications.</w:t>
      </w:r>
    </w:p>
    <w:p>
      <w:pPr>
        <w:spacing w:after="80" w:before="100"/>
      </w:pPr>
    </w:p>
    <w:p>
      <w:pPr>
        <w:spacing w:after="80" w:before="200"/>
      </w:pPr>
      <w:r>
        <w:rPr>
          <w:rFonts w:ascii="Times New Roman" w:cs="Times New Roman" w:eastAsia="Times New Roman" w:hAnsi="Times New Roman"/>
          <w:b/>
          <w:bCs/>
          <w:color w:val="1F2937"/>
          <w:sz w:val="26"/>
          <w:szCs w:val="26"/>
        </w:rPr>
        <w:t xml:space="preserve">3. Le continuum normal-pathologique</w:t>
      </w:r>
    </w:p>
    <w:p>
      <w:pPr>
        <w:spacing w:after="60" w:before="60"/>
      </w:pPr>
      <w:r>
        <w:rPr>
          <w:rFonts w:ascii="Times New Roman" w:cs="Times New Roman" w:eastAsia="Times New Roman" w:hAnsi="Times New Roman"/>
          <w:color w:val="1F2937"/>
          <w:sz w:val="22"/>
          <w:szCs w:val="22"/>
        </w:rPr>
        <w:t xml:space="preserve">Les recherches contemporaines (dont les travaux du HiTOP — Hierarchical Taxonomy of Psychopathology) soutiennent que la plupart des troubles s'inscrivent sur un continuum dimensionnel, et non dans des catégories étanches.</w:t>
      </w:r>
    </w:p>
    <w:p>
      <w:pPr>
        <w:spacing w:after="60" w:before="60"/>
      </w:pPr>
    </w:p>
    <w:p>
      <w:pPr>
        <w:spacing w:after="60" w:before="60"/>
      </w:pPr>
      <w:r>
        <w:rPr>
          <w:rFonts w:ascii="Times New Roman" w:cs="Times New Roman" w:eastAsia="Times New Roman" w:hAnsi="Times New Roman"/>
          <w:color w:val="1F2937"/>
          <w:sz w:val="22"/>
          <w:szCs w:val="22"/>
        </w:rPr>
        <w:t xml:space="preserve">Exemple : l'anxiété existe chez tout le monde. Elle devient pathologique quand elle est persistante, disproportionnée, et qu'elle altère le fonctionnement quotidien — pas parce qu'elle appartient à une 'catégorie' différente de l'anxiété normale.</w:t>
      </w:r>
    </w:p>
    <w:p>
      <w:pPr>
        <w:spacing w:after="60" w:before="60"/>
      </w:pPr>
    </w:p>
    <w:p>
      <w:pPr>
        <w:shd w:fill="F3F4F6" w:val="clear"/>
        <w:spacing w:after="100" w:before="100"/>
        <w:ind w:left="576"/>
      </w:pPr>
      <w:r>
        <w:rPr>
          <w:rFonts w:ascii="Times New Roman" w:cs="Times New Roman" w:eastAsia="Times New Roman" w:hAnsi="Times New Roman"/>
          <w:i/>
          <w:iCs/>
          <w:color w:val="1B3A6B"/>
          <w:sz w:val="22"/>
          <w:szCs w:val="22"/>
        </w:rPr>
        <w:t xml:space="preserve">⚠️ CITATION RETIRÉE LE 06/09/2026. Cette phrase figurait ici entre guillemets, attribuée à Freud « repris dans Cairn.info, Research in Psychoanalysis, 2018 ». L’article de Cairn répond HTTP 403 — il n’a pas pu être ouvert, ni le 22/06/2026 ni lors de la relecture. C’était donc une citation de Freud PAR RICOCHET, attribuée à un auteur via un article que personne n’a lu. Ce qui peut être dit sans guillemets et sans attribution nominale : dans la tradition psychanalytique, la différence entre normal et pathologique est pensée comme une différence de DEGRÉ et non de NATURE — c’est cette idée que la section illustre, et elle suffit au propos.</w:t>
      </w:r>
    </w:p>
    <w:p>
      <w:pPr>
        <w:spacing w:after="80" w:before="100"/>
      </w:pPr>
    </w:p>
    <w:p>
      <w:pPr>
        <w:spacing w:after="80" w:before="200"/>
      </w:pPr>
      <w:r>
        <w:rPr>
          <w:rFonts w:ascii="Times New Roman" w:cs="Times New Roman" w:eastAsia="Times New Roman" w:hAnsi="Times New Roman"/>
          <w:b/>
          <w:bCs/>
          <w:color w:val="1F2937"/>
          <w:sz w:val="26"/>
          <w:szCs w:val="26"/>
        </w:rPr>
        <w:t xml:space="preserve">4. Les deux grandes classifications : CIM-11 vs DSM-5-TR</w:t>
      </w:r>
    </w:p>
    <w:p>
      <w:pPr>
        <w:spacing w:after="60" w:before="60"/>
      </w:pPr>
      <w:r>
        <w:rPr>
          <w:rFonts w:ascii="Times New Roman" w:cs="Times New Roman" w:eastAsia="Times New Roman" w:hAnsi="Times New Roman"/>
          <w:color w:val="1F2937"/>
          <w:sz w:val="22"/>
          <w:szCs w:val="22"/>
        </w:rPr>
        <w:t xml:space="preserve">Ce sont les deux références mondiales pour identifier et nommer les troubles mentaux. Elles ne s'opposent pas mais répondent à des logiques différentes :</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Dimension</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DSM-5-TR (APA, 2022)</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CIM-11 (OMS, 2022)</w:t>
            </w:r>
          </w:p>
        </w:tc>
      </w:tr>
      <w:tr>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Origine</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Américaine — American Psychiatric Association</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Internationale — OMS</w:t>
            </w:r>
          </w:p>
        </w:tc>
      </w:tr>
      <w:tr>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Usage</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Recherche + clinique (USA + monde entier)</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Standard officiel international (Europe, FR)</w:t>
            </w:r>
          </w:p>
        </w:tc>
      </w:tr>
      <w:tr>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Approche</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Catégorielle (+ sections dimensionnelles)</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Catégorielle + dimensionnelle (personnalité)</w:t>
            </w:r>
          </w:p>
        </w:tc>
      </w:tr>
      <w:tr>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Nouveautés</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Révision TR : critères affinés, spectre transdiag.</w:t>
            </w:r>
          </w:p>
        </w:tc>
        <w:tc>
          <w:tcPr>
            <w:shd w:fill="EEF2F7" w:val="clea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Troubles complexes, sensibilité culturelle, lifecourse</w:t>
            </w:r>
          </w:p>
        </w:tc>
      </w:tr>
      <w:tr>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Diagnostic</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Critères précis en listes (checklists)</w:t>
            </w:r>
          </w:p>
        </w:tc>
        <w:tc>
          <w:tcPr>
            <w:tcMar>
              <w:top w:type="dxa" w:w="60"/>
              <w:left w:type="dxa" w:w="80"/>
              <w:bottom w:type="dxa" w:w="60"/>
              <w:right w:type="dxa" w:w="80"/>
            </w:tcMar>
          </w:tcPr>
          <w:p>
            <w:pPr>
              <w:spacing w:after="40" w:before="40"/>
            </w:pPr>
            <w:r>
              <w:rPr>
                <w:rFonts w:ascii="Times New Roman" w:cs="Times New Roman" w:eastAsia="Times New Roman" w:hAnsi="Times New Roman"/>
                <w:color w:val="1F2937"/>
                <w:sz w:val="20"/>
                <w:szCs w:val="20"/>
              </w:rPr>
              <w:t xml:space="preserve">Descriptions cliniques + exigences diagnostiques</w:t>
            </w:r>
          </w:p>
        </w:tc>
      </w:tr>
    </w:tbl>
    <w:p>
      <w:pPr>
        <w:spacing w:after="80" w:before="100"/>
      </w:pPr>
    </w:p>
    <w:p>
      <w:pPr>
        <w:shd w:fill="F3F4F6" w:val="clear"/>
        <w:spacing w:after="80" w:before="80"/>
        <w:ind w:left="431"/>
      </w:pPr>
      <w:r>
        <w:rPr>
          <w:rFonts w:ascii="Times New Roman" w:cs="Times New Roman" w:eastAsia="Times New Roman" w:hAnsi="Times New Roman"/>
          <w:b/>
          <w:bCs/>
          <w:color w:val="1B3A6B"/>
          <w:sz w:val="22"/>
          <w:szCs w:val="22"/>
        </w:rPr>
        <w:t xml:space="preserve">🆕 CIM-11 (2022) : </w:t>
      </w:r>
      <w:r>
        <w:rPr>
          <w:rFonts w:ascii="Times New Roman" w:cs="Times New Roman" w:eastAsia="Times New Roman" w:hAnsi="Times New Roman"/>
          <w:color w:val="1F2937"/>
          <w:sz w:val="22"/>
          <w:szCs w:val="22"/>
        </w:rPr>
        <w:t xml:space="preserve">Le manuel CDDR 2024 (Clinical Descriptions and Diagnostic Requirements) publié par l'OMS en mars 2024 intègre : le TSPT complexe, le trouble du jeu vidéo, le trouble du deuil prolongé. Il adopte une approche 'lifecourse' (enfance → grand âge) et est sensible à la diversité culturelle. Source : OMS, communiqué 08/03/2024.</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Pratique (80%) — Mise en application</w:t>
      </w:r>
    </w:p>
    <w:p>
      <w:pPr>
        <w:spacing w:after="80" w:before="200"/>
      </w:pPr>
      <w:r>
        <w:rPr>
          <w:rFonts w:ascii="Times New Roman" w:cs="Times New Roman" w:eastAsia="Times New Roman" w:hAnsi="Times New Roman"/>
          <w:b/>
          <w:bCs/>
          <w:color w:val="1F2937"/>
          <w:sz w:val="26"/>
          <w:szCs w:val="26"/>
        </w:rPr>
        <w:t xml:space="preserve">Exercice 1 — Décoder les critères en situation (compréhension active)</w:t>
      </w:r>
    </w:p>
    <w:p>
      <w:pPr>
        <w:spacing w:after="60" w:before="60"/>
      </w:pPr>
      <w:r>
        <w:rPr>
          <w:rFonts w:ascii="Times New Roman" w:cs="Times New Roman" w:eastAsia="Times New Roman" w:hAnsi="Times New Roman"/>
          <w:color w:val="1F2937"/>
          <w:sz w:val="22"/>
          <w:szCs w:val="22"/>
        </w:rPr>
        <w:t xml:space="preserve">Lis les trois vignettes ci-dessous. Pour chacune, réponds aux questions en t'appuyant sur les critères du tableau de référence.</w:t>
      </w:r>
    </w:p>
    <w:p>
      <w:pPr>
        <w:spacing w:after="60" w:before="60"/>
      </w:pPr>
    </w:p>
    <w:p>
      <w:pPr>
        <w:shd w:fill="F3F4F6" w:val="clear"/>
        <w:spacing w:after="80" w:before="80"/>
        <w:ind w:left="431"/>
      </w:pPr>
      <w:r>
        <w:rPr>
          <w:rFonts w:ascii="Times New Roman" w:cs="Times New Roman" w:eastAsia="Times New Roman" w:hAnsi="Times New Roman"/>
          <w:b/>
          <w:bCs/>
          <w:color w:val="1B3A6B"/>
          <w:sz w:val="22"/>
          <w:szCs w:val="22"/>
        </w:rPr>
        <w:t xml:space="preserve">Vignette A : </w:t>
      </w:r>
      <w:r>
        <w:rPr>
          <w:rFonts w:ascii="Times New Roman" w:cs="Times New Roman" w:eastAsia="Times New Roman" w:hAnsi="Times New Roman"/>
          <w:color w:val="1F2937"/>
          <w:sz w:val="22"/>
          <w:szCs w:val="22"/>
        </w:rPr>
        <w:t xml:space="preserve">Marc, 45 ans, vient de perdre son père. Depuis 3 semaines, il pleure fréquemment, dort mal, mange peu et a du mal à se concentrer au travail. Il dit se sentir 'vide'. Ses collègues remarquent qu'il est moins efficace, mais il parvient encore à accomplir ses missions essentielles.</w:t>
      </w:r>
    </w:p>
    <w:p>
      <w:pPr>
        <w:shd w:fill="F3F4F6" w:val="clear"/>
        <w:spacing w:after="80" w:before="80"/>
        <w:ind w:left="431"/>
      </w:pPr>
      <w:r>
        <w:rPr>
          <w:rFonts w:ascii="Times New Roman" w:cs="Times New Roman" w:eastAsia="Times New Roman" w:hAnsi="Times New Roman"/>
          <w:b/>
          <w:bCs/>
          <w:color w:val="1B3A6B"/>
          <w:sz w:val="22"/>
          <w:szCs w:val="22"/>
        </w:rPr>
        <w:t xml:space="preserve">Vignette B : </w:t>
      </w:r>
      <w:r>
        <w:rPr>
          <w:rFonts w:ascii="Times New Roman" w:cs="Times New Roman" w:eastAsia="Times New Roman" w:hAnsi="Times New Roman"/>
          <w:color w:val="1F2937"/>
          <w:sz w:val="22"/>
          <w:szCs w:val="22"/>
        </w:rPr>
        <w:t xml:space="preserve">Sophie, 32 ans, ne sort plus de chez elle depuis 4 mois par peur de croiser des inconnus. Elle a perdu son emploi, ses amis ne la voient plus. Elle dit que 'le monde extérieur est insupportable' mais n'identifie pas cela comme un problème.</w:t>
      </w:r>
    </w:p>
    <w:p>
      <w:pPr>
        <w:shd w:fill="F3F4F6" w:val="clear"/>
        <w:spacing w:after="80" w:before="80"/>
        <w:ind w:left="431"/>
      </w:pPr>
      <w:r>
        <w:rPr>
          <w:rFonts w:ascii="Times New Roman" w:cs="Times New Roman" w:eastAsia="Times New Roman" w:hAnsi="Times New Roman"/>
          <w:b/>
          <w:bCs/>
          <w:color w:val="1B3A6B"/>
          <w:sz w:val="22"/>
          <w:szCs w:val="22"/>
        </w:rPr>
        <w:t xml:space="preserve">Vignette C : </w:t>
      </w:r>
      <w:r>
        <w:rPr>
          <w:rFonts w:ascii="Times New Roman" w:cs="Times New Roman" w:eastAsia="Times New Roman" w:hAnsi="Times New Roman"/>
          <w:color w:val="1F2937"/>
          <w:sz w:val="22"/>
          <w:szCs w:val="22"/>
        </w:rPr>
        <w:t xml:space="preserve">Thomas, 22 ans, passe 6h par jour à vérifier qu'il a bien fermé les portes et éteint le gaz. Il le sait rationnel lui-même, mais l'angoisse revient dès qu'il arrête. Il arrive systématiquement en retard à ses rendez-vous.</w:t>
      </w:r>
    </w:p>
    <w:p>
      <w:pPr>
        <w:spacing w:after="60" w:before="80"/>
      </w:pPr>
    </w:p>
    <w:p>
      <w:pPr>
        <w:spacing w:after="60" w:before="60"/>
      </w:pPr>
      <w:r>
        <w:rPr>
          <w:rFonts w:ascii="Times New Roman" w:cs="Times New Roman" w:eastAsia="Times New Roman" w:hAnsi="Times New Roman"/>
          <w:color w:val="1F2937"/>
          <w:sz w:val="22"/>
          <w:szCs w:val="22"/>
        </w:rPr>
        <w:t xml:space="preserve">Pour chaque vignette, note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critères sont présents parmi : souffrance / durée / retentissement / inadaptation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S'agirait-il plutôt d'une réaction normale, d'une zone grise, ou d'un trouble probable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classification (CIM-11 / DSM-5-TR) utiliserais-tu si tu travaillais avec l'équipe médicale pour en parler ?</w:t>
      </w:r>
    </w:p>
    <w:p>
      <w:pPr>
        <w:spacing w:after="60" w:before="60"/>
      </w:pPr>
      <w:r>
        <w:rPr>
          <w:rFonts w:ascii="Times New Roman" w:cs="Times New Roman" w:eastAsia="Times New Roman" w:hAnsi="Times New Roman"/>
          <w:color w:val="1F2937"/>
          <w:sz w:val="22"/>
          <w:szCs w:val="22"/>
        </w:rPr>
        <w:t xml:space="preserve">(Réponses en fin de section — ou mets en pause et réfléchis avant de lire la suite.)</w:t>
      </w:r>
    </w:p>
    <w:p>
      <w:pPr>
        <w:spacing w:after="80" w:before="80"/>
      </w:pPr>
    </w:p>
    <w:p>
      <w:pPr>
        <w:shd w:fill="F3F4F6" w:val="clear"/>
        <w:spacing w:after="80" w:before="80"/>
        <w:ind w:left="431"/>
      </w:pPr>
      <w:r>
        <w:rPr>
          <w:rFonts w:ascii="Times New Roman" w:cs="Times New Roman" w:eastAsia="Times New Roman" w:hAnsi="Times New Roman"/>
          <w:b/>
          <w:bCs/>
          <w:color w:val="1B3A6B"/>
          <w:sz w:val="22"/>
          <w:szCs w:val="22"/>
        </w:rPr>
        <w:t xml:space="preserve">💬 Repères pour les vignettes : </w:t>
      </w:r>
      <w:r>
        <w:rPr>
          <w:rFonts w:ascii="Times New Roman" w:cs="Times New Roman" w:eastAsia="Times New Roman" w:hAnsi="Times New Roman"/>
          <w:color w:val="1F2937"/>
          <w:sz w:val="22"/>
          <w:szCs w:val="22"/>
        </w:rPr>
        <w:t xml:space="preserve">A : ⚠️ CORRIGÉ LE 06/09/2026 — ce repère disait « deuil normal (&lt; 2 mois, retentissement partiel) — pas de trouble selon DSM-5-TR ». Deux problèmes. ① LE SEUIL CONTREDIT LE TABLEAU DE CETTE LEÇON : la ligne « Durée » du tableau de référence, deux sections plus haut, pose « Dépression &gt; 2 semaines (DSM-5-TR) ». Marc en est à TROIS semaines — il franchit donc le seuil que la leçon a elle-même posé, alors que le repère conclut l’inverse en s’appuyant sur un seuil de deux mois que la leçon n’introduit nulle part. ② CE SEUIL DE DEUX MOIS N’A PAS ÉTÉ VÉRIFIÉ : il correspond à l’exclusion du deuil telle qu’elle figurait au DSM-IV, et son statut dans le DSM-5-TR demande d’ouvrir le manuel — que cette leçon ne cite pas parmi ses sources. Ce qu’il faut retenir de la vignette A sans trancher : Marc présente souffrance, troubles du sommeil et de l’appétit, difficultés de concentration et retentissement professionnel constaté par des tiers, trois semaines après un décès. C’est une situation qui appelle une VIGILANCE et une orientation possible, non un classement en « pas de trouble ». La distinction entre réaction de deuil et épisode dépressif relève du médecin. B : probable phobie sociale sévère / agoraphobie — tous les critères sont présents (durée, retentissement majeur). C : compatible TOC (obsessions + compulsions + retentissement + conscience de l'irrationalité = critère typique). Marc = zone grise à surveiller ; Sophie et Thomas = trouble probable nécessitant une orientation.</w:t>
      </w:r>
    </w:p>
    <w:p>
      <w:pPr>
        <w:spacing w:after="80" w:before="120"/>
      </w:pPr>
    </w:p>
    <w:p>
      <w:pPr>
        <w:spacing w:after="80" w:before="200"/>
      </w:pPr>
      <w:r>
        <w:rPr>
          <w:rFonts w:ascii="Times New Roman" w:cs="Times New Roman" w:eastAsia="Times New Roman" w:hAnsi="Times New Roman"/>
          <w:b/>
          <w:bCs/>
          <w:color w:val="1F2937"/>
          <w:sz w:val="26"/>
          <w:szCs w:val="26"/>
        </w:rPr>
        <w:t xml:space="preserve">Exercice 2 — Cartographier le continuum (repérage)</w:t>
      </w:r>
    </w:p>
    <w:p>
      <w:pPr>
        <w:spacing w:after="60" w:before="60"/>
      </w:pPr>
      <w:r>
        <w:rPr>
          <w:rFonts w:ascii="Times New Roman" w:cs="Times New Roman" w:eastAsia="Times New Roman" w:hAnsi="Times New Roman"/>
          <w:color w:val="1F2937"/>
          <w:sz w:val="22"/>
          <w:szCs w:val="22"/>
        </w:rPr>
        <w:t xml:space="preserve">Place les situations suivantes sur un axe de continuum allant de 'Normal/Adaptatif' à 'Pathologique probable'. Justifie chaque placement par un ou plusieurs critères.</w:t>
      </w:r>
    </w:p>
    <w:p>
      <w:pPr>
        <w:spacing w:after="60" w:before="60"/>
      </w:pP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adolescent qui mange peu avant un examen important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personne qui ne mange plus depuis 3 mois et a perdu 15kg (anorexie restrictive sévère)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manager qui vérifie 2x ses emails importants avant envoi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professionnel qui ne peut pas quitter le travail sans avoir relu chaque document 10 fois pendant 2 heures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personne deuillée qui pleure encore 3 semaines après le décès de son conjoint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personne qui présente un syndrome de deuil prolongé, 18 mois après le décès, avec isolement complet</w:t>
      </w:r>
    </w:p>
    <w:p>
      <w:pPr>
        <w:spacing w:after="60" w:before="80"/>
      </w:pPr>
    </w:p>
    <w:p>
      <w:pPr>
        <w:spacing w:after="60" w:before="60"/>
      </w:pPr>
      <w:r>
        <w:rPr>
          <w:rFonts w:ascii="Times New Roman" w:cs="Times New Roman" w:eastAsia="Times New Roman" w:hAnsi="Times New Roman"/>
          <w:color w:val="1F2937"/>
          <w:sz w:val="22"/>
          <w:szCs w:val="22"/>
        </w:rPr>
        <w:t xml:space="preserve">Réflexion complémentaire : que remarques-tu dans tes placements ? Y a-t-il des cas où tu as hésité ? Qu'est-ce qui a rendu la décision difficile ?</w:t>
      </w:r>
    </w:p>
    <w:p>
      <w:pPr>
        <w:shd w:fill="F3F4F6" w:val="clear"/>
        <w:spacing w:after="80" w:before="80"/>
        <w:ind w:left="431"/>
      </w:pPr>
      <w:r>
        <w:rPr>
          <w:rFonts w:ascii="Times New Roman" w:cs="Times New Roman" w:eastAsia="Times New Roman" w:hAnsi="Times New Roman"/>
          <w:b/>
          <w:bCs/>
          <w:color w:val="1B3A6B"/>
          <w:sz w:val="22"/>
          <w:szCs w:val="22"/>
        </w:rPr>
        <w:t xml:space="preserve">🎯 Objectif : </w:t>
      </w:r>
      <w:r>
        <w:rPr>
          <w:rFonts w:ascii="Times New Roman" w:cs="Times New Roman" w:eastAsia="Times New Roman" w:hAnsi="Times New Roman"/>
          <w:color w:val="1F2937"/>
          <w:sz w:val="22"/>
          <w:szCs w:val="22"/>
        </w:rPr>
        <w:t xml:space="preserve">Intérioriser que la distinction n'est pas une case à cocher, mais une appréciation clinique qui tient compte du contexte, de la durée, et de l'intensité. Les situations 1, 3, 5 sont dans la zone normale/adaptative ; 2, 4, 6 sont dans la zone trouble probable.</w:t>
      </w:r>
    </w:p>
    <w:p>
      <w:pPr>
        <w:spacing w:after="80" w:before="120"/>
      </w:pPr>
    </w:p>
    <w:p>
      <w:pPr>
        <w:spacing w:after="80" w:before="200"/>
      </w:pPr>
      <w:r>
        <w:rPr>
          <w:rFonts w:ascii="Times New Roman" w:cs="Times New Roman" w:eastAsia="Times New Roman" w:hAnsi="Times New Roman"/>
          <w:b/>
          <w:bCs/>
          <w:color w:val="1F2937"/>
          <w:sz w:val="26"/>
          <w:szCs w:val="26"/>
        </w:rPr>
        <w:t xml:space="preserve">Exercice 3 — Manipuler les classifications (pratique concrète)</w:t>
      </w:r>
    </w:p>
    <w:p>
      <w:pPr>
        <w:spacing w:after="60" w:before="60"/>
      </w:pPr>
      <w:r>
        <w:rPr>
          <w:rFonts w:ascii="Times New Roman" w:cs="Times New Roman" w:eastAsia="Times New Roman" w:hAnsi="Times New Roman"/>
          <w:color w:val="1F2937"/>
          <w:sz w:val="22"/>
          <w:szCs w:val="22"/>
        </w:rPr>
        <w:t xml:space="preserve">Objectif : te familiariser avec la logique des deux classifications, sans poser de diagnostic.</w:t>
      </w:r>
    </w:p>
    <w:p>
      <w:pPr>
        <w:spacing w:after="60" w:before="60"/>
      </w:pPr>
    </w:p>
    <w:p>
      <w:pPr>
        <w:spacing w:after="60" w:before="60"/>
      </w:pPr>
      <w:r>
        <w:rPr>
          <w:rFonts w:ascii="Times New Roman" w:cs="Times New Roman" w:eastAsia="Times New Roman" w:hAnsi="Times New Roman"/>
          <w:color w:val="1F2937"/>
          <w:sz w:val="22"/>
          <w:szCs w:val="22"/>
        </w:rPr>
        <w:t xml:space="preserve">Étape 1 — Consulte la structure générale de la CIM-11 pour les troubles mentaux :</w:t>
      </w:r>
    </w:p>
    <w:p>
      <w:pPr>
        <w:spacing w:after="40" w:before="40"/>
      </w:pPr>
      <w:r>
        <w:rPr>
          <w:rFonts w:ascii="Times New Roman" w:cs="Times New Roman" w:eastAsia="Times New Roman" w:hAnsi="Times New Roman"/>
          <w:color w:val="1F2937"/>
          <w:sz w:val="22"/>
          <w:szCs w:val="22"/>
        </w:rPr>
        <w:t xml:space="preserve">→ </w:t>
      </w:r>
      <w:hyperlink w:history="1" r:id="rIdsfbupbxwdfnrkqcs6obou">
        <w:r>
          <w:rPr>
            <w:rFonts w:ascii="Times New Roman" w:cs="Times New Roman" w:eastAsia="Times New Roman" w:hAnsi="Times New Roman"/>
            <w:color w:val="1155CC"/>
            <w:sz w:val="22"/>
            <w:szCs w:val="22"/>
            <w:u w:val="single"/>
          </w:rPr>
          <w:t xml:space="preserve">CIM-11 — Troubles mentaux, du comportement et du neurodéveloppement (Chapitre 6)</w:t>
        </w:r>
      </w:hyperlink>
    </w:p>
    <w:p>
      <w:pPr>
        <w:spacing w:after="60" w:before="60"/>
      </w:pPr>
      <w:r>
        <w:rPr>
          <w:rFonts w:ascii="Times New Roman" w:cs="Times New Roman" w:eastAsia="Times New Roman" w:hAnsi="Times New Roman"/>
          <w:color w:val="1F2937"/>
          <w:sz w:val="22"/>
          <w:szCs w:val="22"/>
        </w:rPr>
        <w:t xml:space="preserve">Étape 2 — Repère les grandes catégories du Chapitre 6 (ex. : Troubles anxieux, Troubles de l'humeur, Troubles psychotiques…).</w:t>
      </w:r>
    </w:p>
    <w:p>
      <w:pPr>
        <w:spacing w:after="60" w:before="60"/>
      </w:pPr>
      <w:r>
        <w:rPr>
          <w:rFonts w:ascii="Times New Roman" w:cs="Times New Roman" w:eastAsia="Times New Roman" w:hAnsi="Times New Roman"/>
          <w:color w:val="1F2937"/>
          <w:sz w:val="22"/>
          <w:szCs w:val="22"/>
        </w:rPr>
        <w:t xml:space="preserve">Étape 3 — Pour l'une de ces catégories, note la définition générale proposée par l'OMS. Que dit-elle sur les critères de durée et de retentissement ?</w:t>
      </w:r>
    </w:p>
    <w:p>
      <w:pPr>
        <w:spacing w:after="60" w:before="60"/>
      </w:pPr>
      <w:r>
        <w:rPr>
          <w:rFonts w:ascii="Times New Roman" w:cs="Times New Roman" w:eastAsia="Times New Roman" w:hAnsi="Times New Roman"/>
          <w:color w:val="1F2937"/>
          <w:sz w:val="22"/>
          <w:szCs w:val="22"/>
        </w:rPr>
        <w:t xml:space="preserve">Étape 4 — Compare avec ce que tu saurais du DSM-5-TR sur la même catégorie (souvenir ou recherche libre). Y a-t-il des différences notables ?</w:t>
      </w:r>
    </w:p>
    <w:p>
      <w:pPr>
        <w:spacing w:after="60" w:before="60"/>
      </w:pPr>
    </w:p>
    <w:p>
      <w:pPr>
        <w:shd w:fill="F3F4F6" w:val="clear"/>
        <w:spacing w:after="80" w:before="80"/>
        <w:ind w:left="431"/>
      </w:pPr>
      <w:r>
        <w:rPr>
          <w:rFonts w:ascii="Times New Roman" w:cs="Times New Roman" w:eastAsia="Times New Roman" w:hAnsi="Times New Roman"/>
          <w:b/>
          <w:bCs/>
          <w:color w:val="1B3A6B"/>
          <w:sz w:val="22"/>
          <w:szCs w:val="22"/>
        </w:rPr>
        <w:t xml:space="preserve">💡 Ce que tu entraînes : </w:t>
      </w:r>
      <w:r>
        <w:rPr>
          <w:rFonts w:ascii="Times New Roman" w:cs="Times New Roman" w:eastAsia="Times New Roman" w:hAnsi="Times New Roman"/>
          <w:color w:val="1F2937"/>
          <w:sz w:val="22"/>
          <w:szCs w:val="22"/>
        </w:rPr>
        <w:t xml:space="preserve">La capacité à te repérer dans des documents de référence — sans prétendre les maîtriser en détail. L'objectif est de savoir où chercher, pas de mémoriser des codes.</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Challenge de synthèse</w:t>
      </w:r>
    </w:p>
    <w:p>
      <w:pPr>
        <w:spacing w:after="60" w:before="60"/>
      </w:pPr>
      <w:r>
        <w:rPr>
          <w:rFonts w:ascii="Times New Roman" w:cs="Times New Roman" w:eastAsia="Times New Roman" w:hAnsi="Times New Roman"/>
          <w:color w:val="1F2937"/>
          <w:sz w:val="22"/>
          <w:szCs w:val="22"/>
        </w:rPr>
        <w:t xml:space="preserve">Tu travailles dans un foyer d'hébergement. Lors d'une réunion d'équipe, un professionnel dit : 'De toute façon, avec ce public, ils sont tous fous — c'est normal qu'ils se comportent comme ça.'</w:t>
      </w:r>
    </w:p>
    <w:p>
      <w:pPr>
        <w:spacing w:after="60" w:before="60"/>
      </w:pPr>
    </w:p>
    <w:p>
      <w:pPr>
        <w:spacing w:after="60" w:before="60"/>
      </w:pPr>
      <w:r>
        <w:rPr>
          <w:rFonts w:ascii="Times New Roman" w:cs="Times New Roman" w:eastAsia="Times New Roman" w:hAnsi="Times New Roman"/>
          <w:color w:val="1F2937"/>
          <w:sz w:val="22"/>
          <w:szCs w:val="22"/>
        </w:rPr>
        <w:t xml:space="preserve">Rédige en 8 à 12 lignes une réponse argumentée à cette affirmation, en mobilisant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distinction normal/pathologique et ses critères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concept de continuum</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notion de retentissement fonctionnel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posture non stigmatisante et centrée sur la personne</w:t>
      </w:r>
    </w:p>
    <w:p>
      <w:pPr>
        <w:spacing w:after="60" w:before="60"/>
      </w:pPr>
    </w:p>
    <w:p>
      <w:pPr>
        <w:shd w:fill="F3F4F6" w:val="clear"/>
        <w:spacing w:after="80" w:before="80"/>
        <w:ind w:left="431"/>
      </w:pPr>
      <w:r>
        <w:rPr>
          <w:rFonts w:ascii="Times New Roman" w:cs="Times New Roman" w:eastAsia="Times New Roman" w:hAnsi="Times New Roman"/>
          <w:b/>
          <w:bCs/>
          <w:color w:val="1B3A6B"/>
          <w:sz w:val="22"/>
          <w:szCs w:val="22"/>
        </w:rPr>
        <w:t xml:space="preserve">Piste de cadrage : </w:t>
      </w:r>
      <w:r>
        <w:rPr>
          <w:rFonts w:ascii="Times New Roman" w:cs="Times New Roman" w:eastAsia="Times New Roman" w:hAnsi="Times New Roman"/>
          <w:color w:val="1F2937"/>
          <w:sz w:val="22"/>
          <w:szCs w:val="22"/>
        </w:rPr>
        <w:t xml:space="preserve">La réponse doit éviter deux écueils : la banalisation ('c'est normal pour eux') et la sur-pathologisation ('tout comportement atypique = trouble'). Elle doit pointer la nécessité d'une analyse fonctionnelle, d'une observation rigoureuse et d'une orientation vers les professionnels habilités à poser un diagnostic.</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Pont pro — Application en ESSMS</w:t>
      </w:r>
    </w:p>
    <w:p>
      <w:pPr>
        <w:spacing w:after="60" w:before="60"/>
      </w:pPr>
      <w:r>
        <w:rPr>
          <w:rFonts w:ascii="Times New Roman" w:cs="Times New Roman" w:eastAsia="Times New Roman" w:hAnsi="Times New Roman"/>
          <w:color w:val="1F2937"/>
          <w:sz w:val="22"/>
          <w:szCs w:val="22"/>
        </w:rPr>
        <w:t xml:space="preserve">En tant que chef de service, ces repères sont directement utiles pour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Animer un retour d'équipe après un incident comportemental : distinguer 'comportement-problème adaptatif' (réaction à un contexte défavorable) de 'symptôme pathologique' nécessitant une orientation psychiatrique.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Formuler les observations dans le DUI (Imago) : utiliser un vocabulaire descriptif et fonctionnel ('présente une agitation motrice depuis 3 jours avec retrait des repas') plutôt que des étiquettes diagnostiques ('est en crise').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Préparer une ESI (équipe soignante interdisciplinaire) ou une réunion avec le psychiatre référent : structurer les informations selon les critères souffrance / durée / retentissement, ce que les médecins reconnaissent immédiatement.</w:t>
      </w:r>
    </w:p>
    <w:p>
      <w:pPr>
        <w:shd w:fill="F3F4F6" w:val="clear"/>
        <w:spacing w:after="80" w:before="80"/>
        <w:ind w:left="431"/>
      </w:pPr>
      <w:r>
        <w:rPr>
          <w:rFonts w:ascii="Times New Roman" w:cs="Times New Roman" w:eastAsia="Times New Roman" w:hAnsi="Times New Roman"/>
          <w:b/>
          <w:bCs/>
          <w:color w:val="1B3A6B"/>
          <w:sz w:val="22"/>
          <w:szCs w:val="22"/>
        </w:rPr>
        <w:t xml:space="preserve">⚠️ Rappel déontologique : </w:t>
      </w:r>
      <w:r>
        <w:rPr>
          <w:rFonts w:ascii="Times New Roman" w:cs="Times New Roman" w:eastAsia="Times New Roman" w:hAnsi="Times New Roman"/>
          <w:color w:val="1F2937"/>
          <w:sz w:val="22"/>
          <w:szCs w:val="22"/>
        </w:rPr>
        <w:t xml:space="preserve">Le rôle du chef de service et des équipes éducatives est d'OBSERVER et de TRANSMETTRE — pas de diagnostiquer. La rigueur dans la transmission ouvre le bon chemin vers les professionnels habilités.</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color w:val="1F2937"/>
          <w:sz w:val="22"/>
          <w:szCs w:val="22"/>
        </w:rPr>
        <w:t xml:space="preserve">Sources mobilisées pour cette leçon :</w:t>
      </w:r>
    </w:p>
    <w:p>
      <w:pPr>
        <w:spacing w:after="20" w:before="60"/>
      </w:pPr>
    </w:p>
    <w:p>
      <w:pPr>
        <w:spacing w:after="50" w:before="50"/>
      </w:pPr>
      <w:r>
        <w:rPr>
          <w:rFonts w:ascii="Times New Roman" w:cs="Times New Roman" w:eastAsia="Times New Roman" w:hAnsi="Times New Roman"/>
          <w:b/>
          <w:bCs/>
          <w:color w:val="1F2937"/>
          <w:sz w:val="22"/>
          <w:szCs w:val="22"/>
        </w:rPr>
        <w:t xml:space="preserve">1. </w:t>
      </w:r>
      <w:hyperlink w:history="1" r:id="rId3n41uqppq5rzcwdnkfbuj">
        <w:r>
          <w:rPr>
            <w:rFonts w:ascii="Times New Roman" w:cs="Times New Roman" w:eastAsia="Times New Roman" w:hAnsi="Times New Roman"/>
            <w:color w:val="1155CC"/>
            <w:sz w:val="22"/>
            <w:szCs w:val="22"/>
            <w:u w:val="single"/>
          </w:rPr>
          <w:t xml:space="preserve">OMS — Nouveau manuel CIM-11 CDDR (mars 2024)</w:t>
        </w:r>
      </w:hyperlink>
      <w:r>
        <w:rPr>
          <w:rFonts w:ascii="Times New Roman" w:cs="Times New Roman" w:eastAsia="Times New Roman" w:hAnsi="Times New Roman"/>
          <w:color w:val="1F2937"/>
          <w:sz w:val="22"/>
          <w:szCs w:val="22"/>
        </w:rPr>
        <w:t xml:space="preserve"> — Publication officielle sur les apports de la CIM-11 pour le diagnostic des troubles mentaux.</w:t>
      </w:r>
    </w:p>
    <w:p>
      <w:pPr>
        <w:spacing w:after="50" w:before="50"/>
      </w:pPr>
      <w:r>
        <w:rPr>
          <w:rFonts w:ascii="Times New Roman" w:cs="Times New Roman" w:eastAsia="Times New Roman" w:hAnsi="Times New Roman"/>
          <w:b/>
          <w:bCs/>
          <w:color w:val="1F2937"/>
          <w:sz w:val="22"/>
          <w:szCs w:val="22"/>
        </w:rPr>
        <w:t xml:space="preserve">2. </w:t>
      </w:r>
      <w:hyperlink w:history="1" r:id="rIdn5eoa6jtrcqtnxmb-bw_p">
        <w:r>
          <w:rPr>
            <w:rFonts w:ascii="Times New Roman" w:cs="Times New Roman" w:eastAsia="Times New Roman" w:hAnsi="Times New Roman"/>
            <w:color w:val="1155CC"/>
            <w:sz w:val="22"/>
            <w:szCs w:val="22"/>
            <w:u w:val="single"/>
          </w:rPr>
          <w:t xml:space="preserve">Wikipedia — Mental disorder (EN)</w:t>
        </w:r>
      </w:hyperlink>
      <w:r>
        <w:rPr>
          <w:rFonts w:ascii="Times New Roman" w:cs="Times New Roman" w:eastAsia="Times New Roman" w:hAnsi="Times New Roman"/>
          <w:color w:val="1F2937"/>
          <w:sz w:val="22"/>
          <w:szCs w:val="22"/>
        </w:rPr>
        <w:t xml:space="preserve"> — Synthèse des critères DSM-5 et CIM-11, modèles dimensionnel vs catégoriel, historique.</w:t>
      </w:r>
    </w:p>
    <w:p>
      <w:pPr>
        <w:spacing w:after="50" w:before="50"/>
      </w:pPr>
      <w:r>
        <w:rPr>
          <w:rFonts w:ascii="Times New Roman" w:cs="Times New Roman" w:eastAsia="Times New Roman" w:hAnsi="Times New Roman"/>
          <w:b/>
          <w:bCs/>
          <w:color w:val="1F2937"/>
          <w:sz w:val="22"/>
          <w:szCs w:val="22"/>
        </w:rPr>
        <w:t xml:space="preserve">3. </w:t>
      </w:r>
      <w:hyperlink w:history="1" r:id="rIduecjd_gtsawrobtpnqbhk">
        <w:r>
          <w:rPr>
            <w:rFonts w:ascii="Times New Roman" w:cs="Times New Roman" w:eastAsia="Times New Roman" w:hAnsi="Times New Roman"/>
            <w:color w:val="1155CC"/>
            <w:sz w:val="22"/>
            <w:szCs w:val="22"/>
            <w:u w:val="single"/>
          </w:rPr>
          <w:t xml:space="preserve">Cairn.info — Le continuum entre normal et pathologique en psychopathologie (Research in Psychoanalysis, 2018)</w:t>
        </w:r>
      </w:hyperlink>
      <w:r>
        <w:rPr>
          <w:rFonts w:ascii="Times New Roman" w:cs="Times New Roman" w:eastAsia="Times New Roman" w:hAnsi="Times New Roman"/>
          <w:color w:val="1F2937"/>
          <w:sz w:val="22"/>
          <w:szCs w:val="22"/>
        </w:rPr>
        <w:t xml:space="preserve"> — Approche psychanalytique et dimensionnelle du continuum normal/pathologique.</w:t>
      </w:r>
    </w:p>
    <w:p>
      <w:pPr>
        <w:spacing w:after="50" w:before="50"/>
      </w:pPr>
      <w:r>
        <w:rPr>
          <w:rFonts w:ascii="Times New Roman" w:cs="Times New Roman" w:eastAsia="Times New Roman" w:hAnsi="Times New Roman"/>
          <w:b/>
          <w:bCs/>
          <w:color w:val="1F2937"/>
          <w:sz w:val="22"/>
          <w:szCs w:val="22"/>
        </w:rPr>
        <w:t xml:space="preserve">4. </w:t>
      </w:r>
      <w:hyperlink w:history="1" r:id="rIdr3sg0na3bjr_xzycf_yog">
        <w:r>
          <w:rPr>
            <w:rFonts w:ascii="Times New Roman" w:cs="Times New Roman" w:eastAsia="Times New Roman" w:hAnsi="Times New Roman"/>
            <w:color w:val="1155CC"/>
            <w:sz w:val="22"/>
            <w:szCs w:val="22"/>
            <w:u w:val="single"/>
          </w:rPr>
          <w:t xml:space="preserve">Cairn.info — Évaluer la souffrance psychique. Quelle place pour la psychopathologie ? (Topique, 2018)</w:t>
        </w:r>
      </w:hyperlink>
      <w:r>
        <w:rPr>
          <w:rFonts w:ascii="Times New Roman" w:cs="Times New Roman" w:eastAsia="Times New Roman" w:hAnsi="Times New Roman"/>
          <w:color w:val="1F2937"/>
          <w:sz w:val="22"/>
          <w:szCs w:val="22"/>
        </w:rPr>
        <w:t xml:space="preserve"> — Critères de souffrance et retentissement fonctionnel en pratique.</w:t>
      </w:r>
    </w:p>
    <w:p>
      <w:pPr>
        <w:spacing w:after="50" w:before="50"/>
      </w:pPr>
      <w:r>
        <w:rPr>
          <w:rFonts w:ascii="Times New Roman" w:cs="Times New Roman" w:eastAsia="Times New Roman" w:hAnsi="Times New Roman"/>
          <w:b/>
          <w:bCs/>
          <w:color w:val="1F2937"/>
          <w:sz w:val="22"/>
          <w:szCs w:val="22"/>
        </w:rPr>
        <w:t xml:space="preserve">5. </w:t>
      </w:r>
      <w:hyperlink w:history="1" r:id="rId3kctqcptb5q9qnvwbhltv">
        <w:r>
          <w:rPr>
            <w:rFonts w:ascii="Times New Roman" w:cs="Times New Roman" w:eastAsia="Times New Roman" w:hAnsi="Times New Roman"/>
            <w:color w:val="1155CC"/>
            <w:sz w:val="22"/>
            <w:szCs w:val="22"/>
            <w:u w:val="single"/>
          </w:rPr>
          <w:t xml:space="preserve">OMS — Navigateur CIM-11 en ligne (version 2024-01) ⚠️ NON LISIBLE HORS NAVIGATEUR</w:t>
        </w:r>
      </w:hyperlink>
      <w:r>
        <w:rPr>
          <w:rFonts w:ascii="Times New Roman" w:cs="Times New Roman" w:eastAsia="Times New Roman" w:hAnsi="Times New Roman"/>
          <w:color w:val="1F2937"/>
          <w:sz w:val="22"/>
          <w:szCs w:val="22"/>
        </w:rPr>
        <w:t xml:space="preserve"> — ⚠️ Vérifié le 06/09/2026 : répond 200 mais ne renvoie que 559 caractères de menus, son contenu étant rendu en JavaScript. Utile à ouvrir soi-même dans un navigateur, inutilisable comme source pour la rédaction : rien n’en a été tiré. C’est aussi le cas du second lien vers icd.who.int cité dans l’exercice 3.</w:t>
      </w:r>
    </w:p>
    <w:p>
      <w:pPr>
        <w:spacing w:after="50" w:before="50"/>
      </w:pPr>
      <w:r>
        <w:rPr>
          <w:rFonts w:ascii="Times New Roman" w:cs="Times New Roman" w:eastAsia="Times New Roman" w:hAnsi="Times New Roman"/>
          <w:b/>
          <w:bCs/>
          <w:color w:val="1F2937"/>
          <w:sz w:val="22"/>
          <w:szCs w:val="22"/>
        </w:rPr>
        <w:t xml:space="preserve">6. </w:t>
      </w:r>
      <w:hyperlink w:history="1" r:id="rIdbevoy6wedp6pqguwyoljv">
        <w:r>
          <w:rPr>
            <w:rFonts w:ascii="Times New Roman" w:cs="Times New Roman" w:eastAsia="Times New Roman" w:hAnsi="Times New Roman"/>
            <w:color w:val="1155CC"/>
            <w:sz w:val="22"/>
            <w:szCs w:val="22"/>
            <w:u w:val="single"/>
          </w:rPr>
          <w:t xml:space="preserve">Studocu — UE Psychopathologie de l'adulte (Université de Bordeaux) ⚠️ SOURCE DÉCONSEILLÉE, PAGE EN 403</w:t>
        </w:r>
      </w:hyperlink>
      <w:r>
        <w:rPr>
          <w:rFonts w:ascii="Times New Roman" w:cs="Times New Roman" w:eastAsia="Times New Roman" w:hAnsi="Times New Roman"/>
          <w:color w:val="1F2937"/>
          <w:sz w:val="22"/>
          <w:szCs w:val="22"/>
        </w:rPr>
        <w:t xml:space="preserve"> — ⚠️ Signalé le 06/09/2026 : ce sont des notes de cours déposées par des étudiants sur une plateforme de partage, sans relecture ni garantie institutionnelle — le rang de source le plus faible de tout ce parcours. La page répond en outre 403 et n’a pas pu être rouverte. À ne pas citer dans un écrit professionnel.</w:t>
      </w:r>
    </w:p>
    <w:p>
      <w:pPr>
        <w:spacing w:after="20" w:before="60"/>
      </w:pPr>
    </w:p>
    <w:p>
      <w:pPr>
        <w:spacing w:after="60" w:before="60"/>
      </w:pPr>
      <w:r>
        <w:rPr>
          <w:rFonts w:ascii="Times New Roman" w:cs="Times New Roman" w:eastAsia="Times New Roman" w:hAnsi="Times New Roman"/>
          <w:color w:val="1F2937"/>
          <w:sz w:val="22"/>
          <w:szCs w:val="22"/>
        </w:rPr>
        <w:t xml:space="preserve">Sources inaccessibles (rendu JS / timeout) — ⚠️ liste complétée le 06/09/2026. La leçon déclarait honnêtement les trois sources ci-dessous, ce qui est la bonne pratique. Mais QUATRE des sept sources qu’elle range parmi les « sources mobilisées » ne délivrent rien non plus : les deux liens vers icd.who.int (rendu JavaScript, 559 caractères de menus), les deux articles de Cairn.info (HTTP 403) et la page Studocu (HTTP 403). Au total, DEUX sources sur sept ont réellement fourni du contenu : le communiqué de l’OMS du 8 mars 2024 et la page Wikipédia « Mental disorder ». Déclarer trois sources mortes tout en en listant quatre autres, tout aussi muettes, sous « sources mobilisées » est le défaut central de cette leçon.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psycom.org — page rendue en JavaScript, non accessible en mode headless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psychologie.fr — timeout (60s) lors du WebFetch</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brainball.fr/glossaire/dsm-5-tr — page rendue en JavaScript</w:t>
      </w:r>
    </w:p>
    <w:p>
      <w:pPr>
        <w:spacing w:after="160" w:before="160"/>
      </w:pPr>
      <w:r>
        <w:rPr>
          <w:color w:val="CCCCCC"/>
          <w:sz w:val="16"/>
          <w:szCs w:val="16"/>
        </w:rPr>
        <w:t xml:space="preserve">────────────────────────────────────────────────────────────</w:t>
      </w:r>
    </w:p>
    <w:p>
      <w:pPr>
        <w:pBdr>
          <w:bottom w:val="single" w:color="1B3A6B" w:sz="6" w:space="1"/>
        </w:pBdr>
        <w:spacing w:after="120" w:before="320"/>
      </w:pPr>
      <w:r>
        <w:rPr>
          <w:rFonts w:ascii="Times New Roman" w:cs="Times New Roman" w:eastAsia="Times New Roman" w:hAnsi="Times New Roman"/>
          <w:b/>
          <w:bCs/>
          <w:color w:val="1B3A6B"/>
          <w:sz w:val="30"/>
          <w:szCs w:val="30"/>
        </w:rPr>
        <w:t xml:space="preserve">🔜 Prochaine leçon (n°03)</w:t>
      </w:r>
    </w:p>
    <w:p>
      <w:pPr>
        <w:shd w:fill="F3F4F6" w:val="clear"/>
        <w:spacing w:after="80" w:before="80"/>
        <w:ind w:left="431"/>
      </w:pPr>
      <w:r>
        <w:rPr>
          <w:rFonts w:ascii="Times New Roman" w:cs="Times New Roman" w:eastAsia="Times New Roman" w:hAnsi="Times New Roman"/>
          <w:b/>
          <w:bCs/>
          <w:color w:val="1B3A6B"/>
          <w:sz w:val="22"/>
          <w:szCs w:val="22"/>
        </w:rPr>
        <w:t xml:space="preserve">Thème annoncé : </w:t>
      </w:r>
      <w:r>
        <w:rPr>
          <w:rFonts w:ascii="Times New Roman" w:cs="Times New Roman" w:eastAsia="Times New Roman" w:hAnsi="Times New Roman"/>
          <w:color w:val="1F2937"/>
          <w:sz w:val="22"/>
          <w:szCs w:val="22"/>
        </w:rPr>
        <w:t xml:space="preserve">Sémiologie psychiatrique — Repérer et nommer les signes cliniques : humeur, affects, pensée formelle, langage, perception, conscience, mémoire, comportement. L'objectif : développer un vocabulaire d'observation rigoureux pour décrire ce que tu vois en situation d'accompagnement.</w:t>
      </w:r>
    </w:p>
    <w:p>
      <w:pPr>
        <w:spacing w:after="160" w:before="160"/>
      </w:pPr>
      <w:r>
        <w:rPr>
          <w:color w:val="CCCCCC"/>
          <w:sz w:val="16"/>
          <w:szCs w:val="16"/>
        </w:rPr>
        <w:t xml:space="preserve">────────────────────────────────────────────────────────────</w:t>
      </w:r>
    </w:p>
    <w:p>
      <w:pPr>
        <w:spacing w:before="200"/>
        <w:jc w:val="center"/>
      </w:pPr>
      <w:r>
        <w:rPr>
          <w:rFonts w:ascii="Times New Roman" w:cs="Times New Roman" w:eastAsia="Times New Roman" w:hAnsi="Times New Roman"/>
          <w:i/>
          <w:iCs/>
          <w:color w:val="9CA3AF"/>
          <w:sz w:val="18"/>
          <w:szCs w:val="18"/>
        </w:rPr>
        <w:t xml:space="preserve">Parcours Psychopathologie clinique — usage personnel, formation continue — Chef de service ESSMS — Bouches-du-Rhône (13)</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22/06/2026, relue le 06/09/2026. Les sept URL ont été testées et cinq corrections apportées. C’est la leçon la plus ancienne relue à ce jour, et son défaut principal tient à ses sources.</w:t>
      </w:r>
    </w:p>
    <w:p>
      <w:pPr>
        <w:spacing w:after="80"/>
      </w:pPr>
      <w:r>
        <w:rPr>
          <w:rFonts w:ascii="Times New Roman" w:cs="Times New Roman" w:eastAsia="Times New Roman" w:hAnsi="Times New Roman"/>
          <w:color w:val="1F2937"/>
          <w:sz w:val="22"/>
          <w:szCs w:val="22"/>
        </w:rPr>
        <w:t xml:space="preserve">① DEUX SOURCES SUR SEPT ONT RÉELLEMENT FOURNI DU CONTENU. Le communiqué de l’OMS du 8 mars 2024 et la page Wikipédia « Mental disorder » délivrent bien leur texte. Les deux liens vers icd.who.int répondent 200 mais ne renvoient que 559 caractères de menus, leur contenu étant rendu en JavaScript ; les deux articles de Cairn.info et la page Studocu répondent 403. La leçon déclarait pourtant honnêtement trois AUTRES sources comme inaccessibles — psycom, psychologie.fr, brainball — ce qui montre qu’elle savait faire cette déclaration. Elle ne l’a pas faite pour les quatre qu’elle rangeait sous « sources mobilisées ». La liste a été complétée.</w:t>
      </w:r>
    </w:p>
    <w:p>
      <w:pPr>
        <w:spacing w:after="80"/>
      </w:pPr>
      <w:r>
        <w:rPr>
          <w:rFonts w:ascii="Times New Roman" w:cs="Times New Roman" w:eastAsia="Times New Roman" w:hAnsi="Times New Roman"/>
          <w:color w:val="1F2937"/>
          <w:sz w:val="22"/>
          <w:szCs w:val="22"/>
        </w:rPr>
        <w:t xml:space="preserve">② Le repère de la vignette A contredisait le tableau de la leçon. Version d’origine : « A : deuil normal (moins de 2 mois, retentissement partiel) — pas de trouble selon DSM-5-TR ». Or la ligne « Durée » du tableau de référence, deux sections plus haut, pose un seuil de plus de 2 SEMAINES pour la dépression, et Marc en est à TROIS semaines, avec souffrance, troubles du sommeil et de l’appétit, difficultés de concentration et retentissement professionnel constaté par des tiers. Le repère concluait donc « pas de trouble » sur un cas qui franchit le seuil que la leçon avait elle-même posé, en s’appuyant sur un seuil de deux mois qu’elle n’introduit nulle part. Ce seuil de deux mois n’a par ailleurs PAS été vérifié : il correspond à l’exclusion du deuil du DSM-IV, et son statut dans le DSM-5-TR demande d’ouvrir le manuel — que cette leçon ne cite pas. Le repère ne tranche plus : il décrit ce que la vignette contient et renvoie au médecin.</w:t>
      </w:r>
    </w:p>
    <w:p>
      <w:pPr>
        <w:spacing w:after="80"/>
      </w:pPr>
      <w:r>
        <w:rPr>
          <w:rFonts w:ascii="Times New Roman" w:cs="Times New Roman" w:eastAsia="Times New Roman" w:hAnsi="Times New Roman"/>
          <w:color w:val="1F2937"/>
          <w:sz w:val="22"/>
          <w:szCs w:val="22"/>
        </w:rPr>
        <w:t xml:space="preserve">③ Une citation attribuée au DSM-5-TR, sans le DSM parmi les sources. La phrase sur la souffrance cliniquement significative figurait entre guillemets, attribuée à « DSM-5-TR, APA (2022) ». Aucune des sept URL de la leçon ne renvoie au manuel : la formulation n’a donc pas pu être vérifiée mot pour mot. Le fond est exact et courant ; les guillemets et l’attribution ont été retirés, le contenu conservé en formulation indirecte.</w:t>
      </w:r>
    </w:p>
    <w:p>
      <w:pPr>
        <w:spacing w:after="80"/>
      </w:pPr>
      <w:r>
        <w:rPr>
          <w:rFonts w:ascii="Times New Roman" w:cs="Times New Roman" w:eastAsia="Times New Roman" w:hAnsi="Times New Roman"/>
          <w:color w:val="1F2937"/>
          <w:sz w:val="22"/>
          <w:szCs w:val="22"/>
        </w:rPr>
        <w:t xml:space="preserve">④ Une citation de Freud par ricochet, via une page jamais ouverte. « La psychanalyse ne considère pas de différence qualitative entre normal et pathologique : le pathologique est une question de degré », attribué à Freud « repris dans Cairn.info, Research in Psychoanalysis, 2018 ». L’article de Cairn répond 403 — il n’a pas pu être ouvert le 22/06/2026, ni lors de la relecture. Une citation d’un auteur, via un article que personne n’a lu, est le cas le plus fragile de tous. Elle est retirée et remplacée par l’idée, exprimée sans guillemets et sans attribution nominale.</w:t>
      </w:r>
    </w:p>
    <w:p>
      <w:pPr>
        <w:spacing w:after="80"/>
      </w:pPr>
      <w:r>
        <w:rPr>
          <w:rFonts w:ascii="Times New Roman" w:cs="Times New Roman" w:eastAsia="Times New Roman" w:hAnsi="Times New Roman"/>
          <w:color w:val="1F2937"/>
          <w:sz w:val="22"/>
          <w:szCs w:val="22"/>
        </w:rPr>
        <w:t xml:space="preserve">⑤ Studocu comme source d’un cours de psychopathologie. Ce sont des notes déposées par des étudiants sur une plateforme de partage, sans relecture ni garantie institutionnelle : le rang de source le plus faible de tout le parcours. La page répond en outre 403. Elle est conservée dans la liste, signalée comme déconseillée, avec l’interdiction de la citer dans un écrit professionnel.</w:t>
      </w:r>
    </w:p>
    <w:p>
      <w:pPr>
        <w:spacing w:after="80"/>
      </w:pPr>
      <w:r>
        <w:rPr>
          <w:rFonts w:ascii="Times New Roman" w:cs="Times New Roman" w:eastAsia="Times New Roman" w:hAnsi="Times New Roman"/>
          <w:color w:val="1F2937"/>
          <w:sz w:val="22"/>
          <w:szCs w:val="22"/>
        </w:rPr>
        <w:t xml:space="preserve">Vérifié lors de la relecture et inchangé. Le paragraphe sur le manuel CDDR est exact de bout en bout, contrôlé mot à mot sur le communiqué de l’OMS du 8 mars 2024 : publication du manuel, intégration du trouble de stress post-traumatique complexe, du trouble du jeu vidéo et du trouble du deuil prolongé, et approche tenant compte de la vie entière. C’est la partie la mieux sourcée de la leçon, et elle porte sa date. Sont également conformes : Canguilhem et son ouvrage de 1943 ; les quatre modèles de définition du pathologique et leurs limites ; le tableau des critères opérationnels et la règle du faisceau ; la référence au HiTOP. Le pont professionnel n’a pas été touché : il n’invoque aucune autorité et donne le bon geste — formuler dans le dossier de l’usager en descriptif fonctionnel plutôt qu’en étiquette diagnostique. Le challenge de synthèse, qui demande de répondre à « avec ce public, ils sont tous fous », est l’exercice le mieux construit du parcours.</w:t>
      </w:r>
    </w:p>
    <w:p>
      <w:pPr>
        <w:spacing w:after="80"/>
      </w:pPr>
      <w:r>
        <w:rPr>
          <w:rFonts w:ascii="Times New Roman" w:cs="Times New Roman" w:eastAsia="Times New Roman" w:hAnsi="Times New Roman"/>
          <w:color w:val="1F2937"/>
          <w:sz w:val="22"/>
          <w:szCs w:val="22"/>
        </w:rPr>
        <w:t xml:space="preserve">Ce que cette relecture apprend, et qui ne s’était pas vu sur les leçons plus récentes : LE TAUX DE SOURCES EXPLOITABLES S’EFFONDRE SUR LES LEÇONS ANCIENNES. Sept sur sept étaient utiles dans la leçon n°07 de juillet ; deux sur sept ici, en juin. Les premières leçons du parcours ont été produites en s’appuyant sur des adresses que le pipeline ne sait pas lire — navigateurs rendus en JavaScript, revues sous paywall, plateformes protégées — et rien dans le document ne le signalait.</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fbupbxwdfnrkqcs6obou" Type="http://schemas.openxmlformats.org/officeDocument/2006/relationships/hyperlink" Target="https://icd.who.int/browse/2024-01/mms/en#334423054" TargetMode="External"/><Relationship Id="rId3n41uqppq5rzcwdnkfbuj" Type="http://schemas.openxmlformats.org/officeDocument/2006/relationships/hyperlink" Target="https://www.who.int/fr/news/item/08-03-2024-new-manual-released-to-support-diagnosis-of-mental--behavioural-and-neurodevelopmental-disorders-added-in-icd-11" TargetMode="External"/><Relationship Id="rIdn5eoa6jtrcqtnxmb-bw_p" Type="http://schemas.openxmlformats.org/officeDocument/2006/relationships/hyperlink" Target="https://en.wikipedia.org/wiki/Mental_disorder" TargetMode="External"/><Relationship Id="rIduecjd_gtsawrobtpnqbhk" Type="http://schemas.openxmlformats.org/officeDocument/2006/relationships/hyperlink" Target="https://shs.cairn.info/revue-research-in-psychoanalysis-2018-2-page-154a?lang=fr" TargetMode="External"/><Relationship Id="rIdr3sg0na3bjr_xzycf_yog" Type="http://schemas.openxmlformats.org/officeDocument/2006/relationships/hyperlink" Target="https://shs.cairn.info/revue-topique-2018-3-page-15?lang=fr" TargetMode="External"/><Relationship Id="rId3kctqcptb5q9qnvwbhltv" Type="http://schemas.openxmlformats.org/officeDocument/2006/relationships/hyperlink" Target="https://icd.who.int/browse/2024-01/mms/en" TargetMode="External"/><Relationship Id="rIdbevoy6wedp6pqguwyoljv" Type="http://schemas.openxmlformats.org/officeDocument/2006/relationships/hyperlink" Target="https://www.studocu.com/fr/document/universite-de-bordeaux/psychologie-clinique-et-pathologique/ue2-psychologie-clinique-et-pathologique-psychopathologie-de-ladulte/1773638"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2026-06-22T06:08:06.499Z</dcterms:created>
  <dcterms:modified xsi:type="dcterms:W3CDTF">2026-06-22T06:08:06.501Z</dcterms:modified>
</cp:coreProperties>
</file>

<file path=docProps/custom.xml><?xml version="1.0" encoding="utf-8"?>
<Properties xmlns="http://schemas.openxmlformats.org/officeDocument/2006/custom-properties" xmlns:vt="http://schemas.openxmlformats.org/officeDocument/2006/docPropsVTypes"/>
</file>