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color w:val="1B3A6B"/>
          <w:sz w:val="52"/>
          <w:szCs w:val="52"/>
        </w:rPr>
        <w:t xml:space="preserve">Leçon Psychopathologie clinique n°03</w:t>
      </w:r>
    </w:p>
    <w:p>
      <w:pPr>
        <w:pStyle w:val="Heading1"/>
        <w:spacing w:after="200"/>
        <w:jc w:val="center"/>
      </w:pPr>
      <w:r>
        <w:rPr>
          <w:rFonts w:ascii="Times New Roman" w:cs="Times New Roman" w:eastAsia="Times New Roman" w:hAnsi="Times New Roman"/>
          <w:b/>
          <w:bCs/>
          <w:color w:val="1B3A6B"/>
          <w:sz w:val="52"/>
          <w:szCs w:val="52"/>
        </w:rPr>
        <w:t xml:space="preserve">Sémiologie psychiatrique : repérer et nommer les signes</w:t>
      </w:r>
    </w:p>
    <w:p>
      <w:pPr>
        <w:spacing w:after="80"/>
        <w:jc w:val="center"/>
      </w:pPr>
      <w:r>
        <w:rPr>
          <w:rFonts w:ascii="Times New Roman" w:cs="Times New Roman" w:eastAsia="Times New Roman" w:hAnsi="Times New Roman"/>
          <w:i/>
          <w:iCs/>
          <w:color w:val="6B7280"/>
          <w:sz w:val="22"/>
          <w:szCs w:val="22"/>
        </w:rPr>
        <w:t xml:space="preserve">29 juin 2026  ·  Module Fondamental — leçon 3 / 20</w:t>
      </w:r>
    </w:p>
    <w:p>
      <w:pPr>
        <w:shd w:fill="FFF4E5" w:color="auto" w:val="clear"/>
        <w:spacing w:after="80" w:before="80"/>
        <w:ind w:left="288" w:right="288"/>
      </w:pPr>
      <w:r>
        <w:rPr>
          <w:rFonts w:ascii="Times New Roman" w:cs="Times New Roman" w:eastAsia="Times New Roman" w:hAnsi="Times New Roman"/>
          <w:i/>
          <w:iCs/>
          <w:color w:val="92400E"/>
          <w:sz w:val="20"/>
          <w:szCs w:val="20"/>
        </w:rPr>
        <w:t xml:space="preserve">⚠️ Corrigé le 06/09/2026 — cette leçon annonçait un parcours de 16 leçons (« 3/16 »). Le parcours a été étendu de 16 à 20 leçons entre le 10 et le 14 août 2026 : les leçons 01 à 09 portaient encore l’ancien total, les leçons 10 et suivantes le nouveau. Seul le dénominateur a été repris ici ; le contenu de cette leçon n’a pas été relu à cette occasion.</w:t>
      </w:r>
    </w:p>
    <w:p>
      <w:pPr>
        <w:spacing w:after="300"/>
        <w:jc w:val="center"/>
      </w:pPr>
      <w:r>
        <w:rPr>
          <w:rFonts w:ascii="Times New Roman" w:cs="Times New Roman" w:eastAsia="Times New Roman" w:hAnsi="Times New Roman"/>
          <w:i/>
          <w:iCs/>
          <w:color w:val="9CA3AF"/>
          <w:sz w:val="20"/>
          <w:szCs w:val="20"/>
        </w:rPr>
        <w:t xml:space="preserve">Parcours Psychopathologie clinique — du fondamental à l'avancé</w:t>
      </w:r>
    </w:p>
    <w:p>
      <w:pPr>
        <w:shd w:fill="FEF3C7" w:color="FEF3C7" w:val="solid"/>
        <w:spacing w:after="200" w:before="100"/>
      </w:pPr>
      <w:r>
        <w:rPr>
          <w:rFonts w:ascii="Times New Roman" w:cs="Times New Roman" w:eastAsia="Times New Roman" w:hAnsi="Times New Roman"/>
          <w:b/>
          <w:bCs/>
          <w:color w:val="92400E"/>
          <w:sz w:val="20"/>
          <w:szCs w:val="20"/>
        </w:rPr>
        <w:t xml:space="preserve">⚠️  Cadre déontologique — </w:t>
      </w:r>
      <w:r>
        <w:rPr>
          <w:rFonts w:ascii="Times New Roman" w:cs="Times New Roman" w:eastAsia="Times New Roman" w:hAnsi="Times New Roman"/>
          <w:i/>
          <w:iCs/>
          <w:color w:val="92400E"/>
          <w:sz w:val="20"/>
          <w:szCs w:val="20"/>
        </w:rPr>
        <w:t xml:space="preserve">Ces leçons visent à comprendre la psychopathologie pour mieux observer, accompagner et orienter les personnes. Elles ne constituent en aucun cas un outil de diagnostic, acte réservé aux médecins psychiatres et psychologues cliniciens. Posture requise : non stigmatisante, centrée sur la personne et le rétablissement.</w:t>
      </w:r>
    </w:p>
    <w:p>
      <w:pPr>
        <w:spacing w:after="100"/>
      </w:pPr>
      <w:r>
        <w:t xml:space="preserve"/>
      </w:r>
    </w:p>
    <w:p>
      <w:pPr>
        <w:pStyle w:val="Heading2"/>
        <w:spacing w:after="120" w:before="300"/>
      </w:pPr>
      <w:r>
        <w:rPr>
          <w:rFonts w:ascii="Times New Roman" w:cs="Times New Roman" w:eastAsia="Times New Roman" w:hAnsi="Times New Roman"/>
          <w:b/>
          <w:bCs/>
          <w:color w:val="1B3A6B"/>
          <w:sz w:val="30"/>
          <w:szCs w:val="30"/>
        </w:rPr>
        <w:t xml:space="preserve">🎯 Objectif et continuité</w:t>
      </w:r>
    </w:p>
    <w:p>
      <w:pPr>
        <w:spacing w:after="100"/>
      </w:pPr>
      <w:r>
        <w:rPr>
          <w:rFonts w:ascii="Times New Roman" w:cs="Times New Roman" w:eastAsia="Times New Roman" w:hAnsi="Times New Roman"/>
          <w:b w:val="false"/>
          <w:bCs w:val="false"/>
          <w:i w:val="false"/>
          <w:iCs w:val="false"/>
          <w:color w:val="1F2937"/>
          <w:sz w:val="22"/>
          <w:szCs w:val="22"/>
        </w:rPr>
        <w:t xml:space="preserve">À l'issue de cette leçon, tu seras capable de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nommer et distinguer les grands domaines de l'examen clinique psychiatrique (sémiologie),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identifier les principaux signes et symptômes dans chaque domaine (humeur, pensée, perception, cognition…),</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utiliser un vocabulaire clinique précis pour décrire ce que tu observes — sans poser de diagnostic.</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Lien avec les leçons précédentes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Leçon 1 — Introduction : nous avons posé les grands modèles (médical, psychanalytique, cognitivo-comportemental, phénoménologique, systémique). La sémiologie s'ancre principalement dans le modèle médical et la phénoménologie clinique.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Leçon 2 — Normal et pathologique : nous avons vu que le signe clinique n'a de sens que contextualisé (souffrance, durée, retentissement). C'est exactement l'esprit qui doit guider cette leçon.</w:t>
      </w:r>
    </w:p>
    <w:p>
      <w:pPr>
        <w:spacing w:after="100"/>
      </w:pPr>
      <w:r>
        <w:t xml:space="preserve"/>
      </w:r>
    </w:p>
    <w:p>
      <w:pPr>
        <w:pStyle w:val="Heading2"/>
        <w:spacing w:after="120" w:before="300"/>
      </w:pPr>
      <w:r>
        <w:rPr>
          <w:rFonts w:ascii="Times New Roman" w:cs="Times New Roman" w:eastAsia="Times New Roman" w:hAnsi="Times New Roman"/>
          <w:b/>
          <w:bCs/>
          <w:color w:val="1B3A6B"/>
          <w:sz w:val="30"/>
          <w:szCs w:val="30"/>
        </w:rPr>
        <w:t xml:space="preserve">🔬 Théorie (20 %) — La sémiologie psychiatrique</w:t>
      </w:r>
    </w:p>
    <w:p>
      <w:pPr>
        <w:pStyle w:val="Heading3"/>
        <w:spacing w:after="80" w:before="200"/>
      </w:pPr>
      <w:r>
        <w:rPr>
          <w:rFonts w:ascii="Times New Roman" w:cs="Times New Roman" w:eastAsia="Times New Roman" w:hAnsi="Times New Roman"/>
          <w:b/>
          <w:bCs/>
          <w:color w:val="1F2937"/>
          <w:sz w:val="26"/>
          <w:szCs w:val="26"/>
        </w:rPr>
        <w:t xml:space="preserve">1. Définition et enjeux</w:t>
      </w:r>
    </w:p>
    <w:p>
      <w:pPr>
        <w:spacing w:after="100"/>
      </w:pPr>
      <w:r>
        <w:rPr>
          <w:rFonts w:ascii="Times New Roman" w:cs="Times New Roman" w:eastAsia="Times New Roman" w:hAnsi="Times New Roman"/>
          <w:b w:val="false"/>
          <w:bCs w:val="false"/>
          <w:i w:val="false"/>
          <w:iCs w:val="false"/>
          <w:color w:val="1F2937"/>
          <w:sz w:val="22"/>
          <w:szCs w:val="22"/>
        </w:rPr>
        <w:t xml:space="preserve">La sémiologie psychiatrique est l'étude systématique des signes, symptômes et syndromes observables au cours des troubles psychiques. Elle constitue la langue commune des cliniciens — la base partagée qui rend possible la communication, le diagnostic et le suivi.</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Trois niveaux à distinguer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Signe : observé objectivement par le clinicien (ex. : regard vide, ralentissement moteur).</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Symptôme : rapporté subjectivement par la personne (ex. : « je me sens vide », « j'entends des voix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Syndrome : constellation significative de signes et de symptômes (ex. : syndrome dépressif, syndrome confusionnel).</w:t>
      </w:r>
    </w:p>
    <w:p>
      <w:pPr>
        <w:spacing w:after="100"/>
      </w:pPr>
      <w:r>
        <w:t xml:space="preserve"/>
      </w:r>
    </w:p>
    <w:p>
      <w:pPr>
        <w:shd w:fill="F3F4F6" w:color="F3F4F6" w:val="solid"/>
        <w:spacing w:after="100" w:before="60"/>
        <w:ind w:left="720"/>
      </w:pPr>
      <w:r>
        <w:rPr>
          <w:rFonts w:ascii="Times New Roman" w:cs="Times New Roman" w:eastAsia="Times New Roman" w:hAnsi="Times New Roman"/>
          <w:i/>
          <w:iCs/>
          <w:color w:val="1B3A6B"/>
          <w:sz w:val="22"/>
          <w:szCs w:val="22"/>
        </w:rPr>
        <w:t xml:space="preserve">La sémiologie, c’est apprendre à regarder sans interpréter trop vite : observer avant d’expliquer. ⚠️ Les guillemets ont été retirés le 06/09/2026 — cette phrase était présentée comme une citation, sans aucun auteur ni source, et elle est introuvable dans les sept ressources de cette leçon. C’est une formule de synthèse, elle est juste ; elle n’est de personne en particulier.</w:t>
      </w:r>
    </w:p>
    <w:p>
      <w:pPr>
        <w:pStyle w:val="Heading3"/>
        <w:spacing w:after="80" w:before="200"/>
      </w:pPr>
      <w:r>
        <w:rPr>
          <w:rFonts w:ascii="Times New Roman" w:cs="Times New Roman" w:eastAsia="Times New Roman" w:hAnsi="Times New Roman"/>
          <w:b/>
          <w:bCs/>
          <w:color w:val="1F2937"/>
          <w:sz w:val="26"/>
          <w:szCs w:val="26"/>
        </w:rPr>
        <w:t xml:space="preserve">2. Les 9 domaines de l'examen clinique psychiatrique</w:t>
      </w:r>
    </w:p>
    <w:p>
      <w:pPr>
        <w:spacing w:after="100"/>
      </w:pPr>
      <w:r>
        <w:rPr>
          <w:rFonts w:ascii="Times New Roman" w:cs="Times New Roman" w:eastAsia="Times New Roman" w:hAnsi="Times New Roman"/>
          <w:b w:val="false"/>
          <w:bCs w:val="false"/>
          <w:i w:val="false"/>
          <w:iCs w:val="false"/>
          <w:color w:val="1F2937"/>
          <w:sz w:val="22"/>
          <w:szCs w:val="22"/>
        </w:rPr>
        <w:t xml:space="preserve">L'examen psychiatrique — équivalent du bilan physique en médecine interne — explore de façon systématique les domaines suivants. Le tableau ci-dessous les récapitule :</w:t>
      </w:r>
    </w:p>
    <w:p>
      <w:pPr>
        <w:spacing w:after="100"/>
      </w:pPr>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color="1B3A6B" w:val="solid"/>
          </w:tcPr>
          <w:p>
            <w:pPr>
              <w:spacing w:after="60"/>
            </w:pPr>
            <w:r>
              <w:rPr>
                <w:rFonts w:ascii="Times New Roman" w:cs="Times New Roman" w:eastAsia="Times New Roman" w:hAnsi="Times New Roman"/>
                <w:b/>
                <w:bCs/>
                <w:color w:val="FFFFFF"/>
                <w:sz w:val="18"/>
                <w:szCs w:val="18"/>
              </w:rPr>
              <w:t xml:space="preserve">Domaine</w:t>
            </w:r>
          </w:p>
        </w:tc>
        <w:tc>
          <w:tcPr>
            <w:shd w:fill="1B3A6B" w:color="1B3A6B" w:val="solid"/>
          </w:tcPr>
          <w:p>
            <w:pPr>
              <w:spacing w:after="60"/>
            </w:pPr>
            <w:r>
              <w:rPr>
                <w:rFonts w:ascii="Times New Roman" w:cs="Times New Roman" w:eastAsia="Times New Roman" w:hAnsi="Times New Roman"/>
                <w:b/>
                <w:bCs/>
                <w:color w:val="FFFFFF"/>
                <w:sz w:val="18"/>
                <w:szCs w:val="18"/>
              </w:rPr>
              <w:t xml:space="preserve">Signes normaux (repères)</w:t>
            </w:r>
          </w:p>
        </w:tc>
        <w:tc>
          <w:tcPr>
            <w:shd w:fill="1B3A6B" w:color="1B3A6B" w:val="solid"/>
          </w:tcPr>
          <w:p>
            <w:pPr>
              <w:spacing w:after="60"/>
            </w:pPr>
            <w:r>
              <w:rPr>
                <w:rFonts w:ascii="Times New Roman" w:cs="Times New Roman" w:eastAsia="Times New Roman" w:hAnsi="Times New Roman"/>
                <w:b/>
                <w:bCs/>
                <w:color w:val="FFFFFF"/>
                <w:sz w:val="18"/>
                <w:szCs w:val="18"/>
              </w:rPr>
              <w:t xml:space="preserve">Signes pathologiques (exemples)</w:t>
            </w:r>
          </w:p>
        </w:tc>
      </w:tr>
      <w:tr>
        <w:trPr>
          <w:tblHeader w:val="false"/>
        </w:trPr>
        <w:tc>
          <w:tcPr>
            <w:shd w:fill="FFFFFF" w:color="FFFFFF" w:val="solid"/>
          </w:tcPr>
          <w:p>
            <w:pPr>
              <w:spacing w:after="60"/>
            </w:pPr>
            <w:r>
              <w:rPr>
                <w:rFonts w:ascii="Times New Roman" w:cs="Times New Roman" w:eastAsia="Times New Roman" w:hAnsi="Times New Roman"/>
                <w:b/>
                <w:bCs/>
                <w:color w:val="1F2937"/>
                <w:sz w:val="18"/>
                <w:szCs w:val="18"/>
              </w:rPr>
              <w:t xml:space="preserve">Présentation / Contact</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Hygiène correcte, regard vif, posture adaptée</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Négligence corporelle, regard fuyant ou figé, perplexité</w:t>
            </w:r>
          </w:p>
        </w:tc>
      </w:tr>
      <w:tr>
        <w:trPr>
          <w:tblHeader w:val="false"/>
        </w:trPr>
        <w:tc>
          <w:tcPr>
            <w:shd w:fill="EEF2F7" w:color="EEF2F7" w:val="solid"/>
          </w:tcPr>
          <w:p>
            <w:pPr>
              <w:spacing w:after="60"/>
            </w:pPr>
            <w:r>
              <w:rPr>
                <w:rFonts w:ascii="Times New Roman" w:cs="Times New Roman" w:eastAsia="Times New Roman" w:hAnsi="Times New Roman"/>
                <w:b/>
                <w:bCs/>
                <w:color w:val="1F2937"/>
                <w:sz w:val="18"/>
                <w:szCs w:val="18"/>
              </w:rPr>
              <w:t xml:space="preserve">Psychomotricité</w:t>
            </w:r>
          </w:p>
        </w:tc>
        <w:tc>
          <w:tcPr>
            <w:shd w:fill="EEF2F7" w:color="EEF2F7" w:val="solid"/>
          </w:tcPr>
          <w:p>
            <w:pPr>
              <w:spacing w:after="60"/>
            </w:pPr>
            <w:r>
              <w:rPr>
                <w:rFonts w:ascii="Times New Roman" w:cs="Times New Roman" w:eastAsia="Times New Roman" w:hAnsi="Times New Roman"/>
                <w:b w:val="false"/>
                <w:bCs w:val="false"/>
                <w:color w:val="1F2937"/>
                <w:sz w:val="18"/>
                <w:szCs w:val="18"/>
              </w:rPr>
              <w:t xml:space="preserve">Gestuelle souple, débit régulier</w:t>
            </w:r>
          </w:p>
        </w:tc>
        <w:tc>
          <w:tcPr>
            <w:shd w:fill="EEF2F7" w:color="EEF2F7" w:val="solid"/>
          </w:tcPr>
          <w:p>
            <w:pPr>
              <w:spacing w:after="60"/>
            </w:pPr>
            <w:r>
              <w:rPr>
                <w:rFonts w:ascii="Times New Roman" w:cs="Times New Roman" w:eastAsia="Times New Roman" w:hAnsi="Times New Roman"/>
                <w:b w:val="false"/>
                <w:bCs w:val="false"/>
                <w:color w:val="1F2937"/>
                <w:sz w:val="18"/>
                <w:szCs w:val="18"/>
              </w:rPr>
              <w:t xml:space="preserve">Agitation, ralentissement, catatonie, tics, stéréotypies</w:t>
            </w:r>
          </w:p>
        </w:tc>
      </w:tr>
      <w:tr>
        <w:trPr>
          <w:tblHeader w:val="false"/>
        </w:trPr>
        <w:tc>
          <w:tcPr>
            <w:shd w:fill="FFFFFF" w:color="FFFFFF" w:val="solid"/>
          </w:tcPr>
          <w:p>
            <w:pPr>
              <w:spacing w:after="60"/>
            </w:pPr>
            <w:r>
              <w:rPr>
                <w:rFonts w:ascii="Times New Roman" w:cs="Times New Roman" w:eastAsia="Times New Roman" w:hAnsi="Times New Roman"/>
                <w:b/>
                <w:bCs/>
                <w:color w:val="1F2937"/>
                <w:sz w:val="18"/>
                <w:szCs w:val="18"/>
              </w:rPr>
              <w:t xml:space="preserve">Langage / Discours</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Articulé, cohérent, adapté au contexte</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Logorrhée, mutisme, incohérence, néologismes, persévération</w:t>
            </w:r>
          </w:p>
        </w:tc>
      </w:tr>
      <w:tr>
        <w:trPr>
          <w:tblHeader w:val="false"/>
        </w:trPr>
        <w:tc>
          <w:tcPr>
            <w:shd w:fill="EEF2F7" w:color="EEF2F7" w:val="solid"/>
          </w:tcPr>
          <w:p>
            <w:pPr>
              <w:spacing w:after="60"/>
            </w:pPr>
            <w:r>
              <w:rPr>
                <w:rFonts w:ascii="Times New Roman" w:cs="Times New Roman" w:eastAsia="Times New Roman" w:hAnsi="Times New Roman"/>
                <w:b/>
                <w:bCs/>
                <w:color w:val="1F2937"/>
                <w:sz w:val="18"/>
                <w:szCs w:val="18"/>
              </w:rPr>
              <w:t xml:space="preserve">Pensée (cours et contenu)</w:t>
            </w:r>
          </w:p>
        </w:tc>
        <w:tc>
          <w:tcPr>
            <w:shd w:fill="EEF2F7" w:color="EEF2F7" w:val="solid"/>
          </w:tcPr>
          <w:p>
            <w:pPr>
              <w:spacing w:after="60"/>
            </w:pPr>
            <w:r>
              <w:rPr>
                <w:rFonts w:ascii="Times New Roman" w:cs="Times New Roman" w:eastAsia="Times New Roman" w:hAnsi="Times New Roman"/>
                <w:b w:val="false"/>
                <w:bCs w:val="false"/>
                <w:color w:val="1F2937"/>
                <w:sz w:val="18"/>
                <w:szCs w:val="18"/>
              </w:rPr>
              <w:t xml:space="preserve">Logique, enchaînements clairs</w:t>
            </w:r>
          </w:p>
        </w:tc>
        <w:tc>
          <w:tcPr>
            <w:shd w:fill="EEF2F7" w:color="EEF2F7" w:val="solid"/>
          </w:tcPr>
          <w:p>
            <w:pPr>
              <w:spacing w:after="60"/>
            </w:pPr>
            <w:r>
              <w:rPr>
                <w:rFonts w:ascii="Times New Roman" w:cs="Times New Roman" w:eastAsia="Times New Roman" w:hAnsi="Times New Roman"/>
                <w:b w:val="false"/>
                <w:bCs w:val="false"/>
                <w:color w:val="1F2937"/>
                <w:sz w:val="18"/>
                <w:szCs w:val="18"/>
              </w:rPr>
              <w:t xml:space="preserve">Fuite des idées, pensée ralentie, délires, obsessions, phobies</w:t>
            </w:r>
          </w:p>
        </w:tc>
      </w:tr>
      <w:tr>
        <w:trPr>
          <w:tblHeader w:val="false"/>
        </w:trPr>
        <w:tc>
          <w:tcPr>
            <w:shd w:fill="FFFFFF" w:color="FFFFFF" w:val="solid"/>
          </w:tcPr>
          <w:p>
            <w:pPr>
              <w:spacing w:after="60"/>
            </w:pPr>
            <w:r>
              <w:rPr>
                <w:rFonts w:ascii="Times New Roman" w:cs="Times New Roman" w:eastAsia="Times New Roman" w:hAnsi="Times New Roman"/>
                <w:b/>
                <w:bCs/>
                <w:color w:val="1F2937"/>
                <w:sz w:val="18"/>
                <w:szCs w:val="18"/>
              </w:rPr>
              <w:t xml:space="preserve">Perceptions</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Perception adéquate du réel</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Hallucinations (auditives, visuelles…), illusions, déréalisation, dépersonnalisation</w:t>
            </w:r>
          </w:p>
        </w:tc>
      </w:tr>
      <w:tr>
        <w:trPr>
          <w:tblHeader w:val="false"/>
        </w:trPr>
        <w:tc>
          <w:tcPr>
            <w:shd w:fill="EEF2F7" w:color="EEF2F7" w:val="solid"/>
          </w:tcPr>
          <w:p>
            <w:pPr>
              <w:spacing w:after="60"/>
            </w:pPr>
            <w:r>
              <w:rPr>
                <w:rFonts w:ascii="Times New Roman" w:cs="Times New Roman" w:eastAsia="Times New Roman" w:hAnsi="Times New Roman"/>
                <w:b/>
                <w:bCs/>
                <w:color w:val="1F2937"/>
                <w:sz w:val="18"/>
                <w:szCs w:val="18"/>
              </w:rPr>
              <w:t xml:space="preserve">Humeur / Affectivité</w:t>
            </w:r>
          </w:p>
        </w:tc>
        <w:tc>
          <w:tcPr>
            <w:shd w:fill="EEF2F7" w:color="EEF2F7" w:val="solid"/>
          </w:tcPr>
          <w:p>
            <w:pPr>
              <w:spacing w:after="60"/>
            </w:pPr>
            <w:r>
              <w:rPr>
                <w:rFonts w:ascii="Times New Roman" w:cs="Times New Roman" w:eastAsia="Times New Roman" w:hAnsi="Times New Roman"/>
                <w:b w:val="false"/>
                <w:bCs w:val="false"/>
                <w:color w:val="1F2937"/>
                <w:sz w:val="18"/>
                <w:szCs w:val="18"/>
              </w:rPr>
              <w:t xml:space="preserve">Euthymie, réactivité émotionnelle adaptée</w:t>
            </w:r>
          </w:p>
        </w:tc>
        <w:tc>
          <w:tcPr>
            <w:shd w:fill="EEF2F7" w:color="EEF2F7" w:val="solid"/>
          </w:tcPr>
          <w:p>
            <w:pPr>
              <w:spacing w:after="60"/>
            </w:pPr>
            <w:r>
              <w:rPr>
                <w:rFonts w:ascii="Times New Roman" w:cs="Times New Roman" w:eastAsia="Times New Roman" w:hAnsi="Times New Roman"/>
                <w:b w:val="false"/>
                <w:bCs w:val="false"/>
                <w:color w:val="1F2937"/>
                <w:sz w:val="18"/>
                <w:szCs w:val="18"/>
              </w:rPr>
              <w:t xml:space="preserve">Dépression (tristesse, anhédonie), manie (euphorie), émoussement affectif, labilité</w:t>
            </w:r>
          </w:p>
        </w:tc>
      </w:tr>
      <w:tr>
        <w:trPr>
          <w:tblHeader w:val="false"/>
        </w:trPr>
        <w:tc>
          <w:tcPr>
            <w:shd w:fill="FFFFFF" w:color="FFFFFF" w:val="solid"/>
          </w:tcPr>
          <w:p>
            <w:pPr>
              <w:spacing w:after="60"/>
            </w:pPr>
            <w:r>
              <w:rPr>
                <w:rFonts w:ascii="Times New Roman" w:cs="Times New Roman" w:eastAsia="Times New Roman" w:hAnsi="Times New Roman"/>
                <w:b/>
                <w:bCs/>
                <w:color w:val="1F2937"/>
                <w:sz w:val="18"/>
                <w:szCs w:val="18"/>
              </w:rPr>
              <w:t xml:space="preserve">Fonctions cognitives</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Orientation T-S correcte, mémoire intacte, attention soutenue</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Désorientation, amnésie, apraxie, aphasie, trouble de l'attention</w:t>
            </w:r>
          </w:p>
        </w:tc>
      </w:tr>
      <w:tr>
        <w:trPr>
          <w:tblHeader w:val="false"/>
        </w:trPr>
        <w:tc>
          <w:tcPr>
            <w:shd w:fill="EEF2F7" w:color="EEF2F7" w:val="solid"/>
          </w:tcPr>
          <w:p>
            <w:pPr>
              <w:spacing w:after="60"/>
            </w:pPr>
            <w:r>
              <w:rPr>
                <w:rFonts w:ascii="Times New Roman" w:cs="Times New Roman" w:eastAsia="Times New Roman" w:hAnsi="Times New Roman"/>
                <w:b/>
                <w:bCs/>
                <w:color w:val="1F2937"/>
                <w:sz w:val="18"/>
                <w:szCs w:val="18"/>
              </w:rPr>
              <w:t xml:space="preserve">Volonté / Comportement</w:t>
            </w:r>
          </w:p>
        </w:tc>
        <w:tc>
          <w:tcPr>
            <w:shd w:fill="EEF2F7" w:color="EEF2F7" w:val="solid"/>
          </w:tcPr>
          <w:p>
            <w:pPr>
              <w:spacing w:after="60"/>
            </w:pPr>
            <w:r>
              <w:rPr>
                <w:rFonts w:ascii="Times New Roman" w:cs="Times New Roman" w:eastAsia="Times New Roman" w:hAnsi="Times New Roman"/>
                <w:b w:val="false"/>
                <w:bCs w:val="false"/>
                <w:color w:val="1F2937"/>
                <w:sz w:val="18"/>
                <w:szCs w:val="18"/>
              </w:rPr>
              <w:t xml:space="preserve">Initiative personnelle, comportement adapté</w:t>
            </w:r>
          </w:p>
        </w:tc>
        <w:tc>
          <w:tcPr>
            <w:shd w:fill="EEF2F7" w:color="EEF2F7" w:val="solid"/>
          </w:tcPr>
          <w:p>
            <w:pPr>
              <w:spacing w:after="60"/>
            </w:pPr>
            <w:r>
              <w:rPr>
                <w:rFonts w:ascii="Times New Roman" w:cs="Times New Roman" w:eastAsia="Times New Roman" w:hAnsi="Times New Roman"/>
                <w:b w:val="false"/>
                <w:bCs w:val="false"/>
                <w:color w:val="1F2937"/>
                <w:sz w:val="18"/>
                <w:szCs w:val="18"/>
              </w:rPr>
              <w:t xml:space="preserve">Aboulie, impulsivité, conduites suicidaires, hétéro-agressivité</w:t>
            </w:r>
          </w:p>
        </w:tc>
      </w:tr>
      <w:tr>
        <w:trPr>
          <w:tblHeader w:val="false"/>
        </w:trPr>
        <w:tc>
          <w:tcPr>
            <w:shd w:fill="FFFFFF" w:color="FFFFFF" w:val="solid"/>
          </w:tcPr>
          <w:p>
            <w:pPr>
              <w:spacing w:after="60"/>
            </w:pPr>
            <w:r>
              <w:rPr>
                <w:rFonts w:ascii="Times New Roman" w:cs="Times New Roman" w:eastAsia="Times New Roman" w:hAnsi="Times New Roman"/>
                <w:b/>
                <w:bCs/>
                <w:color w:val="1F2937"/>
                <w:sz w:val="18"/>
                <w:szCs w:val="18"/>
              </w:rPr>
              <w:t xml:space="preserve">Insight et jugement</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Conscience de ses difficultés, jugement préservé</w:t>
            </w:r>
          </w:p>
        </w:tc>
        <w:tc>
          <w:tcPr>
            <w:shd w:fill="FFFFFF" w:color="FFFFFF" w:val="solid"/>
          </w:tcPr>
          <w:p>
            <w:pPr>
              <w:spacing w:after="60"/>
            </w:pPr>
            <w:r>
              <w:rPr>
                <w:rFonts w:ascii="Times New Roman" w:cs="Times New Roman" w:eastAsia="Times New Roman" w:hAnsi="Times New Roman"/>
                <w:b w:val="false"/>
                <w:bCs w:val="false"/>
                <w:color w:val="1F2937"/>
                <w:sz w:val="18"/>
                <w:szCs w:val="18"/>
              </w:rPr>
              <w:t xml:space="preserve">Anosognosie (déni de la maladie), jugement altéré</w:t>
            </w:r>
          </w:p>
        </w:tc>
      </w:tr>
    </w:tbl>
    <w:p>
      <w:pPr>
        <w:spacing w:after="100"/>
      </w:pPr>
      <w:r>
        <w:t xml:space="preserve"/>
      </w:r>
    </w:p>
    <w:p>
      <w:pPr>
        <w:pStyle w:val="Heading3"/>
        <w:spacing w:after="80" w:before="200"/>
      </w:pPr>
      <w:r>
        <w:rPr>
          <w:rFonts w:ascii="Times New Roman" w:cs="Times New Roman" w:eastAsia="Times New Roman" w:hAnsi="Times New Roman"/>
          <w:b/>
          <w:bCs/>
          <w:color w:val="1F2937"/>
          <w:sz w:val="26"/>
          <w:szCs w:val="26"/>
        </w:rPr>
        <w:t xml:space="preserve">3. Quelques signes cliniques essentiels à connaître</w:t>
      </w:r>
    </w:p>
    <w:p>
      <w:pPr>
        <w:pStyle w:val="Heading3"/>
        <w:spacing w:after="80" w:before="200"/>
      </w:pPr>
      <w:r>
        <w:rPr>
          <w:rFonts w:ascii="Times New Roman" w:cs="Times New Roman" w:eastAsia="Times New Roman" w:hAnsi="Times New Roman"/>
          <w:b/>
          <w:bCs/>
          <w:color w:val="1F2937"/>
          <w:sz w:val="26"/>
          <w:szCs w:val="26"/>
        </w:rPr>
        <w:t xml:space="preserve">Humeur et thymie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Euthymie : humeur normale, stable.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Hyperthymie / manie : humeur exaltée, expansion du moi, réduction du besoin de sommeil.</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Dépression / mélancolie : tristesse profonde, anhédonie (perte du plaisir), idées noires.</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Dysthymie : humeur chroniquement abaissée, mais sans critère de dépression caractérisée.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Labilité émotionnelle : changements rapides et disproportionnés de l'humeur.</w:t>
      </w:r>
    </w:p>
    <w:p>
      <w:pPr>
        <w:pStyle w:val="Heading3"/>
        <w:spacing w:after="80" w:before="200"/>
      </w:pPr>
      <w:r>
        <w:rPr>
          <w:rFonts w:ascii="Times New Roman" w:cs="Times New Roman" w:eastAsia="Times New Roman" w:hAnsi="Times New Roman"/>
          <w:b/>
          <w:bCs/>
          <w:color w:val="1F2937"/>
          <w:sz w:val="26"/>
          <w:szCs w:val="26"/>
        </w:rPr>
        <w:t xml:space="preserve">Pensée — cours et contenu</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Tachypsychie : accélération de la pensée (fuite des idées, coq-à-l'âne).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Bradypsychie : ralentissement de la pensée.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Idée délirante : conviction inébranlable, non corrigible par l'argumentation, en rupture avec le réel partagé.</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Obsession : pensée intrusive, répétitive, reconnue comme absurde par le sujet mais imposée.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Pensée tangentielle / circonstancielle : détours excessifs dans le discours, peine à revenir au sujet.</w:t>
      </w:r>
    </w:p>
    <w:p>
      <w:pPr>
        <w:pStyle w:val="Heading3"/>
        <w:spacing w:after="80" w:before="200"/>
      </w:pPr>
      <w:r>
        <w:rPr>
          <w:rFonts w:ascii="Times New Roman" w:cs="Times New Roman" w:eastAsia="Times New Roman" w:hAnsi="Times New Roman"/>
          <w:b/>
          <w:bCs/>
          <w:color w:val="1F2937"/>
          <w:sz w:val="26"/>
          <w:szCs w:val="26"/>
        </w:rPr>
        <w:t xml:space="preserve">Perceptions</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Hallucination : perception sans objet — le cerveau génère un percept sans stimulus externe (ex. : voix, visions).</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Illusion : déformation d'un stimulus réel (ex. : interpréter une tache d'humidité comme un visage).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Déréalisation : sentiment que le monde environnant est irréel, comme dans un rêve.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Dépersonnalisation : sentiment que le sujet lui-même est irréel, étranger à lui-même.</w:t>
      </w:r>
    </w:p>
    <w:p>
      <w:pPr>
        <w:pStyle w:val="Heading3"/>
        <w:spacing w:after="80" w:before="200"/>
      </w:pPr>
      <w:r>
        <w:rPr>
          <w:rFonts w:ascii="Times New Roman" w:cs="Times New Roman" w:eastAsia="Times New Roman" w:hAnsi="Times New Roman"/>
          <w:b/>
          <w:bCs/>
          <w:color w:val="1F2937"/>
          <w:sz w:val="26"/>
          <w:szCs w:val="26"/>
        </w:rPr>
        <w:t xml:space="preserve">Cognition</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Orientation temporo-spatiale : savoir la date, le lieu — altérée dans la confusion mentale.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Attention : capacité à se concentrer — trouble fréquent dans la dépression, le TDAH, la confusion.</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Mémoire épisodique, sémantique, procédurale — chacune peut être sélectivement atteinte.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Fonctions exécutives : planification, flexibilité mentale, inhibition — souvent évaluées par des épreuves simples.</w:t>
      </w:r>
    </w:p>
    <w:p>
      <w:pPr>
        <w:pStyle w:val="Heading3"/>
        <w:spacing w:after="80" w:before="200"/>
      </w:pPr>
      <w:r>
        <w:rPr>
          <w:rFonts w:ascii="Times New Roman" w:cs="Times New Roman" w:eastAsia="Times New Roman" w:hAnsi="Times New Roman"/>
          <w:b/>
          <w:bCs/>
          <w:color w:val="1F2937"/>
          <w:sz w:val="26"/>
          <w:szCs w:val="26"/>
        </w:rPr>
        <w:t xml:space="preserve">4. Mnémotechnique ASEPTIC (Mental Status Examination)</w:t>
      </w:r>
    </w:p>
    <w:p>
      <w:pPr>
        <w:spacing w:after="100"/>
      </w:pPr>
      <w:r>
        <w:rPr>
          <w:rFonts w:ascii="Times New Roman" w:cs="Times New Roman" w:eastAsia="Times New Roman" w:hAnsi="Times New Roman"/>
          <w:b w:val="false"/>
          <w:bCs w:val="false"/>
          <w:i w:val="false"/>
          <w:iCs w:val="false"/>
          <w:color w:val="1F2937"/>
          <w:sz w:val="22"/>
          <w:szCs w:val="22"/>
        </w:rPr>
        <w:t xml:space="preserve">Pour structurer un examen de l'état mental, la mnémotechnique anglaise ASEPTIC est utile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A — Appearance / Behavior (présentation, hygiène, ET comportement) ⚠️ « Behavior » avait été omis, rétabli le 06/09/2026</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S — Speech (langage, débit, volume)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E — Emotion (humeur / affect)</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 — Perception (hallucinations, illusions)</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T — Thought (pensée — cours et contenu)</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I — Insight and Judgement (conscience de la maladie ET jugement) ⚠️ « Judgement » avait été omis, rétabli le 06/09/2026</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C — Cognition (orientation, mémoire, attention)</w:t>
      </w:r>
    </w:p>
    <w:p>
      <w:pPr>
        <w:spacing w:after="100"/>
      </w:pPr>
      <w:r>
        <w:t xml:space="preserve"/>
      </w:r>
    </w:p>
    <w:p>
      <w:pPr>
        <w:shd w:fill="F3F4F6" w:color="F3F4F6" w:val="solid"/>
        <w:spacing w:after="100" w:before="60"/>
        <w:ind w:left="720"/>
      </w:pPr>
      <w:r>
        <w:rPr>
          <w:rFonts w:ascii="Times New Roman" w:cs="Times New Roman" w:eastAsia="Times New Roman" w:hAnsi="Times New Roman"/>
          <w:i/>
          <w:iCs/>
          <w:color w:val="1B3A6B"/>
          <w:sz w:val="22"/>
          <w:szCs w:val="22"/>
        </w:rPr>
        <w:t xml:space="preserve">Distinction clinique fondamentale — Humeur vs Affect : l'humeur est ce que le patient décrit de son état intérieur (subjectif), l'affect est ce que le clinicien observe dans la gestuelle, le regard, la voix (objectif). Les deux peuvent être incongruents — un patient qui dit « ça va » avec un regard vide et une voix monotone.</w:t>
      </w:r>
    </w:p>
    <w:p>
      <w:r>
        <w:br w:type="page"/>
      </w:r>
    </w:p>
    <w:p>
      <w:pPr>
        <w:pStyle w:val="Heading2"/>
        <w:spacing w:after="120" w:before="300"/>
      </w:pPr>
      <w:r>
        <w:rPr>
          <w:rFonts w:ascii="Times New Roman" w:cs="Times New Roman" w:eastAsia="Times New Roman" w:hAnsi="Times New Roman"/>
          <w:b/>
          <w:bCs/>
          <w:color w:val="1B3A6B"/>
          <w:sz w:val="30"/>
          <w:szCs w:val="30"/>
        </w:rPr>
        <w:t xml:space="preserve">🛠️ Pratique (80 %) — Exercices actifs</w:t>
      </w:r>
    </w:p>
    <w:p>
      <w:pPr>
        <w:pStyle w:val="Heading3"/>
        <w:spacing w:after="80" w:before="200"/>
      </w:pPr>
      <w:r>
        <w:rPr>
          <w:rFonts w:ascii="Times New Roman" w:cs="Times New Roman" w:eastAsia="Times New Roman" w:hAnsi="Times New Roman"/>
          <w:b/>
          <w:bCs/>
          <w:color w:val="1F2937"/>
          <w:sz w:val="26"/>
          <w:szCs w:val="26"/>
        </w:rPr>
        <w:t xml:space="preserve">Exercice 1 — Cartographie personnelle des signes</w:t>
      </w:r>
    </w:p>
    <w:p>
      <w:pPr>
        <w:spacing w:after="100"/>
      </w:pPr>
      <w:r>
        <w:rPr>
          <w:rFonts w:ascii="Times New Roman" w:cs="Times New Roman" w:eastAsia="Times New Roman" w:hAnsi="Times New Roman"/>
          <w:b w:val="false"/>
          <w:bCs w:val="false"/>
          <w:i w:val="false"/>
          <w:iCs w:val="false"/>
          <w:color w:val="1F2937"/>
          <w:sz w:val="22"/>
          <w:szCs w:val="22"/>
        </w:rPr>
        <w:t xml:space="preserve">Objectif : ancrer le vocabulaire sémiologique dans ta mémoire par la reformulation active.</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Consigne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Prends une feuille (ou un fichier texte) et dessine/écris un tableau à 3 colonnes : Domaine | Je l'explique avec mes mots | Un exemple concret que j'ai observé.</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Remplis les 9 domaines du tableau de la section théorie en utilisant tes propres mots — sans relire le cours.</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Pour chaque domaine, note un exemple que tu as pu observer, même indirectement : actualité, film, roman, situation professionnelle passée. Ce n'est PAS un diagnostic — juste un ancrage cognitif personnel.</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Critère de réussite :</w:t>
      </w:r>
    </w:p>
    <w:p>
      <w:pPr>
        <w:spacing w:after="100"/>
      </w:pPr>
      <w:r>
        <w:rPr>
          <w:rFonts w:ascii="Times New Roman" w:cs="Times New Roman" w:eastAsia="Times New Roman" w:hAnsi="Times New Roman"/>
          <w:b w:val="false"/>
          <w:bCs w:val="false"/>
          <w:i w:val="false"/>
          <w:iCs w:val="false"/>
          <w:color w:val="1F2937"/>
          <w:sz w:val="22"/>
          <w:szCs w:val="22"/>
        </w:rPr>
        <w:t xml:space="preserve">Tu peux expliquer la différence entre signe / symptôme / syndrome, et citer au moins 2 signes pathologiques dans chaque domaine, sans consulter le cours.</w:t>
      </w:r>
    </w:p>
    <w:p>
      <w:pPr>
        <w:spacing w:after="100"/>
      </w:pPr>
      <w: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 Durée estimée : 20-30 minutes.</w:t>
      </w:r>
    </w:p>
    <w:p>
      <w:pPr>
        <w:spacing w:after="100"/>
      </w:pPr>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2 — Vignettes cliniques : identifier les signes</w:t>
      </w:r>
    </w:p>
    <w:p>
      <w:pPr>
        <w:spacing w:after="100"/>
      </w:pPr>
      <w:r>
        <w:rPr>
          <w:rFonts w:ascii="Times New Roman" w:cs="Times New Roman" w:eastAsia="Times New Roman" w:hAnsi="Times New Roman"/>
          <w:b w:val="false"/>
          <w:bCs w:val="false"/>
          <w:i w:val="false"/>
          <w:iCs w:val="false"/>
          <w:color w:val="1F2937"/>
          <w:sz w:val="22"/>
          <w:szCs w:val="22"/>
        </w:rPr>
        <w:t xml:space="preserve">Objectif : entraîner le regard clinique à repérer et nommer les signes — sans diagnostiquer.</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Pour chaque vignette, identifie les signes présents (domaine + terme précis) et ceux qui sont possiblement absents mais à explorer :</w:t>
      </w:r>
    </w:p>
    <w:p>
      <w:pPr>
        <w:spacing w:after="100"/>
      </w:pPr>
      <w:r>
        <w:t xml:space="preserve"/>
      </w:r>
    </w:p>
    <w:p>
      <w:pPr>
        <w:spacing w:after="100"/>
      </w:pPr>
      <w:r>
        <w:rPr>
          <w:rFonts w:ascii="Times New Roman" w:cs="Times New Roman" w:eastAsia="Times New Roman" w:hAnsi="Times New Roman"/>
          <w:b/>
          <w:bCs/>
          <w:i/>
          <w:iCs/>
          <w:color w:val="1F2937"/>
          <w:sz w:val="22"/>
          <w:szCs w:val="22"/>
        </w:rPr>
        <w:t xml:space="preserve">Vignette A — Monsieur R., 38 ans :</w:t>
      </w:r>
    </w:p>
    <w:p>
      <w:pPr>
        <w:spacing w:after="100"/>
      </w:pPr>
      <w:r>
        <w:rPr>
          <w:rFonts w:ascii="Times New Roman" w:cs="Times New Roman" w:eastAsia="Times New Roman" w:hAnsi="Times New Roman"/>
          <w:b w:val="false"/>
          <w:bCs w:val="false"/>
          <w:i w:val="false"/>
          <w:iCs w:val="false"/>
          <w:color w:val="1F2937"/>
          <w:sz w:val="22"/>
          <w:szCs w:val="22"/>
        </w:rPr>
        <w:t xml:space="preserve">Monsieur R. arrive à l'entretien en retard, vêtements froissés, barbe de plusieurs jours. Il répond aux questions par monosyllabes, regard dirigé vers le sol. Sa voix est basse, quasi inaudible. Il dit : « Je ne sers à rien ». Il dort 12 heures par nuit mais se lève épuisé. Il a arrêté son activité sportive il y a 3 mois, qu'il adorait.</w:t>
      </w:r>
    </w:p>
    <w:p>
      <w:pPr>
        <w:spacing w:after="100"/>
      </w:pPr>
      <w:r>
        <w:t xml:space="preserve"/>
      </w:r>
    </w:p>
    <w:p>
      <w:pPr>
        <w:spacing w:after="100"/>
      </w:pPr>
      <w:r>
        <w:rPr>
          <w:rFonts w:ascii="Times New Roman" w:cs="Times New Roman" w:eastAsia="Times New Roman" w:hAnsi="Times New Roman"/>
          <w:b w:val="false"/>
          <w:bCs w:val="false"/>
          <w:i/>
          <w:iCs/>
          <w:color w:val="1F2937"/>
          <w:sz w:val="22"/>
          <w:szCs w:val="22"/>
        </w:rPr>
        <w:t xml:space="preserve">→ Tes observations (avant de lire la correction)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Présentation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Langage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Humeur / Affect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Volonté / Comportement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Cognition :</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Pistes de réponse (Vignette A)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Présentation : négligence corporelle, retard (indice comportemental).</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Langage : mutisme relatif, voix basse (bradyphémie).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Humeur : tristesse exprimée, anhédonie (perte d'intérêt pour le sport).</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Psychomotricité : probable ralentissement psychomoteur. ⚠️ Corrigé le 06/09/2026 : ce corrigé écrivait « (bradypsychie) ». La section 3 de CETTE leçon définit la bradypsychie comme le ralentissement de la PENSÉE, pas du mouvement — une étiquette de pensée collée à un domaine moteur. Le ralentissement moteur se dit ralentissement psychomoteur ; le terme bradypsychie reste disponible ici, mais pour le cours de la pensée, et il serait à explorer séparément.</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Fonctions cognitives / vigilance : hypersomnie non réparatrice — à explorer. ⚠️ Corrigé le 06/09/2026 : cette ligne s’intitulait « Vigilance / sommeil », qui n’est PAS l’un des neuf domaines du tableau de cette leçon. Un corrigé doit ranger ses observations dans la grille que sa propre leçon expose, sinon la grille ne sert plus de référence. Restent d’ailleurs non traités dans ce corrigé deux domaines que la consigne demandait explicitement à l’apprenant de remplir : Volonté / Comportement et Cognition.</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Pensée (contenu) : dévalorisation (« je ne sers à rien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NB : ce tableau clinique est évocateur d'un syndrome dépressif — c'est le psychiatre qui posera ou non ce diagnostic.</w:t>
      </w:r>
    </w:p>
    <w:p>
      <w:pPr>
        <w:spacing w:after="100"/>
      </w:pPr>
      <w:r>
        <w:t xml:space="preserve"/>
      </w:r>
    </w:p>
    <w:p>
      <w:pPr>
        <w:spacing w:after="100"/>
      </w:pPr>
      <w:r>
        <w:rPr>
          <w:rFonts w:ascii="Times New Roman" w:cs="Times New Roman" w:eastAsia="Times New Roman" w:hAnsi="Times New Roman"/>
          <w:b/>
          <w:bCs/>
          <w:i/>
          <w:iCs/>
          <w:color w:val="1F2937"/>
          <w:sz w:val="22"/>
          <w:szCs w:val="22"/>
        </w:rPr>
        <w:t xml:space="preserve">Vignette B — Madame S., 52 ans :</w:t>
      </w:r>
    </w:p>
    <w:p>
      <w:pPr>
        <w:spacing w:after="100"/>
      </w:pPr>
      <w:r>
        <w:rPr>
          <w:rFonts w:ascii="Times New Roman" w:cs="Times New Roman" w:eastAsia="Times New Roman" w:hAnsi="Times New Roman"/>
          <w:b w:val="false"/>
          <w:bCs w:val="false"/>
          <w:i w:val="false"/>
          <w:iCs w:val="false"/>
          <w:color w:val="1F2937"/>
          <w:sz w:val="22"/>
          <w:szCs w:val="22"/>
        </w:rPr>
        <w:t xml:space="preserve">Madame S. parle sans s'arrêter dès l'entrée dans la salle. Elle passe d'un sujet à l'autre (son dernier voyage, un projet d'entreprise, ses enfants, le gouvernement). Elle dit se sentir « en pleine forme, jamais eu autant d'énergie ». Elle a dormi 3 heures la nuit précédente et ne s'en plaint pas. Elle rit fréquemment, parfois sans lien avec le propos. Son regard est brillant, expressif.</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Pistes de réponse (Vignette B)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Langage : logorrhée (débit excessif), coq-à-l'âne (passage d'un sujet à l'autre).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Pensée : fuite des idées (tachypsychie).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Humeur : hyperthymie (humeur expansive, exaltation).</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Affect : congruent (les rires correspondent à l'humeur exprimée).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Psychomotricité : probable agitation psychomotrice (à observer sur la durée).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Volonté / Comportement : réduction du besoin de sommeil sans fatigue — signe classique d’état maniaque. ⚠️ Corrigé le 06/09/2026 : cette ligne s’intitulait « Fonctions instinctuelles », qui ne figure pas davantage parmi les neuf domaines du tableau de cette leçon.</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NB : tableau évocateur d'un état maniaque — diagnostic psychiatrique requis.</w:t>
      </w:r>
    </w:p>
    <w:p>
      <w:pPr>
        <w:spacing w:after="100"/>
      </w:pPr>
      <w:r>
        <w:t xml:space="preserve"/>
      </w:r>
    </w:p>
    <w:p>
      <w:pPr>
        <w:spacing w:after="100"/>
      </w:pPr>
      <w:r>
        <w:rPr>
          <w:rFonts w:ascii="Times New Roman" w:cs="Times New Roman" w:eastAsia="Times New Roman" w:hAnsi="Times New Roman"/>
          <w:b/>
          <w:bCs/>
          <w:i/>
          <w:iCs/>
          <w:color w:val="1F2937"/>
          <w:sz w:val="22"/>
          <w:szCs w:val="22"/>
        </w:rPr>
        <w:t xml:space="preserve">Vignette C — Monsieur A., 27 ans :</w:t>
      </w:r>
    </w:p>
    <w:p>
      <w:pPr>
        <w:spacing w:after="100"/>
      </w:pPr>
      <w:r>
        <w:rPr>
          <w:rFonts w:ascii="Times New Roman" w:cs="Times New Roman" w:eastAsia="Times New Roman" w:hAnsi="Times New Roman"/>
          <w:b w:val="false"/>
          <w:bCs w:val="false"/>
          <w:i w:val="false"/>
          <w:iCs w:val="false"/>
          <w:color w:val="1F2937"/>
          <w:sz w:val="22"/>
          <w:szCs w:val="22"/>
        </w:rPr>
        <w:t xml:space="preserve">Monsieur A. est accompagné par sa mère. Il reste immobile sur sa chaise, regard fixe dans le vide. Quand on lui parle, il tourne parfois la tête lentement mais ne répond pas verbalement. Sa posture est rigide. La mère dit qu'il a soudainement arrêté de parler depuis 4 jours, après un épisode de grande agitation.</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Pistes de réponse (Vignette C)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Psychomotricité : probable catatonie (immobilité motrice, rigidité, mutisme).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Langage : mutisme (absence totale de production verbale).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Contact : regard vide, non-réponse aux sollicitations.</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Insight : difficile à évaluer dans ce tableau.</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NB : la catatonie peut survenir dans différents troubles (schizophrénie, troubles de l'humeur, causes organiques) — évaluation médicale urgente requise.</w:t>
      </w:r>
    </w:p>
    <w:p>
      <w:pPr>
        <w:spacing w:after="100"/>
      </w:pPr>
      <w:r>
        <w:t xml:space="preserve"/>
      </w:r>
    </w:p>
    <w:p>
      <w:pPr>
        <w:pStyle w:val="Heading3"/>
        <w:spacing w:after="80" w:before="200"/>
      </w:pPr>
      <w:r>
        <w:rPr>
          <w:rFonts w:ascii="Times New Roman" w:cs="Times New Roman" w:eastAsia="Times New Roman" w:hAnsi="Times New Roman"/>
          <w:b/>
          <w:bCs/>
          <w:color w:val="1F2937"/>
          <w:sz w:val="26"/>
          <w:szCs w:val="26"/>
        </w:rPr>
        <w:t xml:space="preserve">Exercice 3 — Auto-observation de ton propre état mental</w:t>
      </w:r>
    </w:p>
    <w:p>
      <w:pPr>
        <w:spacing w:after="100"/>
      </w:pPr>
      <w:r>
        <w:rPr>
          <w:rFonts w:ascii="Times New Roman" w:cs="Times New Roman" w:eastAsia="Times New Roman" w:hAnsi="Times New Roman"/>
          <w:b w:val="false"/>
          <w:bCs w:val="false"/>
          <w:i w:val="false"/>
          <w:iCs w:val="false"/>
          <w:color w:val="1F2937"/>
          <w:sz w:val="22"/>
          <w:szCs w:val="22"/>
        </w:rPr>
        <w:t xml:space="preserve">Objectif : comprendre par l'expérience personnelle ce que les domaines sémiologiques désignent.</w:t>
      </w:r>
    </w:p>
    <w:p>
      <w:pPr>
        <w:spacing w:after="100"/>
      </w:pPr>
      <w: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Il s'agit ici non d'un exercice clinique sur toi-même, mais d'un exercice phénoménologique : observer la richesse et la variabilité de l'expérience subjective — ce que les signes psychiatriques cherchent à capter quand ils s'éloignent de la normale.</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Consigne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Prends 5 minutes dans un endroit calme. Pose les yeux sur un objet neutre.</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Puis réponds mentalement (ou par écrit) à ces questions, en utilisant les termes sémiologiques :</w:t>
      </w:r>
    </w:p>
    <w:p>
      <w:pPr>
        <w:spacing w:after="100"/>
      </w:pPr>
      <w:r>
        <w:t xml:space="preserve"/>
      </w:r>
    </w:p>
    <w:p>
      <w:pPr>
        <w:pStyle w:val="ListParagraph"/>
        <w:numPr>
          <w:ilvl w:val="1"/>
          <w:numId w:val="1"/>
        </w:numPr>
        <w:spacing w:after="60"/>
      </w:pPr>
      <w:r>
        <w:rPr>
          <w:rFonts w:ascii="Times New Roman" w:cs="Times New Roman" w:eastAsia="Times New Roman" w:hAnsi="Times New Roman"/>
          <w:b w:val="false"/>
          <w:bCs w:val="false"/>
          <w:color w:val="1F2937"/>
          <w:sz w:val="22"/>
          <w:szCs w:val="22"/>
        </w:rPr>
        <w:t xml:space="preserve">Mon humeur en ce moment : comment la décrirais-je avec les termes vus ? (euthymie, légère dysthymie, hyperactivité émotionnelle…)</w:t>
      </w:r>
    </w:p>
    <w:p>
      <w:pPr>
        <w:pStyle w:val="ListParagraph"/>
        <w:numPr>
          <w:ilvl w:val="1"/>
          <w:numId w:val="1"/>
        </w:numPr>
        <w:spacing w:after="60"/>
      </w:pPr>
      <w:r>
        <w:rPr>
          <w:rFonts w:ascii="Times New Roman" w:cs="Times New Roman" w:eastAsia="Times New Roman" w:hAnsi="Times New Roman"/>
          <w:b w:val="false"/>
          <w:bCs w:val="false"/>
          <w:color w:val="1F2937"/>
          <w:sz w:val="22"/>
          <w:szCs w:val="22"/>
        </w:rPr>
        <w:t xml:space="preserve">Mon langage intérieur : est-il rapide, lent, sautant d'une idée à l'autre, ou linéaire et ordonné ?</w:t>
      </w:r>
    </w:p>
    <w:p>
      <w:pPr>
        <w:pStyle w:val="ListParagraph"/>
        <w:numPr>
          <w:ilvl w:val="1"/>
          <w:numId w:val="1"/>
        </w:numPr>
        <w:spacing w:after="60"/>
      </w:pPr>
      <w:r>
        <w:rPr>
          <w:rFonts w:ascii="Times New Roman" w:cs="Times New Roman" w:eastAsia="Times New Roman" w:hAnsi="Times New Roman"/>
          <w:b w:val="false"/>
          <w:bCs w:val="false"/>
          <w:color w:val="1F2937"/>
          <w:sz w:val="22"/>
          <w:szCs w:val="22"/>
        </w:rPr>
        <w:t xml:space="preserve">Ma perception : est-ce que je suis pleinement ancré dans le présent ? Y a-t-il une sensation de déréalisation légère (fatigue, stress) ?</w:t>
      </w:r>
    </w:p>
    <w:p>
      <w:pPr>
        <w:pStyle w:val="ListParagraph"/>
        <w:numPr>
          <w:ilvl w:val="1"/>
          <w:numId w:val="1"/>
        </w:numPr>
        <w:spacing w:after="60"/>
      </w:pPr>
      <w:r>
        <w:rPr>
          <w:rFonts w:ascii="Times New Roman" w:cs="Times New Roman" w:eastAsia="Times New Roman" w:hAnsi="Times New Roman"/>
          <w:b w:val="false"/>
          <w:bCs w:val="false"/>
          <w:color w:val="1F2937"/>
          <w:sz w:val="22"/>
          <w:szCs w:val="22"/>
        </w:rPr>
        <w:t xml:space="preserve">Mon attention : je peux me concentrer sur une seule chose 5 minutes ?</w:t>
      </w:r>
    </w:p>
    <w:p>
      <w:pPr>
        <w:pStyle w:val="ListParagraph"/>
        <w:numPr>
          <w:ilvl w:val="1"/>
          <w:numId w:val="1"/>
        </w:numPr>
        <w:spacing w:after="60"/>
      </w:pPr>
      <w:r>
        <w:rPr>
          <w:rFonts w:ascii="Times New Roman" w:cs="Times New Roman" w:eastAsia="Times New Roman" w:hAnsi="Times New Roman"/>
          <w:b w:val="false"/>
          <w:bCs w:val="false"/>
          <w:color w:val="1F2937"/>
          <w:sz w:val="22"/>
          <w:szCs w:val="22"/>
        </w:rPr>
        <w:t xml:space="preserve">Mon affect : ce que j'observe sur ma propre expressivité — est-il congruent avec mon humeur déclarée ?</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Réflexion :</w:t>
      </w:r>
    </w:p>
    <w:p>
      <w:pPr>
        <w:spacing w:after="100"/>
      </w:pPr>
      <w:r>
        <w:rPr>
          <w:rFonts w:ascii="Times New Roman" w:cs="Times New Roman" w:eastAsia="Times New Roman" w:hAnsi="Times New Roman"/>
          <w:b w:val="false"/>
          <w:bCs w:val="false"/>
          <w:i w:val="false"/>
          <w:iCs w:val="false"/>
          <w:color w:val="1F2937"/>
          <w:sz w:val="22"/>
          <w:szCs w:val="22"/>
        </w:rPr>
        <w:t xml:space="preserve">Que t'apprend cet exercice sur la nuance entre « état ordinaire » et « signe pathologique » ? Qu'est-ce qui ferait basculer ce que tu as observé du côté du signe clinique ?</w:t>
      </w:r>
    </w:p>
    <w:p>
      <w:pPr>
        <w:spacing w:after="100"/>
      </w:pPr>
      <w: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 Durée estimée : 15 minutes.</w:t>
      </w:r>
    </w:p>
    <w:p>
      <w:r>
        <w:br w:type="page"/>
      </w:r>
    </w:p>
    <w:p>
      <w:pPr>
        <w:pStyle w:val="Heading2"/>
        <w:spacing w:after="120" w:before="300"/>
      </w:pPr>
      <w:r>
        <w:rPr>
          <w:rFonts w:ascii="Times New Roman" w:cs="Times New Roman" w:eastAsia="Times New Roman" w:hAnsi="Times New Roman"/>
          <w:b/>
          <w:bCs/>
          <w:color w:val="1B3A6B"/>
          <w:sz w:val="30"/>
          <w:szCs w:val="30"/>
        </w:rPr>
        <w:t xml:space="preserve">🎯 Challenge — Écrire un examen de l'état mental</w:t>
      </w:r>
    </w:p>
    <w:p>
      <w:pPr>
        <w:spacing w:after="100"/>
      </w:pPr>
      <w:r>
        <w:rPr>
          <w:rFonts w:ascii="Times New Roman" w:cs="Times New Roman" w:eastAsia="Times New Roman" w:hAnsi="Times New Roman"/>
          <w:b w:val="false"/>
          <w:bCs w:val="false"/>
          <w:i w:val="false"/>
          <w:iCs w:val="false"/>
          <w:color w:val="1F2937"/>
          <w:sz w:val="22"/>
          <w:szCs w:val="22"/>
        </w:rPr>
        <w:t xml:space="preserve">Exercice de synthèse mobilisant l'ensemble de la leçon.</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Consigne :</w:t>
      </w:r>
    </w:p>
    <w:p>
      <w:pPr>
        <w:spacing w:after="100"/>
      </w:pPr>
      <w:r>
        <w:rPr>
          <w:rFonts w:ascii="Times New Roman" w:cs="Times New Roman" w:eastAsia="Times New Roman" w:hAnsi="Times New Roman"/>
          <w:b w:val="false"/>
          <w:bCs w:val="false"/>
          <w:i w:val="false"/>
          <w:iCs w:val="false"/>
          <w:color w:val="1F2937"/>
          <w:sz w:val="22"/>
          <w:szCs w:val="22"/>
        </w:rPr>
        <w:t xml:space="preserve">Imagine une personne de ton entourage (ou un personnage de fiction bien connu — Hamlet, Anakin Skywalker, Walter White…). Rédige un examen de l'état mental fictif de cette personne à un moment précis de son histoire, en utilisant les 9 domaines sémiologiques.</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Format attendu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Un court texte de présentation (contexte / moment choisi).</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Le tableau des 9 domaines rempli avec des observations précises.</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Une ou deux phrases de synthèse : quels signes ressortent ? Quel registre clinique cela évoque-t-il sans poser de diagnostic ?</w:t>
      </w:r>
    </w:p>
    <w:p>
      <w:pPr>
        <w:spacing w:after="100"/>
      </w:pPr>
      <w:r>
        <w:t xml:space="preserve"/>
      </w:r>
    </w:p>
    <w:p>
      <w:pPr>
        <w:spacing w:after="100"/>
      </w:pPr>
      <w:r>
        <w:rPr>
          <w:rFonts w:ascii="Times New Roman" w:cs="Times New Roman" w:eastAsia="Times New Roman" w:hAnsi="Times New Roman"/>
          <w:b/>
          <w:bCs/>
          <w:i w:val="false"/>
          <w:iCs w:val="false"/>
          <w:color w:val="1F2937"/>
          <w:sz w:val="22"/>
          <w:szCs w:val="22"/>
        </w:rPr>
        <w:t xml:space="preserve">Critère de réussite :</w:t>
      </w:r>
    </w:p>
    <w:p>
      <w:pPr>
        <w:spacing w:after="100"/>
      </w:pPr>
      <w:r>
        <w:rPr>
          <w:rFonts w:ascii="Times New Roman" w:cs="Times New Roman" w:eastAsia="Times New Roman" w:hAnsi="Times New Roman"/>
          <w:b w:val="false"/>
          <w:bCs w:val="false"/>
          <w:i w:val="false"/>
          <w:iCs w:val="false"/>
          <w:color w:val="1F2937"/>
          <w:sz w:val="22"/>
          <w:szCs w:val="22"/>
        </w:rPr>
        <w:t xml:space="preserve">Tu utilises correctement les termes sémiologiques, tu distingues ce qui est observé (signe) de ce qui est rapporté (symptôme), et tu restes dans une posture descriptive — sans diagnostic.</w:t>
      </w:r>
    </w:p>
    <w:p>
      <w:pPr>
        <w:spacing w:after="100"/>
      </w:pPr>
      <w:r>
        <w:t xml:space="preserve"/>
      </w:r>
    </w:p>
    <w:p>
      <w:pPr>
        <w:spacing w:after="100"/>
      </w:pPr>
      <w:r>
        <w:rPr>
          <w:rFonts w:ascii="Times New Roman" w:cs="Times New Roman" w:eastAsia="Times New Roman" w:hAnsi="Times New Roman"/>
          <w:b w:val="false"/>
          <w:bCs w:val="false"/>
          <w:i w:val="false"/>
          <w:iCs w:val="false"/>
          <w:color w:val="1F2937"/>
          <w:sz w:val="22"/>
          <w:szCs w:val="22"/>
        </w:rPr>
        <w:t xml:space="preserve">💡 Variante pro : tu peux faire cet exercice à partir d'une situation professionnelle passée (anonymisée) — non pour diagnostiquer rétrospectivement, mais pour entraîner ton regard d'observateur clinique.</w:t>
      </w:r>
    </w:p>
    <w:p>
      <w:pPr>
        <w:spacing w:after="100"/>
      </w:pPr>
      <w:r>
        <w:t xml:space="preserve"/>
      </w:r>
    </w:p>
    <w:p>
      <w:pPr>
        <w:pStyle w:val="Heading2"/>
        <w:spacing w:after="120" w:before="300"/>
      </w:pPr>
      <w:r>
        <w:rPr>
          <w:rFonts w:ascii="Times New Roman" w:cs="Times New Roman" w:eastAsia="Times New Roman" w:hAnsi="Times New Roman"/>
          <w:b/>
          <w:bCs/>
          <w:color w:val="1B3A6B"/>
          <w:sz w:val="30"/>
          <w:szCs w:val="30"/>
        </w:rPr>
        <w:t xml:space="preserve">🌉 Pont professionnel (chef de service en ESSMS)</w:t>
      </w:r>
    </w:p>
    <w:p>
      <w:pPr>
        <w:spacing w:after="100"/>
      </w:pPr>
      <w:r>
        <w:rPr>
          <w:rFonts w:ascii="Times New Roman" w:cs="Times New Roman" w:eastAsia="Times New Roman" w:hAnsi="Times New Roman"/>
          <w:b w:val="false"/>
          <w:bCs w:val="false"/>
          <w:i w:val="false"/>
          <w:iCs w:val="false"/>
          <w:color w:val="1F2937"/>
          <w:sz w:val="22"/>
          <w:szCs w:val="22"/>
        </w:rPr>
        <w:t xml:space="preserve">En tant que chef de service d'un foyer d'hébergement pour adultes en situation de handicap mental et psychique, la sémiologie psychiatrique te sert à structurer tes observations lors des réunions d'équipe et des transmissions — non pour diagnostiquer, mais pour :</w:t>
      </w:r>
    </w:p>
    <w:p>
      <w:pPr>
        <w:spacing w:after="100"/>
      </w:pPr>
      <w:r>
        <w:t xml:space="preserve"/>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Aider les professionnels (AES, ME, ES) à nommer précisément ce qu'ils observent, plutôt que de dire « il a un comportement bizarre » — → « il présente depuis 3 jours un retrait social, une bradypsychie et une négligence corporelle ».</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Détecter des signaux d'alarme et orienter au bon moment vers le psychiatre référent, en transmettant un compte-rendu clinique structuré.</w:t>
      </w:r>
    </w:p>
    <w:p>
      <w:pPr>
        <w:pStyle w:val="ListParagraph"/>
        <w:numPr>
          <w:ilvl w:val="0"/>
          <w:numId w:val="1"/>
        </w:numPr>
        <w:spacing w:after="60"/>
      </w:pPr>
      <w:r>
        <w:rPr>
          <w:rFonts w:ascii="Times New Roman" w:cs="Times New Roman" w:eastAsia="Times New Roman" w:hAnsi="Times New Roman"/>
          <w:b w:val="false"/>
          <w:bCs w:val="false"/>
          <w:color w:val="1F2937"/>
          <w:sz w:val="22"/>
          <w:szCs w:val="22"/>
        </w:rPr>
        <w:t xml:space="preserve">Alimenter les écrits professionnels (PPA/DUI) avec des observations précises qui facilitent la continuité de l'accompagnement.</w:t>
      </w:r>
    </w:p>
    <w:p>
      <w:pPr>
        <w:spacing w:after="100"/>
      </w:pPr>
      <w:r>
        <w:t xml:space="preserve"/>
      </w:r>
    </w:p>
    <w:p>
      <w:pPr>
        <w:shd w:fill="F3F4F6" w:color="F3F4F6" w:val="solid"/>
        <w:spacing w:after="100" w:before="60"/>
        <w:ind w:left="720"/>
      </w:pPr>
      <w:r>
        <w:rPr>
          <w:rFonts w:ascii="Times New Roman" w:cs="Times New Roman" w:eastAsia="Times New Roman" w:hAnsi="Times New Roman"/>
          <w:i/>
          <w:iCs/>
          <w:color w:val="1B3A6B"/>
          <w:sz w:val="22"/>
          <w:szCs w:val="22"/>
        </w:rPr>
        <w:t xml:space="preserve">La sémiologie ne remplace pas la clinique médicale : elle t'aide à être un meilleur observateur et un meilleur communicant avec les équipes soignantes.</w:t>
      </w:r>
    </w:p>
    <w:p>
      <w:pPr>
        <w:spacing w:after="100"/>
      </w:pPr>
      <w:r>
        <w:t xml:space="preserve"/>
      </w:r>
    </w:p>
    <w:p>
      <w:pPr>
        <w:pStyle w:val="Heading2"/>
        <w:spacing w:after="120" w:before="300"/>
      </w:pPr>
      <w:r>
        <w:rPr>
          <w:rFonts w:ascii="Times New Roman" w:cs="Times New Roman" w:eastAsia="Times New Roman" w:hAnsi="Times New Roman"/>
          <w:b/>
          <w:bCs/>
          <w:color w:val="1B3A6B"/>
          <w:sz w:val="30"/>
          <w:szCs w:val="30"/>
        </w:rPr>
        <w:t xml:space="preserve">📚 Ressources cliquables pour approfondir</w:t>
      </w:r>
    </w:p>
    <w:p>
      <w:pPr>
        <w:spacing w:after="100"/>
      </w:pPr>
      <w:r>
        <w:rPr>
          <w:rFonts w:ascii="Times New Roman" w:cs="Times New Roman" w:eastAsia="Times New Roman" w:hAnsi="Times New Roman"/>
          <w:b/>
          <w:bCs/>
          <w:i w:val="false"/>
          <w:iCs w:val="false"/>
          <w:color w:val="1F2937"/>
          <w:sz w:val="22"/>
          <w:szCs w:val="22"/>
        </w:rPr>
        <w:t xml:space="preserve">Sources mobilisées pour cette leçon :</w:t>
      </w:r>
    </w:p>
    <w:p>
      <w:pPr>
        <w:pStyle w:val="ListParagraph"/>
        <w:numPr>
          <w:ilvl w:val="0"/>
          <w:numId w:val="1"/>
        </w:numPr>
        <w:spacing w:after="80"/>
      </w:pPr>
      <w:hyperlink w:history="1" r:id="rIdfl48lyjd2n4mu9bl0kzv9">
        <w:r>
          <w:rPr>
            <w:rFonts w:ascii="Times New Roman" w:cs="Times New Roman" w:eastAsia="Times New Roman" w:hAnsi="Times New Roman"/>
            <w:color w:val="1155CC"/>
            <w:sz w:val="22"/>
            <w:szCs w:val="22"/>
            <w:u w:val="single" w:color="1155CC"/>
          </w:rPr>
          <w:t xml:space="preserve">Sémiologie psychiatrique — Wikipédia FR (définitions, domaines, syndromes)</w:t>
        </w:r>
      </w:hyperlink>
    </w:p>
    <w:p>
      <w:pPr>
        <w:pStyle w:val="ListParagraph"/>
        <w:numPr>
          <w:ilvl w:val="0"/>
          <w:numId w:val="1"/>
        </w:numPr>
        <w:spacing w:after="80"/>
      </w:pPr>
      <w:hyperlink w:history="1" r:id="rId9wx2jobf3mhyfokm7szqj">
        <w:r>
          <w:rPr>
            <w:rFonts w:ascii="Times New Roman" w:cs="Times New Roman" w:eastAsia="Times New Roman" w:hAnsi="Times New Roman"/>
            <w:color w:val="1155CC"/>
            <w:sz w:val="22"/>
            <w:szCs w:val="22"/>
            <w:u w:val="single" w:color="1155CC"/>
          </w:rPr>
          <w:t xml:space="preserve">Mental Status Examination — StatPearls / NCBI (NIH) — référence clinique complète (EN)</w:t>
        </w:r>
      </w:hyperlink>
    </w:p>
    <w:p>
      <w:pPr>
        <w:pStyle w:val="ListParagraph"/>
        <w:numPr>
          <w:ilvl w:val="0"/>
          <w:numId w:val="1"/>
        </w:numPr>
        <w:spacing w:after="80"/>
      </w:pPr>
      <w:hyperlink w:history="1" r:id="rIdqffzjwfnohr3uo3pvgjtg">
        <w:r>
          <w:rPr>
            <w:rFonts w:ascii="Times New Roman" w:cs="Times New Roman" w:eastAsia="Times New Roman" w:hAnsi="Times New Roman"/>
            <w:color w:val="1155CC"/>
            <w:sz w:val="22"/>
            <w:szCs w:val="22"/>
            <w:u w:val="single" w:color="1155CC"/>
          </w:rPr>
          <w:t xml:space="preserve">Mental Status Examination — Wikipédia EN (mnémotechnique ASEPTIC, domaines)</w:t>
        </w:r>
      </w:hyperlink>
    </w:p>
    <w:p>
      <w:pPr>
        <w:pStyle w:val="ListParagraph"/>
        <w:numPr>
          <w:ilvl w:val="0"/>
          <w:numId w:val="1"/>
        </w:numPr>
        <w:spacing w:after="80"/>
      </w:pPr>
      <w:hyperlink w:history="1" r:id="rIdwt0bsz_gkz-3o7q7ch1vl">
        <w:r>
          <w:rPr>
            <w:rFonts w:ascii="Times New Roman" w:cs="Times New Roman" w:eastAsia="Times New Roman" w:hAnsi="Times New Roman"/>
            <w:color w:val="1155CC"/>
            <w:sz w:val="22"/>
            <w:szCs w:val="22"/>
            <w:u w:val="single" w:color="1155CC"/>
          </w:rPr>
          <w:t xml:space="preserve">PsychScene Hub — Ten-Point Guide to the MSE (guide pratique illustré, EN)</w:t>
        </w:r>
      </w:hyperlink>
    </w:p>
    <w:p>
      <w:pPr>
        <w:pStyle w:val="ListParagraph"/>
        <w:numPr>
          <w:ilvl w:val="0"/>
          <w:numId w:val="1"/>
        </w:numPr>
        <w:spacing w:after="80"/>
      </w:pPr>
      <w:hyperlink w:history="1" r:id="rIdqlx0c4cfhzyxbbqgslgjq">
        <w:r>
          <w:rPr>
            <w:rFonts w:ascii="Times New Roman" w:cs="Times New Roman" w:eastAsia="Times New Roman" w:hAnsi="Times New Roman"/>
            <w:color w:val="1155CC"/>
            <w:sz w:val="22"/>
            <w:szCs w:val="22"/>
            <w:u w:val="single" w:color="1155CC"/>
          </w:rPr>
          <w:t xml:space="preserve">The Mental Status Examination — Clinical Methods, NCBI (contexte historique et clinique, EN)</w:t>
        </w:r>
      </w:hyperlink>
    </w:p>
    <w:p>
      <w:pPr>
        <w:pStyle w:val="ListParagraph"/>
        <w:numPr>
          <w:ilvl w:val="0"/>
          <w:numId w:val="1"/>
        </w:numPr>
        <w:spacing w:after="80"/>
      </w:pPr>
      <w:hyperlink w:history="1" r:id="rIdvnp3ri6gd_yoj59nmokgn">
        <w:r>
          <w:rPr>
            <w:rFonts w:ascii="Times New Roman" w:cs="Times New Roman" w:eastAsia="Times New Roman" w:hAnsi="Times New Roman"/>
            <w:color w:val="1155CC"/>
            <w:sz w:val="22"/>
            <w:szCs w:val="22"/>
            <w:u w:val="single" w:color="1155CC"/>
          </w:rPr>
          <w:t xml:space="preserve">Sémiologie psychiatrique — Techno-Science.net (synthèse FR)</w:t>
        </w:r>
      </w:hyperlink>
    </w:p>
    <w:p>
      <w:pPr>
        <w:pStyle w:val="ListParagraph"/>
        <w:numPr>
          <w:ilvl w:val="0"/>
          <w:numId w:val="1"/>
        </w:numPr>
        <w:spacing w:after="80"/>
      </w:pPr>
      <w:hyperlink w:history="1" r:id="rIdxcsf5vtiougefn2lanxtc">
        <w:r>
          <w:rPr>
            <w:rFonts w:ascii="Times New Roman" w:cs="Times New Roman" w:eastAsia="Times New Roman" w:hAnsi="Times New Roman"/>
            <w:color w:val="1155CC"/>
            <w:sz w:val="22"/>
            <w:szCs w:val="22"/>
            <w:u w:val="single" w:color="1155CC"/>
          </w:rPr>
          <w:t xml:space="preserve">AESP — Sémiologie psychiatrique de base pour l'étudiant (PDF FR, universitaire)</w:t>
        </w:r>
      </w:hyperlink>
    </w:p>
    <w:p>
      <w:pPr>
        <w:spacing w:after="100"/>
      </w:pPr>
      <w:r>
        <w:t xml:space="preserve"/>
      </w:r>
    </w:p>
    <w:p>
      <w:pPr>
        <w:spacing w:after="100"/>
      </w:pPr>
      <w:r>
        <w:rPr>
          <w:rFonts w:ascii="Times New Roman" w:cs="Times New Roman" w:eastAsia="Times New Roman" w:hAnsi="Times New Roman"/>
          <w:b w:val="false"/>
          <w:bCs w:val="false"/>
          <w:i/>
          <w:iCs/>
          <w:color w:val="1F2937"/>
          <w:sz w:val="22"/>
          <w:szCs w:val="22"/>
        </w:rPr>
        <w:t xml:space="preserve">⛔ Sources inaccessibles lors de cette session (404) :</w:t>
      </w:r>
    </w:p>
    <w:p>
      <w:pPr>
        <w:spacing w:after="100"/>
      </w:pPr>
      <w:r>
        <w:rPr>
          <w:rFonts w:ascii="Times New Roman" w:cs="Times New Roman" w:eastAsia="Times New Roman" w:hAnsi="Times New Roman"/>
          <w:b w:val="false"/>
          <w:bCs w:val="false"/>
          <w:i/>
          <w:iCs/>
          <w:color w:val="9CA3AF"/>
          <w:sz w:val="22"/>
          <w:szCs w:val="22"/>
        </w:rPr>
        <w:t xml:space="preserve">Psycom.org — inaccessible (erreur 404) · Merck Manual Professional — inaccessible (erreur 404)</w:t>
      </w:r>
    </w:p>
    <w:p>
      <w:pPr>
        <w:spacing w:after="100"/>
      </w:pPr>
      <w:r>
        <w:t xml:space="preserve"/>
      </w:r>
    </w:p>
    <w:p>
      <w:pPr>
        <w:pStyle w:val="Heading2"/>
        <w:spacing w:after="120" w:before="300"/>
      </w:pPr>
      <w:r>
        <w:rPr>
          <w:rFonts w:ascii="Times New Roman" w:cs="Times New Roman" w:eastAsia="Times New Roman" w:hAnsi="Times New Roman"/>
          <w:b/>
          <w:bCs/>
          <w:color w:val="1B3A6B"/>
          <w:sz w:val="30"/>
          <w:szCs w:val="30"/>
        </w:rPr>
        <w:t xml:space="preserve">🔜 Prochaine leçon — n°04</w:t>
      </w:r>
    </w:p>
    <w:p>
      <w:pPr>
        <w:spacing w:after="100"/>
      </w:pPr>
      <w:r>
        <w:rPr>
          <w:rFonts w:ascii="Times New Roman" w:cs="Times New Roman" w:eastAsia="Times New Roman" w:hAnsi="Times New Roman"/>
          <w:b w:val="false"/>
          <w:bCs w:val="false"/>
          <w:i w:val="false"/>
          <w:iCs w:val="false"/>
          <w:color w:val="1F2937"/>
          <w:sz w:val="22"/>
          <w:szCs w:val="22"/>
        </w:rPr>
        <w:t xml:space="preserve">Thème : L'entretien clinique et l'examen de l'état mental</w:t>
      </w:r>
    </w:p>
    <w:p>
      <w:pPr>
        <w:spacing w:after="100"/>
      </w:pPr>
      <w:r>
        <w:rPr>
          <w:rFonts w:ascii="Times New Roman" w:cs="Times New Roman" w:eastAsia="Times New Roman" w:hAnsi="Times New Roman"/>
          <w:b w:val="false"/>
          <w:bCs w:val="false"/>
          <w:i w:val="false"/>
          <w:iCs w:val="false"/>
          <w:color w:val="1F2937"/>
          <w:sz w:val="22"/>
          <w:szCs w:val="22"/>
        </w:rPr>
        <w:t xml:space="preserve">Tu verras comment conduire (ou comprendre) un entretien clinique psychiatrique : posture, écoute active, observation, construction de l'alliance thérapeutique — et comment l'examen de l'état mental s'y articule en pratique.</w:t>
      </w:r>
    </w:p>
    <w:p>
      <w:pPr>
        <w:spacing w:after="100"/>
      </w:pPr>
      <w:r>
        <w:t xml:space="preserve"/>
      </w:r>
    </w:p>
    <w:p>
      <w:pPr>
        <w:spacing w:after="100"/>
      </w:pPr>
      <w:r>
        <w:rPr>
          <w:rFonts w:ascii="Times New Roman" w:cs="Times New Roman" w:eastAsia="Times New Roman" w:hAnsi="Times New Roman"/>
          <w:b w:val="false"/>
          <w:bCs w:val="false"/>
          <w:i/>
          <w:iCs/>
          <w:color w:val="1F2937"/>
          <w:sz w:val="22"/>
          <w:szCs w:val="22"/>
        </w:rPr>
        <w:t xml:space="preserve">La sémiologie de cette leçon sera ton outil de travail tout au long de ce parcours — chaque trouble étudié (leçons 5 à 20) te demandera de mobiliser ces repères.</w:t>
      </w:r>
    </w:p>
    <w:p>
      <w:pPr>
        <w:spacing w:after="100"/>
      </w:pPr>
      <w:r>
        <w:t xml:space="preserve"/>
      </w:r>
    </w:p>
    <w:p>
      <w:pPr>
        <w:spacing w:before="400"/>
        <w:jc w:val="center"/>
      </w:pPr>
      <w:r>
        <w:rPr>
          <w:rFonts w:ascii="Times New Roman" w:cs="Times New Roman" w:eastAsia="Times New Roman" w:hAnsi="Times New Roman"/>
          <w:i/>
          <w:iCs/>
          <w:color w:val="9CA3AF"/>
          <w:sz w:val="18"/>
          <w:szCs w:val="18"/>
        </w:rPr>
        <w:t xml:space="preserve">Parcours Psychopathologie clinique · Leçon 3/20 · 29 juin 2026 · Usage personnel — non diagnostique</w:t>
      </w:r>
    </w:p>
    <w:p>
      <w:pPr>
        <w:pBdr>
          <w:bottom w:val="single" w:color="1B3A6B" w:sz="6"/>
        </w:pBdr>
        <w:spacing w:after="120" w:before="360"/>
      </w:pPr>
      <w:r>
        <w:rPr>
          <w:rFonts w:ascii="Times New Roman" w:cs="Times New Roman" w:eastAsia="Times New Roman" w:hAnsi="Times New Roman"/>
          <w:b/>
          <w:bCs/>
          <w:color w:val="1B3A6B"/>
          <w:sz w:val="30"/>
          <w:szCs w:val="30"/>
        </w:rPr>
        <w:t xml:space="preserve">📝 Journal des corrections — 6 septembre 2026</w:t>
      </w:r>
    </w:p>
    <w:p>
      <w:pPr>
        <w:spacing w:after="80"/>
      </w:pPr>
      <w:r>
        <w:rPr>
          <w:rFonts w:ascii="Times New Roman" w:cs="Times New Roman" w:eastAsia="Times New Roman" w:hAnsi="Times New Roman"/>
          <w:b/>
          <w:bCs/>
          <w:i/>
          <w:iCs/>
          <w:color w:val="1F2937"/>
          <w:sz w:val="22"/>
          <w:szCs w:val="22"/>
        </w:rPr>
        <w:t xml:space="preserve">Leçon produite le 29/06/2026, relue le 06/09/2026. C’est la leçon la mieux sourcée des quatre premières du parcours : les SEPT URL répondent 200, et le PDF de l’AESP — Association pour l’Enseignement de la Sémiologie Psychiatrique — est la meilleure source de tout ce début de parcours. Quatre corrections.</w:t>
      </w:r>
    </w:p>
    <w:p>
      <w:pPr>
        <w:spacing w:after="80"/>
      </w:pPr>
      <w:r>
        <w:rPr>
          <w:rFonts w:ascii="Times New Roman" w:cs="Times New Roman" w:eastAsia="Times New Roman" w:hAnsi="Times New Roman"/>
          <w:color w:val="1F2937"/>
          <w:sz w:val="22"/>
          <w:szCs w:val="22"/>
        </w:rPr>
        <w:t xml:space="preserve">① Le corrigé de la vignette A contredisait la théorie de sa propre leçon. Version d’origine : « Psychomotricité : probable ralentissement psychomoteur (bradypsychie). » La section 3, quelques pages plus haut, définit : « Bradypsychie : ralentissement de la pensée. » Une étiquette qui désigne le cours de la pensée avait été appliquée à un domaine moteur. Le terme est retiré du corrigé.</w:t>
      </w:r>
    </w:p>
    <w:p>
      <w:pPr>
        <w:spacing w:after="80"/>
      </w:pPr>
      <w:r>
        <w:rPr>
          <w:rFonts w:ascii="Times New Roman" w:cs="Times New Roman" w:eastAsia="Times New Roman" w:hAnsi="Times New Roman"/>
          <w:color w:val="1F2937"/>
          <w:sz w:val="22"/>
          <w:szCs w:val="22"/>
        </w:rPr>
        <w:t xml:space="preserve">② Deux corrigés inventaient des domaines absents de la grille. La vignette A comportait une ligne « Vigilance / sommeil », la vignette B une ligne « Fonctions instinctuelles » — ni l’une ni l’autre ne figure parmi les NEUF domaines du tableau de la section 2, qui est l’outil central de la leçon. Les deux lignes ont été replacées dans des domaines existants. À signaler également, et non corrigé faute de pouvoir deviner l’intention : la consigne de la vignette A demande à l’apprenant de remplir cinq domaines — Présentation, Langage, Humeur/Affect, Volonté/Comportement, Cognition — mais le corrigé n’en traite ni Volonté/Comportement ni Cognition. L’apprenant reste sans réponse sur deux des cinq lignes qu’on lui a demandé de remplir.</w:t>
      </w:r>
    </w:p>
    <w:p>
      <w:pPr>
        <w:spacing w:after="80"/>
      </w:pPr>
      <w:r>
        <w:rPr>
          <w:rFonts w:ascii="Times New Roman" w:cs="Times New Roman" w:eastAsia="Times New Roman" w:hAnsi="Times New Roman"/>
          <w:color w:val="1F2937"/>
          <w:sz w:val="22"/>
          <w:szCs w:val="22"/>
        </w:rPr>
        <w:t xml:space="preserve">③ Une citation sans auteur. « La sémiologie, c’est apprendre à regarder sans interpréter trop vite. Observer avant d’expliquer. » Cette phrase figurait entre guillemets, sans aucune attribution, et elle est introuvable dans les sept ressources de la leçon. Des guillemets sans auteur laissent croire à un emprunt savant là où il n’y a qu’une formule de synthèse. Guillemets retirés, formule conservée.</w:t>
      </w:r>
    </w:p>
    <w:p>
      <w:pPr>
        <w:spacing w:after="80"/>
      </w:pPr>
      <w:r>
        <w:rPr>
          <w:rFonts w:ascii="Times New Roman" w:cs="Times New Roman" w:eastAsia="Times New Roman" w:hAnsi="Times New Roman"/>
          <w:color w:val="1F2937"/>
          <w:sz w:val="22"/>
          <w:szCs w:val="22"/>
        </w:rPr>
        <w:t xml:space="preserve">④ L’acronyme ASEPTIC était amputé de deux composantes. La source — la page Wikipédia anglaise « Mental status examination », vérifiée le 06/09/2026 — écrit « A - Appearance/Behavior » et « I - Insight and Judgement ». La leçon donnait « A — Appearance » et « I — Insight », en présentant l’acronyme comme une check-list complète. Le comportement et le jugement, deux domaines majeurs, disparaissaient ainsi de la grille mnémotechnique. Rétablis.</w:t>
      </w:r>
    </w:p>
    <w:p>
      <w:pPr>
        <w:spacing w:after="80"/>
      </w:pPr>
      <w:r>
        <w:rPr>
          <w:rFonts w:ascii="Times New Roman" w:cs="Times New Roman" w:eastAsia="Times New Roman" w:hAnsi="Times New Roman"/>
          <w:color w:val="1F2937"/>
          <w:sz w:val="22"/>
          <w:szCs w:val="22"/>
        </w:rPr>
        <w:t xml:space="preserve">Vérifié lors de la relecture et inchangé : les sept URL, toutes en 200 ; la distinction signe / symptôme / syndrome ; les NEUF domaines du tableau de la section 2, comptés et conformes à ce qu’annonce le titre ; les définitions de la section 3 — euthymie, hyperthymie, dysthymie, labilité, tachypsychie, bradypsychie, idée délirante, obsession, hallucination, illusion, déréalisation, dépersonnalisation ; la distinction humeur / affect, qui est le point le plus utile de la leçon ; et les corrigés des vignettes B et C, conformes à la théorie exposée. La vignette C, en particulier, est bien traitée : elle nomme la catatonie, rappelle qu’elle survient dans des troubles très différents, et conclut à une évaluation médicale urgente.</w:t>
      </w:r>
    </w:p>
    <w:p>
      <w:pPr>
        <w:spacing w:after="80"/>
      </w:pPr>
      <w:r>
        <w:rPr>
          <w:rFonts w:ascii="Times New Roman" w:cs="Times New Roman" w:eastAsia="Times New Roman" w:hAnsi="Times New Roman"/>
          <w:color w:val="1F2937"/>
          <w:sz w:val="22"/>
          <w:szCs w:val="22"/>
        </w:rPr>
        <w:t xml:space="preserve">Reste un point signalé et non corrigé : parmi les sept sources figure techno-science.net, un glossaire généraliste sans garantie institutionnelle. Il n’étaye aucune affirmation précise de la leçon, mais il n’a pas sa place dans une liste de références sur la sémiologie psychiatrique quand l’AESP y figure déjà.</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l48lyjd2n4mu9bl0kzv9" Type="http://schemas.openxmlformats.org/officeDocument/2006/relationships/hyperlink" Target="https://fr.wikipedia.org/wiki/S%C3%A9miologie_psychiatrique" TargetMode="External"/><Relationship Id="rId9wx2jobf3mhyfokm7szqj" Type="http://schemas.openxmlformats.org/officeDocument/2006/relationships/hyperlink" Target="https://www.ncbi.nlm.nih.gov/books/NBK546682/" TargetMode="External"/><Relationship Id="rIdqffzjwfnohr3uo3pvgjtg" Type="http://schemas.openxmlformats.org/officeDocument/2006/relationships/hyperlink" Target="https://en.wikipedia.org/wiki/Mental_status_examination" TargetMode="External"/><Relationship Id="rIdwt0bsz_gkz-3o7q7ch1vl" Type="http://schemas.openxmlformats.org/officeDocument/2006/relationships/hyperlink" Target="https://psychscenehub.com/psychinsights/ten-point-guide-to-mental-state-examination-mse-in-psychiatry/" TargetMode="External"/><Relationship Id="rIdqlx0c4cfhzyxbbqgslgjq" Type="http://schemas.openxmlformats.org/officeDocument/2006/relationships/hyperlink" Target="https://www.ncbi.nlm.nih.gov/books/NBK320/" TargetMode="External"/><Relationship Id="rIdvnp3ri6gd_yoj59nmokgn" Type="http://schemas.openxmlformats.org/officeDocument/2006/relationships/hyperlink" Target="https://www.techno-science.net/glossaire-definition/Semiologie-psychiatrique.html" TargetMode="External"/><Relationship Id="rIdxcsf5vtiougefn2lanxtc" Type="http://schemas.openxmlformats.org/officeDocument/2006/relationships/hyperlink" Target="https://www.asso-aesp.fr/wp-content/uploads/2014/04/semiologie-AESP1.pdf"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Leçon Psychopathologie clinique n°03 — Sémiologie psychiatrique</dc:title>
  <dc:creator>Claude Code — Job psychopathologie-lecon</dc:creator>
  <dc:description>Parcours d'apprentissage progressif — Psychopathologie clinique</dc:description>
  <cp:lastModifiedBy>Un-named</cp:lastModifiedBy>
  <cp:revision>1</cp:revision>
  <dcterms:created xsi:type="dcterms:W3CDTF">2026-06-29T06:07:12.033Z</dcterms:created>
  <dcterms:modified xsi:type="dcterms:W3CDTF">2026-06-29T06:07:12.161Z</dcterms:modified>
</cp:coreProperties>
</file>

<file path=docProps/custom.xml><?xml version="1.0" encoding="utf-8"?>
<Properties xmlns="http://schemas.openxmlformats.org/officeDocument/2006/custom-properties" xmlns:vt="http://schemas.openxmlformats.org/officeDocument/2006/docPropsVTypes"/>
</file>