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00"/>
        <w:jc w:val="center"/>
      </w:pPr>
      <w:r>
        <w:rPr>
          <w:rFonts w:ascii="Times New Roman" w:cs="Times New Roman" w:eastAsia="Times New Roman" w:hAnsi="Times New Roman"/>
          <w:b/>
          <w:bCs/>
          <w:color w:val="1B3A6B"/>
          <w:sz w:val="52"/>
          <w:szCs w:val="52"/>
        </w:rPr>
        <w:t xml:space="preserve">Leçon Psychopathologie clinique n°04</w:t>
      </w:r>
    </w:p>
    <w:p>
      <w:pPr>
        <w:spacing w:after="100" w:before="0"/>
        <w:jc w:val="center"/>
      </w:pPr>
      <w:r>
        <w:rPr>
          <w:rFonts w:ascii="Times New Roman" w:cs="Times New Roman" w:eastAsia="Times New Roman" w:hAnsi="Times New Roman"/>
          <w:b/>
          <w:bCs/>
          <w:color w:val="1B3A6B"/>
          <w:sz w:val="36"/>
          <w:szCs w:val="36"/>
        </w:rPr>
        <w:t xml:space="preserve">L'entretien clinique et l'examen de l'état mental</w:t>
      </w:r>
    </w:p>
    <w:p>
      <w:pPr>
        <w:spacing w:after="60" w:before="60"/>
        <w:jc w:val="center"/>
      </w:pPr>
      <w:r>
        <w:rPr>
          <w:rFonts w:ascii="Times New Roman" w:cs="Times New Roman" w:eastAsia="Times New Roman" w:hAnsi="Times New Roman"/>
          <w:i/>
          <w:iCs/>
          <w:color w:val="1F2937"/>
          <w:sz w:val="18"/>
          <w:szCs w:val="18"/>
        </w:rPr>
        <w:t xml:space="preserve">Date : 6 juillet 2026  ·  Module Fondamental — Leçon 04 / 20  ·  Parcours Psychopathologie clinique</w:t>
      </w:r>
    </w:p>
    <w:p>
      <w:pPr>
        <w:shd w:fill="FFF4E5" w:color="auto" w:val="clear"/>
        <w:spacing w:after="80" w:before="80"/>
        <w:ind w:left="288" w:right="288"/>
      </w:pPr>
      <w:r>
        <w:rPr>
          <w:rFonts w:ascii="Times New Roman" w:cs="Times New Roman" w:eastAsia="Times New Roman" w:hAnsi="Times New Roman"/>
          <w:i/>
          <w:iCs/>
          <w:color w:val="92400E"/>
          <w:sz w:val="20"/>
          <w:szCs w:val="20"/>
        </w:rPr>
        <w:t xml:space="preserve">⚠️ Corrigé le 06/09/2026 — cette leçon annonçait un parcours de 16 leçons (« 4/16 »). Le parcours a été étendu de 16 à 20 leçons entre le 10 et le 14 août 2026 : les leçons 01 à 09 portaient encore l’ancien total, les leçons 10 et suivantes le nouveau. Seul le dénominateur a été repris ici ; le contenu de cette leçon n’a pas été relu à cette occasion.</w:t>
      </w:r>
    </w:p>
    <w:p>
      <w:pPr>
        <w:spacing w:after="120" w:before="120"/>
      </w:pPr>
      <w:r>
        <w:rPr>
          <w:rFonts w:ascii="Times New Roman" w:cs="Times New Roman" w:eastAsia="Times New Roman" w:hAnsi="Times New Roman"/>
          <w:color w:val="CCCCCC"/>
          <w:sz w:val="20"/>
          <w:szCs w:val="20"/>
        </w:rPr>
        <w:t xml:space="preserve">─────────────────────────────────────────────────────</w:t>
      </w:r>
    </w:p>
    <w:p>
      <w:pPr>
        <w:pStyle w:val="Heading2"/>
        <w:spacing w:after="140" w:before="32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À l'issue de cette leçon, tu sauras conduire mentalement un examen de l'état mental structuré, identifier ses domaines, distinguer humeur et affect, et comprendre en quoi l'alliance thérapeutique conditionne la qualité des informations recueillies.</w:t>
      </w:r>
    </w:p>
    <w:p>
      <w:pPr>
        <w:spacing w:after="80" w:before="80"/>
      </w:pPr>
      <w:r>
        <w:rPr>
          <w:rFonts w:ascii="Times New Roman" w:cs="Times New Roman" w:eastAsia="Times New Roman" w:hAnsi="Times New Roman"/>
          <w:color w:val="1F2937"/>
          <w:sz w:val="22"/>
          <w:szCs w:val="22"/>
        </w:rPr>
        <w:t xml:space="preserve"/>
      </w:r>
    </w:p>
    <w:p>
      <w:pPr>
        <w:spacing w:after="80" w:before="80"/>
        <w:ind w:left="440"/>
      </w:pPr>
      <w:r>
        <w:rPr>
          <w:rFonts w:ascii="Times New Roman" w:cs="Times New Roman" w:eastAsia="Times New Roman" w:hAnsi="Times New Roman"/>
          <w:i/>
          <w:iCs/>
          <w:color w:val="1B3A6B"/>
          <w:sz w:val="22"/>
          <w:szCs w:val="22"/>
        </w:rPr>
        <w:t xml:space="preserve">Continuité : la leçon 03 t'a appris à nommer les signes (sémiologie). Cette leçon t'apprend maintenant à les RECUEILLIR méthodiquement, dans le cadre structuré de l'entretien clinique — le passage de la reconnaissance à l'évaluation.</w:t>
      </w:r>
    </w:p>
    <w:p>
      <w:pPr>
        <w:spacing w:after="120" w:before="120"/>
      </w:pPr>
      <w:r>
        <w:rPr>
          <w:rFonts w:ascii="Times New Roman" w:cs="Times New Roman" w:eastAsia="Times New Roman" w:hAnsi="Times New Roman"/>
          <w:color w:val="CCCCCC"/>
          <w:sz w:val="20"/>
          <w:szCs w:val="20"/>
        </w:rPr>
        <w:t xml:space="preserve">─────────────────────────────────────────────────────</w:t>
      </w:r>
    </w:p>
    <w:p>
      <w:pPr>
        <w:pStyle w:val="Heading2"/>
        <w:spacing w:after="140" w:before="320"/>
      </w:pPr>
      <w:r>
        <w:rPr>
          <w:rFonts w:ascii="Times New Roman" w:cs="Times New Roman" w:eastAsia="Times New Roman" w:hAnsi="Times New Roman"/>
          <w:b/>
          <w:bCs/>
          <w:color w:val="1B3A6B"/>
          <w:sz w:val="30"/>
          <w:szCs w:val="30"/>
        </w:rPr>
        <w:t xml:space="preserve">🔬 Théorie — 20%</w:t>
      </w:r>
    </w:p>
    <w:p>
      <w:pPr>
        <w:pStyle w:val="Heading3"/>
        <w:spacing w:after="100" w:before="200"/>
      </w:pPr>
      <w:r>
        <w:rPr>
          <w:rFonts w:ascii="Times New Roman" w:cs="Times New Roman" w:eastAsia="Times New Roman" w:hAnsi="Times New Roman"/>
          <w:b/>
          <w:bCs/>
          <w:color w:val="1F2937"/>
          <w:sz w:val="26"/>
          <w:szCs w:val="26"/>
        </w:rPr>
        <w:t xml:space="preserve">1. Qu'est-ce que l'entretien clinique ?</w:t>
      </w:r>
    </w:p>
    <w:p>
      <w:pPr>
        <w:spacing w:after="80" w:before="80"/>
      </w:pPr>
      <w:r>
        <w:rPr>
          <w:rFonts w:ascii="Times New Roman" w:cs="Times New Roman" w:eastAsia="Times New Roman" w:hAnsi="Times New Roman"/>
          <w:color w:val="1F2937"/>
          <w:sz w:val="22"/>
          <w:szCs w:val="22"/>
        </w:rPr>
        <w:t xml:space="preserve">L'entretien clinique est la rencontre structurée entre un clinicien et un patient, visant à recueillir des informations sur la souffrance psychique, les antécédents, le contexte de vie et le fonctionnement actuel. C'est à la fois un outil de recueil (anamnèse, histoire de la maladie) et un espace de soin (alliance, contenance).</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b/>
          <w:bCs/>
          <w:color w:val="1F2937"/>
          <w:sz w:val="22"/>
          <w:szCs w:val="22"/>
        </w:rPr>
        <w:t xml:space="preserve">Structure classique de l'entretien psychiatrique initial (Merck Manual / DSM-5)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Motif de consultation et histoire de la maladie actuelle (symptômes, déclencheurs, évolution)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Antécédents psychiatriques personnels (épisodes passés, hospitalisations, traitements)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Antécédents médicaux et traitements en cours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Antécédents familiaux psychiatriques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Histoire personnelle et développementale (scolarité, relations, travail, sexualité)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Évaluation du risque suicidaire et hétéro-agressif</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Consommations de substances (alcool, tabac, drogues, médicaments)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Examen de l'état mental (MSE) — cf. section suivante</w:t>
      </w:r>
    </w:p>
    <w:p>
      <w:pPr>
        <w:spacing w:after="80" w:before="80"/>
      </w:pPr>
      <w:r>
        <w:rPr>
          <w:rFonts w:ascii="Times New Roman" w:cs="Times New Roman" w:eastAsia="Times New Roman" w:hAnsi="Times New Roman"/>
          <w:color w:val="1F2937"/>
          <w:sz w:val="22"/>
          <w:szCs w:val="22"/>
        </w:rPr>
        <w:t xml:space="preserve"/>
      </w:r>
    </w:p>
    <w:p>
      <w:pPr>
        <w:spacing w:after="80" w:before="80"/>
        <w:ind w:left="440"/>
      </w:pPr>
      <w:r>
        <w:rPr>
          <w:rFonts w:ascii="Times New Roman" w:cs="Times New Roman" w:eastAsia="Times New Roman" w:hAnsi="Times New Roman"/>
          <w:i/>
          <w:iCs/>
          <w:color w:val="1B3A6B"/>
          <w:sz w:val="22"/>
          <w:szCs w:val="22"/>
        </w:rPr>
        <w:t xml:space="preserve">StatPearls écrit, à propos de l’examen de l’état mental et non de l’entretien : « The mental status examination was historically the psychiatrist’s version of the physical examination. » ⚠️ Corrigé le 06/09/2026. La leçon présentait entre guillemets, EN FRANÇAIS et attribuée à StatPearls, la phrase : « L’entretien psychiatrique est à la psychiatrie ce que l’examen physique est à la médecine somatique : il fournit les données objectives à partir desquelles le clinicien raisonne. » Trois écarts : StatPearls est une source anglophone et n’écrit pas en français ; la comparaison y porte sur le MSE, pas sur l’entretien ; et la seconde moitié de la phrase — « il fournit les données objectives… » — ne figure nulle part sur la page. La citation authentique la remplace, avec son objet exact.</w:t>
      </w:r>
    </w:p>
    <w:p>
      <w:pPr>
        <w:spacing w:after="80" w:before="80"/>
      </w:pPr>
      <w:r>
        <w:rPr>
          <w:rFonts w:ascii="Times New Roman" w:cs="Times New Roman" w:eastAsia="Times New Roman" w:hAnsi="Times New Roman"/>
          <w:color w:val="1F2937"/>
          <w:sz w:val="22"/>
          <w:szCs w:val="22"/>
        </w:rPr>
        <w:t xml:space="preserve"/>
      </w:r>
    </w:p>
    <w:p>
      <w:pPr>
        <w:pStyle w:val="Heading3"/>
        <w:spacing w:after="100" w:before="200"/>
      </w:pPr>
      <w:r>
        <w:rPr>
          <w:rFonts w:ascii="Times New Roman" w:cs="Times New Roman" w:eastAsia="Times New Roman" w:hAnsi="Times New Roman"/>
          <w:b/>
          <w:bCs/>
          <w:color w:val="1F2937"/>
          <w:sz w:val="26"/>
          <w:szCs w:val="26"/>
        </w:rPr>
        <w:t xml:space="preserve">2. L'alliance thérapeutique : condition sine qua non</w:t>
      </w:r>
    </w:p>
    <w:p>
      <w:pPr>
        <w:spacing w:after="80" w:before="80"/>
      </w:pPr>
      <w:r>
        <w:rPr>
          <w:rFonts w:ascii="Times New Roman" w:cs="Times New Roman" w:eastAsia="Times New Roman" w:hAnsi="Times New Roman"/>
          <w:color w:val="1F2937"/>
          <w:sz w:val="22"/>
          <w:szCs w:val="22"/>
        </w:rPr>
        <w:t xml:space="preserve">L'alliance thérapeutique désigne la qualité du lien de collaboration entre le clinicien et le patient. Elle repose sur trois dimensions (modèle de Bordin, 1979)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L'accord sur les objectifs :</w:t>
      </w:r>
      <w:r>
        <w:rPr>
          <w:rFonts w:ascii="Times New Roman" w:cs="Times New Roman" w:eastAsia="Times New Roman" w:hAnsi="Times New Roman"/>
          <w:color w:val="1F2937"/>
          <w:sz w:val="22"/>
          <w:szCs w:val="22"/>
        </w:rPr>
        <w:t xml:space="preserve"> patient et clinicien partagent la même compréhension de ce que l'on cherche à accomplir.</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L'accord sur les tâches :</w:t>
      </w:r>
      <w:r>
        <w:rPr>
          <w:rFonts w:ascii="Times New Roman" w:cs="Times New Roman" w:eastAsia="Times New Roman" w:hAnsi="Times New Roman"/>
          <w:color w:val="1F2937"/>
          <w:sz w:val="22"/>
          <w:szCs w:val="22"/>
        </w:rPr>
        <w:t xml:space="preserve"> les activités et méthodes de l'entretien sont acceptées mutuellement.</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Le lien :</w:t>
      </w:r>
      <w:r>
        <w:rPr>
          <w:rFonts w:ascii="Times New Roman" w:cs="Times New Roman" w:eastAsia="Times New Roman" w:hAnsi="Times New Roman"/>
          <w:color w:val="1F2937"/>
          <w:sz w:val="22"/>
          <w:szCs w:val="22"/>
        </w:rPr>
        <w:t xml:space="preserve"> qualité de la relation humaine, confiance, respect, chaleur.</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L'alliance se construit dès les premières minutes : posture ouverte, écoute active, reflets empathiques, validation de l'expérience du patient. Elle est prédictive de la qualité des informations obtenues et des résultats thérapeutiques (méta-analyses multiples).</w:t>
      </w:r>
    </w:p>
    <w:p>
      <w:pPr>
        <w:spacing w:after="80" w:before="80"/>
      </w:pPr>
      <w:r>
        <w:rPr>
          <w:rFonts w:ascii="Times New Roman" w:cs="Times New Roman" w:eastAsia="Times New Roman" w:hAnsi="Times New Roman"/>
          <w:color w:val="1F2937"/>
          <w:sz w:val="22"/>
          <w:szCs w:val="22"/>
        </w:rPr>
        <w:t xml:space="preserve"/>
      </w:r>
    </w:p>
    <w:p>
      <w:pPr>
        <w:pStyle w:val="Heading3"/>
        <w:spacing w:after="100" w:before="200"/>
      </w:pPr>
      <w:r>
        <w:rPr>
          <w:rFonts w:ascii="Times New Roman" w:cs="Times New Roman" w:eastAsia="Times New Roman" w:hAnsi="Times New Roman"/>
          <w:b/>
          <w:bCs/>
          <w:color w:val="1F2937"/>
          <w:sz w:val="26"/>
          <w:szCs w:val="26"/>
        </w:rPr>
        <w:t xml:space="preserve">3. L'examen de l'état mental (MSE — Mental Status Examination)</w:t>
      </w:r>
    </w:p>
    <w:p>
      <w:pPr>
        <w:spacing w:after="80" w:before="80"/>
      </w:pPr>
      <w:r>
        <w:rPr>
          <w:rFonts w:ascii="Times New Roman" w:cs="Times New Roman" w:eastAsia="Times New Roman" w:hAnsi="Times New Roman"/>
          <w:color w:val="1F2937"/>
          <w:sz w:val="22"/>
          <w:szCs w:val="22"/>
        </w:rPr>
        <w:t xml:space="preserve">Le MSE est l'évaluation systématique et observationnelle du fonctionnement psychique au moment de la rencontre. Il ne repose pas uniquement sur le récit du patient mais surtout sur l'observation directe du clinicien. Il couvre ONZE domaines dans le tableau ci-dessous. ⚠️ Corrigé le 06/09/2026 : la leçon annonçait « 12 domaines » à trois endroits, alors que son tableau en compte onze — je les ai comptés. Le chiffre 12 est exact POUR LA SOURCE : StatPearls énumère « appearance, behavior, motor activity, speech, mood, affect, thought process, thought content, perceptual disturbances, cognition, insight, and judgment », soit douze, en séparant le comportement et l’activité motrice. La leçon les a fusionnés en une seule ligne, « Comportement &amp; attitude », sans ajuster le chiffre. Un nombre juste pour la source devient faux dès qu’on modifie ce qu’il compte.</w:t>
      </w:r>
    </w:p>
    <w:p>
      <w:pPr>
        <w:spacing w:after="80" w:before="80"/>
      </w:pPr>
      <w:r>
        <w:rPr>
          <w:rFonts w:ascii="Times New Roman" w:cs="Times New Roman" w:eastAsia="Times New Roman" w:hAnsi="Times New Roman"/>
          <w:color w:val="1F293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1B3A6B" w:val="clear"/>
          </w:tcPr>
          <w:p>
            <w:pPr>
              <w:spacing w:after="60" w:before="60"/>
            </w:pPr>
            <w:r>
              <w:rPr>
                <w:rFonts w:ascii="Times New Roman" w:cs="Times New Roman" w:eastAsia="Times New Roman" w:hAnsi="Times New Roman"/>
                <w:b/>
                <w:bCs/>
                <w:color w:val="FFFFFF"/>
                <w:sz w:val="18"/>
                <w:szCs w:val="18"/>
              </w:rPr>
              <w:t xml:space="preserve">Domaine</w:t>
            </w:r>
          </w:p>
        </w:tc>
        <w:tc>
          <w:tcPr>
            <w:tcW w:type="pct" w:w="45%"/>
            <w:shd w:fill="1B3A6B" w:val="clear"/>
          </w:tcPr>
          <w:p>
            <w:pPr>
              <w:spacing w:after="60" w:before="60"/>
            </w:pPr>
            <w:r>
              <w:rPr>
                <w:rFonts w:ascii="Times New Roman" w:cs="Times New Roman" w:eastAsia="Times New Roman" w:hAnsi="Times New Roman"/>
                <w:b/>
                <w:bCs/>
                <w:color w:val="FFFFFF"/>
                <w:sz w:val="18"/>
                <w:szCs w:val="18"/>
              </w:rPr>
              <w:t xml:space="preserve">Ce qu'on observe</w:t>
            </w:r>
          </w:p>
        </w:tc>
        <w:tc>
          <w:tcPr>
            <w:tcW w:type="pct" w:w="35%"/>
            <w:shd w:fill="1B3A6B" w:val="clear"/>
          </w:tcPr>
          <w:p>
            <w:pPr>
              <w:spacing w:after="60" w:before="60"/>
            </w:pPr>
            <w:r>
              <w:rPr>
                <w:rFonts w:ascii="Times New Roman" w:cs="Times New Roman" w:eastAsia="Times New Roman" w:hAnsi="Times New Roman"/>
                <w:b/>
                <w:bCs/>
                <w:color w:val="FFFFFF"/>
                <w:sz w:val="18"/>
                <w:szCs w:val="18"/>
              </w:rPr>
              <w:t xml:space="preserve">Termes clés</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Apparence &amp; tenue</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Hygiène, habillement, signes de négligence, expressions faciales</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Soigné / négligé / bizarre</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Comportement &amp; attitude</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Coopération, agitation, lenteur psychomotrice, tics, contact visuel</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Agité / ralenti / coopérant</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Discours / langage</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Débit, volume, rythme, spontanéité, cohérence articulatoire</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Logorrhéique / mutique / dysarthrique</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Humeur (mood)</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Ce que le patient exprime verbalement de son état émotionnel (citation directe)</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Déprimé / anxieux / euphorique</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Affect</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Ce que le clinicien observe : expression émotionnelle, adéquation humeur/discours</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Émoussé / inadapté / labile</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Cours de la pensée</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Organisation : linéaire, circonstancielle, tangentielle, fuite des idées, coq-à-l'âne</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Circonstanciel / tangentiel / incohérent</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Contenu de la pensée</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Idées suicidaires/homicidaires, délires, obsessions, phobies, préoccupations</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Idées délirantes / TOC / idées noires</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Perceptions</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Hallucinations (auditives, visuelles, tactiles…), illusions, déréalisation/dépersonnalisation</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Hallucination / illusion / déréalisation</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Cognition</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Vigilance, orientation T/L/P, attention, mémoire immédiate et différée, abstraction</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Orienté / désorienté / confus</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Insight (conscience du trouble)</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Reconnaissance de la maladie, adhésion au soin, capacité à re-labelliser les vécus</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Insight présent / partiel / absent</w:t>
            </w:r>
          </w:p>
        </w:tc>
      </w:tr>
      <w:tr>
        <w:tc>
          <w:tcPr>
            <w:tcW w:type="pct" w:w="20%"/>
            <w:shd w:fill="FFFFFF" w:val="clear"/>
          </w:tcPr>
          <w:p>
            <w:pPr>
              <w:spacing w:after="60" w:before="60"/>
            </w:pPr>
            <w:r>
              <w:rPr>
                <w:rFonts w:ascii="Times New Roman" w:cs="Times New Roman" w:eastAsia="Times New Roman" w:hAnsi="Times New Roman"/>
                <w:b w:val="false"/>
                <w:bCs w:val="false"/>
                <w:color w:val="1F2937"/>
                <w:sz w:val="18"/>
                <w:szCs w:val="18"/>
              </w:rPr>
              <w:t xml:space="preserve">Jugement</w:t>
            </w:r>
          </w:p>
        </w:tc>
        <w:tc>
          <w:tcPr>
            <w:tcW w:type="pct" w:w="45%"/>
            <w:shd w:fill="EEF2F7" w:val="clear"/>
          </w:tcPr>
          <w:p>
            <w:pPr>
              <w:spacing w:after="60" w:before="60"/>
            </w:pPr>
            <w:r>
              <w:rPr>
                <w:rFonts w:ascii="Times New Roman" w:cs="Times New Roman" w:eastAsia="Times New Roman" w:hAnsi="Times New Roman"/>
                <w:b w:val="false"/>
                <w:bCs w:val="false"/>
                <w:color w:val="1F2937"/>
                <w:sz w:val="18"/>
                <w:szCs w:val="18"/>
              </w:rPr>
              <w:t xml:space="preserve">Capacité décisionnelle, raisonnement, évaluation des conséquences de ses actes</w:t>
            </w:r>
          </w:p>
        </w:tc>
        <w:tc>
          <w:tcPr>
            <w:tcW w:type="pct" w:w="35%"/>
            <w:shd w:fill="FFFFFF" w:val="clear"/>
          </w:tcPr>
          <w:p>
            <w:pPr>
              <w:spacing w:after="60" w:before="60"/>
            </w:pPr>
            <w:r>
              <w:rPr>
                <w:rFonts w:ascii="Times New Roman" w:cs="Times New Roman" w:eastAsia="Times New Roman" w:hAnsi="Times New Roman"/>
                <w:b w:val="false"/>
                <w:bCs w:val="false"/>
                <w:color w:val="1F2937"/>
                <w:sz w:val="18"/>
                <w:szCs w:val="18"/>
              </w:rPr>
              <w:t xml:space="preserve">Préservé / altéré</w:t>
            </w:r>
          </w:p>
        </w:tc>
      </w:tr>
    </w:tbl>
    <w:p>
      <w:pPr>
        <w:spacing w:after="80" w:before="80"/>
      </w:pPr>
      <w:r>
        <w:rPr>
          <w:rFonts w:ascii="Times New Roman" w:cs="Times New Roman" w:eastAsia="Times New Roman" w:hAnsi="Times New Roman"/>
          <w:color w:val="1F2937"/>
          <w:sz w:val="22"/>
          <w:szCs w:val="22"/>
        </w:rPr>
        <w:t xml:space="preserve"/>
      </w:r>
    </w:p>
    <w:p>
      <w:pPr>
        <w:shd w:fill="F3F4F6" w:val="clear"/>
        <w:spacing w:after="140" w:before="140"/>
        <w:ind w:left="440" w:right="440"/>
      </w:pPr>
      <w:r>
        <w:rPr>
          <w:rFonts w:ascii="Times New Roman" w:cs="Times New Roman" w:eastAsia="Times New Roman" w:hAnsi="Times New Roman"/>
          <w:i/>
          <w:iCs/>
          <w:color w:val="1B3A6B"/>
          <w:sz w:val="22"/>
          <w:szCs w:val="22"/>
        </w:rPr>
        <w:t xml:space="preserve">Note déontologique : le MSE est un outil clinique réservé aux professionnels de santé (médecins psychiatres, psychologues cliniciens). En tant que cadre éducatif, l'objectif est de COMPRENDRE ce langage clinique pour mieux échanger avec l'équipe soignante et mieux observer le comportement des personnes accompagnées — en aucun cas de poser un diagnostic.</w:t>
      </w:r>
    </w:p>
    <w:p>
      <w:pPr>
        <w:spacing w:after="80" w:before="80"/>
      </w:pPr>
      <w:r>
        <w:rPr>
          <w:rFonts w:ascii="Times New Roman" w:cs="Times New Roman" w:eastAsia="Times New Roman" w:hAnsi="Times New Roman"/>
          <w:color w:val="1F2937"/>
          <w:sz w:val="22"/>
          <w:szCs w:val="22"/>
        </w:rPr>
        <w:t xml:space="preserve"/>
      </w:r>
    </w:p>
    <w:p>
      <w:pPr>
        <w:pStyle w:val="Heading3"/>
        <w:spacing w:after="100" w:before="200"/>
      </w:pPr>
      <w:r>
        <w:rPr>
          <w:rFonts w:ascii="Times New Roman" w:cs="Times New Roman" w:eastAsia="Times New Roman" w:hAnsi="Times New Roman"/>
          <w:b/>
          <w:bCs/>
          <w:color w:val="1F2937"/>
          <w:sz w:val="26"/>
          <w:szCs w:val="26"/>
        </w:rPr>
        <w:t xml:space="preserve">4. Cadres de référence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CIM-11 (OMS, 2022) :</w:t>
      </w:r>
      <w:r>
        <w:rPr>
          <w:rFonts w:ascii="Times New Roman" w:cs="Times New Roman" w:eastAsia="Times New Roman" w:hAnsi="Times New Roman"/>
          <w:color w:val="1F2937"/>
          <w:sz w:val="22"/>
          <w:szCs w:val="22"/>
        </w:rPr>
        <w:t xml:space="preserve"> la classification internationale des maladies. L'entretien vise à collecter les données nécessaires au codage nosologique.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DSM-5-TR (APA, 2022) :</w:t>
      </w:r>
      <w:r>
        <w:rPr>
          <w:rFonts w:ascii="Times New Roman" w:cs="Times New Roman" w:eastAsia="Times New Roman" w:hAnsi="Times New Roman"/>
          <w:color w:val="1F2937"/>
          <w:sz w:val="22"/>
          <w:szCs w:val="22"/>
        </w:rPr>
        <w:t xml:space="preserve"> le manuel américain diagnostique. Il propose des critères opérationnels précis (nombre de symptômes, durée, retentissement fonctionnel).</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Modèle phénoménologique :</w:t>
      </w:r>
      <w:r>
        <w:rPr>
          <w:rFonts w:ascii="Times New Roman" w:cs="Times New Roman" w:eastAsia="Times New Roman" w:hAnsi="Times New Roman"/>
          <w:color w:val="1F2937"/>
          <w:sz w:val="22"/>
          <w:szCs w:val="22"/>
        </w:rPr>
        <w:t xml:space="preserve"> accent sur le vécu subjectif (Erlebnis), l'expérience incarnée, la présence du clinicien comme instrument d'observation. Auteurs clés : Jaspers, Minkowski, Binswanger.</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Modèle biopsychosocial :</w:t>
      </w:r>
      <w:r>
        <w:rPr>
          <w:rFonts w:ascii="Times New Roman" w:cs="Times New Roman" w:eastAsia="Times New Roman" w:hAnsi="Times New Roman"/>
          <w:color w:val="1F2937"/>
          <w:sz w:val="22"/>
          <w:szCs w:val="22"/>
        </w:rPr>
        <w:t xml:space="preserve"> intègre facteurs biologiques, psychologiques et sociaux dans l'évaluation.</w:t>
      </w:r>
    </w:p>
    <w:p>
      <w:pPr>
        <w:spacing w:after="120" w:before="120"/>
      </w:pPr>
      <w:r>
        <w:rPr>
          <w:rFonts w:ascii="Times New Roman" w:cs="Times New Roman" w:eastAsia="Times New Roman" w:hAnsi="Times New Roman"/>
          <w:color w:val="CCCCCC"/>
          <w:sz w:val="20"/>
          <w:szCs w:val="20"/>
        </w:rPr>
        <w:t xml:space="preserve">─────────────────────────────────────────────────────</w:t>
      </w:r>
    </w:p>
    <w:p>
      <w:pPr>
        <w:pStyle w:val="Heading2"/>
        <w:spacing w:after="140" w:before="320"/>
      </w:pPr>
      <w:r>
        <w:rPr>
          <w:rFonts w:ascii="Times New Roman" w:cs="Times New Roman" w:eastAsia="Times New Roman" w:hAnsi="Times New Roman"/>
          <w:b/>
          <w:bCs/>
          <w:color w:val="1B3A6B"/>
          <w:sz w:val="30"/>
          <w:szCs w:val="30"/>
        </w:rPr>
        <w:t xml:space="preserve">🛠️ Pratique — 80%</w:t>
      </w:r>
    </w:p>
    <w:p>
      <w:pPr>
        <w:pStyle w:val="Heading3"/>
        <w:spacing w:after="100" w:before="200"/>
      </w:pPr>
      <w:r>
        <w:rPr>
          <w:rFonts w:ascii="Times New Roman" w:cs="Times New Roman" w:eastAsia="Times New Roman" w:hAnsi="Times New Roman"/>
          <w:b/>
          <w:bCs/>
          <w:color w:val="1F2937"/>
          <w:sz w:val="26"/>
          <w:szCs w:val="26"/>
        </w:rPr>
        <w:t xml:space="preserve">Exercice 1 — Décodage sémiologique d'une vignette clinique</w:t>
      </w:r>
    </w:p>
    <w:p>
      <w:pPr>
        <w:spacing w:after="80" w:before="80"/>
      </w:pPr>
      <w:r>
        <w:rPr>
          <w:rFonts w:ascii="Times New Roman" w:cs="Times New Roman" w:eastAsia="Times New Roman" w:hAnsi="Times New Roman"/>
          <w:color w:val="1F2937"/>
          <w:sz w:val="22"/>
          <w:szCs w:val="22"/>
        </w:rPr>
        <w:t xml:space="preserve">Lis attentivement cette vignette clinique et identifie les éléments de l'examen de l'état mental pour chaque domaine concerné.</w:t>
      </w:r>
    </w:p>
    <w:p>
      <w:pPr>
        <w:spacing w:after="80" w:before="80"/>
      </w:pPr>
      <w:r>
        <w:rPr>
          <w:rFonts w:ascii="Times New Roman" w:cs="Times New Roman" w:eastAsia="Times New Roman" w:hAnsi="Times New Roman"/>
          <w:color w:val="1F2937"/>
          <w:sz w:val="22"/>
          <w:szCs w:val="22"/>
        </w:rPr>
        <w:t xml:space="preserve"/>
      </w:r>
    </w:p>
    <w:p>
      <w:pPr>
        <w:shd w:fill="F3F4F6" w:val="clear"/>
        <w:spacing w:after="140" w:before="140"/>
        <w:ind w:left="440" w:right="440"/>
      </w:pPr>
      <w:r>
        <w:rPr>
          <w:rFonts w:ascii="Times New Roman" w:cs="Times New Roman" w:eastAsia="Times New Roman" w:hAnsi="Times New Roman"/>
          <w:i/>
          <w:iCs/>
          <w:color w:val="1B3A6B"/>
          <w:sz w:val="22"/>
          <w:szCs w:val="22"/>
        </w:rPr>
        <w:t xml:space="preserve">Ahmed, 34 ans, est amené aux urgences psychiatriques par sa sœur. Il est habillé de plusieurs couches de vêtements malgré la chaleur, les cheveux emmêlés. Il parle très vite, en passant d'un sujet à l'autre sans transition (la météo, un complot gouvernemental, son ex-femme, Dieu). Il dit se sentir « au sommet » et plein d'énergie depuis 5 jours sans dormir. Il affirme entendre la voix de Dieu lui donner des instructions. Interrogé sur son état, il répond : « Je ne suis pas malade, je suis en train d'accomplir une mission. »</w:t>
      </w:r>
    </w:p>
    <w:p>
      <w:pPr>
        <w:spacing w:after="80" w:before="80"/>
      </w:pPr>
      <w:r>
        <w:rPr>
          <w:rFonts w:ascii="Times New Roman" w:cs="Times New Roman" w:eastAsia="Times New Roman" w:hAnsi="Times New Roman"/>
          <w:color w:val="1F2937"/>
          <w:sz w:val="22"/>
          <w:szCs w:val="22"/>
        </w:rPr>
        <w:t xml:space="preserve"/>
      </w:r>
    </w:p>
    <w:p>
      <w:pPr>
        <w:spacing w:after="80" w:before="140"/>
      </w:pPr>
      <w:r>
        <w:rPr>
          <w:rFonts w:ascii="Times New Roman" w:cs="Times New Roman" w:eastAsia="Times New Roman" w:hAnsi="Times New Roman"/>
          <w:b/>
          <w:bCs/>
          <w:color w:val="1B3A6B"/>
          <w:sz w:val="24"/>
          <w:szCs w:val="24"/>
          <w:u w:val="single"/>
        </w:rPr>
        <w:t xml:space="preserve">Travail demandé :</w:t>
      </w:r>
    </w:p>
    <w:p>
      <w:pPr>
        <w:spacing w:after="80" w:before="80"/>
      </w:pPr>
      <w:r>
        <w:rPr>
          <w:rFonts w:ascii="Times New Roman" w:cs="Times New Roman" w:eastAsia="Times New Roman" w:hAnsi="Times New Roman"/>
          <w:color w:val="1F2937"/>
          <w:sz w:val="22"/>
          <w:szCs w:val="22"/>
        </w:rPr>
        <w:t xml:space="preserve">1. Remplis mentalement la grille MSE pour Ahmed (apparence, comportement, discours, humeur, affect, cours de pensée, contenu de pensée, perceptions, cognition, insight, jugement).</w:t>
      </w:r>
    </w:p>
    <w:p>
      <w:pPr>
        <w:spacing w:after="80" w:before="80"/>
      </w:pPr>
      <w:r>
        <w:rPr>
          <w:rFonts w:ascii="Times New Roman" w:cs="Times New Roman" w:eastAsia="Times New Roman" w:hAnsi="Times New Roman"/>
          <w:color w:val="1F2937"/>
          <w:sz w:val="22"/>
          <w:szCs w:val="22"/>
        </w:rPr>
        <w:t xml:space="preserve">2. Identifie 4 signes sémiologiques précis et nomme-les avec le terme technique correct (revoir leçon 03 si nécessaire).</w:t>
      </w:r>
    </w:p>
    <w:p>
      <w:pPr>
        <w:spacing w:after="80" w:before="80"/>
      </w:pPr>
      <w:r>
        <w:rPr>
          <w:rFonts w:ascii="Times New Roman" w:cs="Times New Roman" w:eastAsia="Times New Roman" w:hAnsi="Times New Roman"/>
          <w:color w:val="1F2937"/>
          <w:sz w:val="22"/>
          <w:szCs w:val="22"/>
        </w:rPr>
        <w:t xml:space="preserve">3. Quels domaines du MSE sont les plus altérés ici ? Quel trouble clinique cela évoque-t-il (sans diagnostic posé) ?</w:t>
      </w:r>
    </w:p>
    <w:p>
      <w:pPr>
        <w:spacing w:after="80" w:before="80"/>
      </w:pPr>
      <w:r>
        <w:rPr>
          <w:rFonts w:ascii="Times New Roman" w:cs="Times New Roman" w:eastAsia="Times New Roman" w:hAnsi="Times New Roman"/>
          <w:color w:val="1F2937"/>
          <w:sz w:val="22"/>
          <w:szCs w:val="22"/>
        </w:rPr>
        <w:t xml:space="preserve">4. Quel défi particulier poserait l'établissement d'une alliance thérapeutique avec Ahmed ? Quelles attitudes cliniques seraient contre-productives ?</w:t>
      </w:r>
    </w:p>
    <w:p>
      <w:pPr>
        <w:spacing w:after="80" w:before="80"/>
      </w:pPr>
      <w:r>
        <w:rPr>
          <w:rFonts w:ascii="Times New Roman" w:cs="Times New Roman" w:eastAsia="Times New Roman" w:hAnsi="Times New Roman"/>
          <w:color w:val="1F2937"/>
          <w:sz w:val="22"/>
          <w:szCs w:val="22"/>
        </w:rPr>
        <w:t xml:space="preserve"/>
      </w:r>
    </w:p>
    <w:p>
      <w:pPr>
        <w:spacing w:after="80" w:before="80"/>
        <w:ind w:left="440"/>
      </w:pPr>
      <w:r>
        <w:rPr>
          <w:rFonts w:ascii="Times New Roman" w:cs="Times New Roman" w:eastAsia="Times New Roman" w:hAnsi="Times New Roman"/>
          <w:i/>
          <w:iCs/>
          <w:color w:val="1B3A6B"/>
          <w:sz w:val="22"/>
          <w:szCs w:val="22"/>
        </w:rPr>
        <w:t xml:space="preserve">Corrigé orienté : Apparence = négligée ; Discours = logorrhéique, tachyphémique ; Cours pensée = fuite des idées, tangentiel ; Contenu = idées de grandiosité, mission divine ; Perceptions = hallucinations auditives ; Insight = absent ; Jugement = altéré. Tableau évocateur d’un épisode maniaque avec caractéristiques psychotiques. ⚠️ LE CODE « CIM-11 : 6A60.2 » A ÉTÉ RETIRÉ LE 06/09/2026. Il n’a pas pu être vérifié : icd.who.int répond 200 mais ne délivre que 559 caractères de menus, son contenu étant rendu en JavaScript, et l’API de l’OMS exige un jeton d’authentification. Ce qui est établi par une source lisible : 6A60 désigne le trouble bipolaire de type I, dont les épisodes se déclinent en sous-codes selon la phase et la présence de symptômes psychotiques. Le sous-code exact doit être lu dans la CIM-11 elle-même. NE REPRENDS JAMAIS UN CODE DE CLASSIFICATION DEPUIS CETTE LEÇON dans un écrit professionnel : va le chercher à la source.</w:t>
      </w:r>
    </w:p>
    <w:p>
      <w:pPr>
        <w:spacing w:after="80" w:before="80"/>
      </w:pPr>
      <w:r>
        <w:rPr>
          <w:rFonts w:ascii="Times New Roman" w:cs="Times New Roman" w:eastAsia="Times New Roman" w:hAnsi="Times New Roman"/>
          <w:color w:val="1F2937"/>
          <w:sz w:val="22"/>
          <w:szCs w:val="22"/>
        </w:rPr>
        <w:t xml:space="preserve"/>
      </w:r>
    </w:p>
    <w:p>
      <w:pPr>
        <w:pStyle w:val="Heading3"/>
        <w:spacing w:after="100" w:before="200"/>
      </w:pPr>
      <w:r>
        <w:rPr>
          <w:rFonts w:ascii="Times New Roman" w:cs="Times New Roman" w:eastAsia="Times New Roman" w:hAnsi="Times New Roman"/>
          <w:b/>
          <w:bCs/>
          <w:color w:val="1F2937"/>
          <w:sz w:val="26"/>
          <w:szCs w:val="26"/>
        </w:rPr>
        <w:t xml:space="preserve">Exercice 2 — Construction d'une grille d'observation MSE pour l'ESSMS</w:t>
      </w:r>
    </w:p>
    <w:p>
      <w:pPr>
        <w:spacing w:after="80" w:before="80"/>
      </w:pPr>
      <w:r>
        <w:rPr>
          <w:rFonts w:ascii="Times New Roman" w:cs="Times New Roman" w:eastAsia="Times New Roman" w:hAnsi="Times New Roman"/>
          <w:color w:val="1F2937"/>
          <w:sz w:val="22"/>
          <w:szCs w:val="22"/>
        </w:rPr>
        <w:t xml:space="preserve">Tu vas adapter la grille MSE à un contexte non clinique : celui d'un éducateur spécialisé observant un résident au cours d'une activité ou d'un entretien informel.</w:t>
      </w:r>
    </w:p>
    <w:p>
      <w:pPr>
        <w:spacing w:after="80" w:before="80"/>
      </w:pPr>
      <w:r>
        <w:rPr>
          <w:rFonts w:ascii="Times New Roman" w:cs="Times New Roman" w:eastAsia="Times New Roman" w:hAnsi="Times New Roman"/>
          <w:color w:val="1F2937"/>
          <w:sz w:val="22"/>
          <w:szCs w:val="22"/>
        </w:rPr>
        <w:t xml:space="preserve"/>
      </w:r>
    </w:p>
    <w:p>
      <w:pPr>
        <w:spacing w:after="80" w:before="140"/>
      </w:pPr>
      <w:r>
        <w:rPr>
          <w:rFonts w:ascii="Times New Roman" w:cs="Times New Roman" w:eastAsia="Times New Roman" w:hAnsi="Times New Roman"/>
          <w:b/>
          <w:bCs/>
          <w:color w:val="1B3A6B"/>
          <w:sz w:val="24"/>
          <w:szCs w:val="24"/>
          <w:u w:val="single"/>
        </w:rPr>
        <w:t xml:space="preserve">Travail demandé :</w:t>
      </w:r>
    </w:p>
    <w:p>
      <w:pPr>
        <w:spacing w:after="80" w:before="80"/>
      </w:pPr>
      <w:r>
        <w:rPr>
          <w:rFonts w:ascii="Times New Roman" w:cs="Times New Roman" w:eastAsia="Times New Roman" w:hAnsi="Times New Roman"/>
          <w:color w:val="1F2937"/>
          <w:sz w:val="22"/>
          <w:szCs w:val="22"/>
        </w:rPr>
        <w:t xml:space="preserve">1. Prends les onze domaines du tableau ci-dessus (voir la correction du 06/09/2026 sur le décompte). Pour chacun, formule en 1 phrase ce qu'un éducateur (non clinicien) peut observer légitimement dans son contexte, sans prétention diagnostique.</w:t>
      </w:r>
    </w:p>
    <w:p>
      <w:pPr>
        <w:spacing w:after="80" w:before="80"/>
      </w:pPr>
      <w:r>
        <w:rPr>
          <w:rFonts w:ascii="Times New Roman" w:cs="Times New Roman" w:eastAsia="Times New Roman" w:hAnsi="Times New Roman"/>
          <w:color w:val="1F2937"/>
          <w:sz w:val="22"/>
          <w:szCs w:val="22"/>
        </w:rPr>
        <w:t xml:space="preserve">2. Identifie les 4 domaines qui te semblent les plus facilement observables par un professionnel du médico-social, et les 3 domaines qui nécessitent impérativement un regard clinique.</w:t>
      </w:r>
    </w:p>
    <w:p>
      <w:pPr>
        <w:spacing w:after="80" w:before="80"/>
      </w:pPr>
      <w:r>
        <w:rPr>
          <w:rFonts w:ascii="Times New Roman" w:cs="Times New Roman" w:eastAsia="Times New Roman" w:hAnsi="Times New Roman"/>
          <w:color w:val="1F2937"/>
          <w:sz w:val="22"/>
          <w:szCs w:val="22"/>
        </w:rPr>
        <w:t xml:space="preserve">3. Rédige une note d'observation de 5-7 lignes pour un résident fictif, en utilisant le vocabulaire observationnel (comportemental, factuel) — sans interprétation diagnostique. Exemple de formulation correcte : « Ce matin, M. X a tenu des propos décousus, passant rapidement de sa famille à des personnes inconnues, sans lien apparent. » vs incorrecte : « M. X présente une fuite des idées. »</w:t>
      </w:r>
    </w:p>
    <w:p>
      <w:pPr>
        <w:spacing w:after="80" w:before="80"/>
      </w:pPr>
      <w:r>
        <w:rPr>
          <w:rFonts w:ascii="Times New Roman" w:cs="Times New Roman" w:eastAsia="Times New Roman" w:hAnsi="Times New Roman"/>
          <w:color w:val="1F2937"/>
          <w:sz w:val="22"/>
          <w:szCs w:val="22"/>
        </w:rPr>
        <w:t xml:space="preserve"/>
      </w:r>
    </w:p>
    <w:p>
      <w:pPr>
        <w:spacing w:after="80" w:before="80"/>
        <w:ind w:left="440"/>
      </w:pPr>
      <w:r>
        <w:rPr>
          <w:rFonts w:ascii="Times New Roman" w:cs="Times New Roman" w:eastAsia="Times New Roman" w:hAnsi="Times New Roman"/>
          <w:i/>
          <w:iCs/>
          <w:color w:val="1B3A6B"/>
          <w:sz w:val="22"/>
          <w:szCs w:val="22"/>
        </w:rPr>
        <w:t xml:space="preserve">Objectif : te construire un registre de langage observable / clinique. Le premier appartient à l'éducateur, le second au clinicien.</w:t>
      </w:r>
    </w:p>
    <w:p>
      <w:pPr>
        <w:spacing w:after="80" w:before="80"/>
      </w:pPr>
      <w:r>
        <w:rPr>
          <w:rFonts w:ascii="Times New Roman" w:cs="Times New Roman" w:eastAsia="Times New Roman" w:hAnsi="Times New Roman"/>
          <w:color w:val="1F2937"/>
          <w:sz w:val="22"/>
          <w:szCs w:val="22"/>
        </w:rPr>
        <w:t xml:space="preserve"/>
      </w:r>
    </w:p>
    <w:p>
      <w:pPr>
        <w:pStyle w:val="Heading3"/>
        <w:spacing w:after="100" w:before="200"/>
      </w:pPr>
      <w:r>
        <w:rPr>
          <w:rFonts w:ascii="Times New Roman" w:cs="Times New Roman" w:eastAsia="Times New Roman" w:hAnsi="Times New Roman"/>
          <w:b/>
          <w:bCs/>
          <w:color w:val="1F2937"/>
          <w:sz w:val="26"/>
          <w:szCs w:val="26"/>
        </w:rPr>
        <w:t xml:space="preserve">Exercice 3 — Analyse d'un entretien : facteurs favorisant / entravant l'alliance</w:t>
      </w:r>
    </w:p>
    <w:p>
      <w:pPr>
        <w:spacing w:after="80" w:before="80"/>
      </w:pPr>
      <w:r>
        <w:rPr>
          <w:rFonts w:ascii="Times New Roman" w:cs="Times New Roman" w:eastAsia="Times New Roman" w:hAnsi="Times New Roman"/>
          <w:color w:val="1F2937"/>
          <w:sz w:val="22"/>
          <w:szCs w:val="22"/>
        </w:rPr>
        <w:t xml:space="preserve">Lis ces deux extraits d'entretiens et compare-les selon les critères de l'alliance thérapeutique.</w:t>
      </w:r>
    </w:p>
    <w:p>
      <w:pPr>
        <w:spacing w:after="80" w:before="80"/>
      </w:pPr>
      <w:r>
        <w:rPr>
          <w:rFonts w:ascii="Times New Roman" w:cs="Times New Roman" w:eastAsia="Times New Roman" w:hAnsi="Times New Roman"/>
          <w:color w:val="1F2937"/>
          <w:sz w:val="22"/>
          <w:szCs w:val="22"/>
        </w:rPr>
        <w:t xml:space="preserve"/>
      </w:r>
    </w:p>
    <w:p>
      <w:pPr>
        <w:shd w:fill="F3F4F6" w:val="clear"/>
        <w:spacing w:after="140" w:before="140"/>
        <w:ind w:left="440" w:right="440"/>
      </w:pPr>
      <w:r>
        <w:rPr>
          <w:rFonts w:ascii="Times New Roman" w:cs="Times New Roman" w:eastAsia="Times New Roman" w:hAnsi="Times New Roman"/>
          <w:i/>
          <w:iCs/>
          <w:color w:val="1B3A6B"/>
          <w:sz w:val="22"/>
          <w:szCs w:val="22"/>
        </w:rPr>
        <w:t xml:space="preserve">Extrait A — Clinicien : « Donc, vous dormez combien d'heures ? Vous avez des idées noires ? Avez-vous déjà été hospitalisé ? » [Il note sans lever les yeux.] Patient : « Oui... non... je... » Clinicien : « Bien. Donc pas d'antécédents. Passons aux traitements. »</w:t>
      </w:r>
    </w:p>
    <w:p>
      <w:pPr>
        <w:spacing w:after="80" w:before="80"/>
      </w:pPr>
      <w:r>
        <w:rPr>
          <w:rFonts w:ascii="Times New Roman" w:cs="Times New Roman" w:eastAsia="Times New Roman" w:hAnsi="Times New Roman"/>
          <w:color w:val="1F2937"/>
          <w:sz w:val="22"/>
          <w:szCs w:val="22"/>
        </w:rPr>
        <w:t xml:space="preserve"/>
      </w:r>
    </w:p>
    <w:p>
      <w:pPr>
        <w:shd w:fill="F3F4F6" w:val="clear"/>
        <w:spacing w:after="140" w:before="140"/>
        <w:ind w:left="440" w:right="440"/>
      </w:pPr>
      <w:r>
        <w:rPr>
          <w:rFonts w:ascii="Times New Roman" w:cs="Times New Roman" w:eastAsia="Times New Roman" w:hAnsi="Times New Roman"/>
          <w:i/>
          <w:iCs/>
          <w:color w:val="1B3A6B"/>
          <w:sz w:val="22"/>
          <w:szCs w:val="22"/>
        </w:rPr>
        <w:t xml:space="preserve">Extrait B — Clinicien : [Pose son stylo, regarde le patient.] « Avant qu'on aborde votre parcours, j'aimerais comprendre ce qui vous a amené ici aujourd'hui — dans vos mots, à votre rythme. » Patient : « C'est difficile à expliquer... » Clinicien : « Prenez le temps qu'il vous faut. »</w:t>
      </w:r>
    </w:p>
    <w:p>
      <w:pPr>
        <w:spacing w:after="80" w:before="80"/>
      </w:pPr>
      <w:r>
        <w:rPr>
          <w:rFonts w:ascii="Times New Roman" w:cs="Times New Roman" w:eastAsia="Times New Roman" w:hAnsi="Times New Roman"/>
          <w:color w:val="1F2937"/>
          <w:sz w:val="22"/>
          <w:szCs w:val="22"/>
        </w:rPr>
        <w:t xml:space="preserve"/>
      </w:r>
    </w:p>
    <w:p>
      <w:pPr>
        <w:spacing w:after="80" w:before="140"/>
      </w:pPr>
      <w:r>
        <w:rPr>
          <w:rFonts w:ascii="Times New Roman" w:cs="Times New Roman" w:eastAsia="Times New Roman" w:hAnsi="Times New Roman"/>
          <w:b/>
          <w:bCs/>
          <w:color w:val="1B3A6B"/>
          <w:sz w:val="24"/>
          <w:szCs w:val="24"/>
          <w:u w:val="single"/>
        </w:rPr>
        <w:t xml:space="preserve">Travail demandé :</w:t>
      </w:r>
    </w:p>
    <w:p>
      <w:pPr>
        <w:spacing w:after="80" w:before="80"/>
      </w:pPr>
      <w:r>
        <w:rPr>
          <w:rFonts w:ascii="Times New Roman" w:cs="Times New Roman" w:eastAsia="Times New Roman" w:hAnsi="Times New Roman"/>
          <w:color w:val="1F2937"/>
          <w:sz w:val="22"/>
          <w:szCs w:val="22"/>
        </w:rPr>
        <w:t xml:space="preserve">1. Identifie dans chaque extrait les comportements verbaux et non verbaux qui favorisent ou entravent l'alliance thérapeutique.</w:t>
      </w:r>
    </w:p>
    <w:p>
      <w:pPr>
        <w:spacing w:after="80" w:before="80"/>
      </w:pPr>
      <w:r>
        <w:rPr>
          <w:rFonts w:ascii="Times New Roman" w:cs="Times New Roman" w:eastAsia="Times New Roman" w:hAnsi="Times New Roman"/>
          <w:color w:val="1F2937"/>
          <w:sz w:val="22"/>
          <w:szCs w:val="22"/>
        </w:rPr>
        <w:t xml:space="preserve">2. Applique les 3 dimensions de Bordin (accord objectifs / accord tâches / lien) à chaque extrait : lesquelles sont présentes ou absentes ?</w:t>
      </w:r>
    </w:p>
    <w:p>
      <w:pPr>
        <w:spacing w:after="80" w:before="80"/>
      </w:pPr>
      <w:r>
        <w:rPr>
          <w:rFonts w:ascii="Times New Roman" w:cs="Times New Roman" w:eastAsia="Times New Roman" w:hAnsi="Times New Roman"/>
          <w:color w:val="1F2937"/>
          <w:sz w:val="22"/>
          <w:szCs w:val="22"/>
        </w:rPr>
        <w:t xml:space="preserve">3. Transpose : dans ton propre contexte professionnel (entretien individuel avec un résident, réunion de famille, échange avec un collègue), quels comportements de l'Extrait A as-tu pu observer (ou produire) ? Que changerais-tu ?</w:t>
      </w:r>
    </w:p>
    <w:p>
      <w:pPr>
        <w:spacing w:after="80" w:before="80"/>
      </w:pPr>
      <w:r>
        <w:rPr>
          <w:rFonts w:ascii="Times New Roman" w:cs="Times New Roman" w:eastAsia="Times New Roman" w:hAnsi="Times New Roman"/>
          <w:color w:val="1F2937"/>
          <w:sz w:val="22"/>
          <w:szCs w:val="22"/>
        </w:rPr>
        <w:t xml:space="preserve">4. Rédige une courte charte personnelle (5 principes) d'alliance dans ta pratique de chef de service.</w:t>
      </w:r>
    </w:p>
    <w:p>
      <w:pPr>
        <w:spacing w:after="120" w:before="120"/>
      </w:pPr>
      <w:r>
        <w:rPr>
          <w:rFonts w:ascii="Times New Roman" w:cs="Times New Roman" w:eastAsia="Times New Roman" w:hAnsi="Times New Roman"/>
          <w:color w:val="CCCCCC"/>
          <w:sz w:val="20"/>
          <w:szCs w:val="20"/>
        </w:rPr>
        <w:t xml:space="preserve">─────────────────────────────────────────────────────</w:t>
      </w:r>
    </w:p>
    <w:p>
      <w:pPr>
        <w:pStyle w:val="Heading2"/>
        <w:spacing w:after="140" w:before="320"/>
      </w:pPr>
      <w:r>
        <w:rPr>
          <w:rFonts w:ascii="Times New Roman" w:cs="Times New Roman" w:eastAsia="Times New Roman" w:hAnsi="Times New Roman"/>
          <w:b/>
          <w:bCs/>
          <w:color w:val="1B3A6B"/>
          <w:sz w:val="30"/>
          <w:szCs w:val="30"/>
        </w:rPr>
        <w:t xml:space="preserve">🎯 Challenge — Synthèse intégrative</w:t>
      </w:r>
    </w:p>
    <w:p>
      <w:pPr>
        <w:spacing w:after="80" w:before="80"/>
      </w:pPr>
      <w:r>
        <w:rPr>
          <w:rFonts w:ascii="Times New Roman" w:cs="Times New Roman" w:eastAsia="Times New Roman" w:hAnsi="Times New Roman"/>
          <w:color w:val="1F2937"/>
          <w:sz w:val="22"/>
          <w:szCs w:val="22"/>
        </w:rPr>
        <w:t xml:space="preserve">Ce challenge mobilise les acquis des leçons 01, 02, 03 et 04.</w:t>
      </w:r>
    </w:p>
    <w:p>
      <w:pPr>
        <w:spacing w:after="80" w:before="80"/>
      </w:pPr>
      <w:r>
        <w:rPr>
          <w:rFonts w:ascii="Times New Roman" w:cs="Times New Roman" w:eastAsia="Times New Roman" w:hAnsi="Times New Roman"/>
          <w:color w:val="1F2937"/>
          <w:sz w:val="22"/>
          <w:szCs w:val="22"/>
        </w:rPr>
        <w:t xml:space="preserve"/>
      </w:r>
    </w:p>
    <w:p>
      <w:pPr>
        <w:shd w:fill="F3F4F6" w:val="clear"/>
        <w:spacing w:after="140" w:before="140"/>
        <w:ind w:left="440" w:right="440"/>
      </w:pPr>
      <w:r>
        <w:rPr>
          <w:rFonts w:ascii="Times New Roman" w:cs="Times New Roman" w:eastAsia="Times New Roman" w:hAnsi="Times New Roman"/>
          <w:i/>
          <w:iCs/>
          <w:color w:val="1B3A6B"/>
          <w:sz w:val="22"/>
          <w:szCs w:val="22"/>
        </w:rPr>
        <w:t xml:space="preserve">Situation : tu es cadre dans un foyer. Une éducatrice te contacte car un résident, Fabrice, 52 ans, se comporte différemment depuis 10 jours : il refuse de manger, parle très peu, reste prostré dans sa chambre, a déclaré « à quoi bon » lors d'une sortie. Elle ne sait pas comment transmettre l'information à l'équipe soignante.</w:t>
      </w:r>
    </w:p>
    <w:p>
      <w:pPr>
        <w:spacing w:after="80" w:before="80"/>
      </w:pPr>
      <w:r>
        <w:rPr>
          <w:rFonts w:ascii="Times New Roman" w:cs="Times New Roman" w:eastAsia="Times New Roman" w:hAnsi="Times New Roman"/>
          <w:color w:val="1F2937"/>
          <w:sz w:val="22"/>
          <w:szCs w:val="22"/>
        </w:rPr>
        <w:t xml:space="preserve"/>
      </w:r>
    </w:p>
    <w:p>
      <w:pPr>
        <w:spacing w:after="80" w:before="140"/>
      </w:pPr>
      <w:r>
        <w:rPr>
          <w:rFonts w:ascii="Times New Roman" w:cs="Times New Roman" w:eastAsia="Times New Roman" w:hAnsi="Times New Roman"/>
          <w:b/>
          <w:bCs/>
          <w:color w:val="1B3A6B"/>
          <w:sz w:val="24"/>
          <w:szCs w:val="24"/>
          <w:u w:val="single"/>
        </w:rPr>
        <w:t xml:space="preserve">Travail demandé :</w:t>
      </w:r>
    </w:p>
    <w:p>
      <w:pPr>
        <w:spacing w:after="80" w:before="80"/>
      </w:pPr>
      <w:r>
        <w:rPr>
          <w:rFonts w:ascii="Times New Roman" w:cs="Times New Roman" w:eastAsia="Times New Roman" w:hAnsi="Times New Roman"/>
          <w:color w:val="1F2937"/>
          <w:sz w:val="22"/>
          <w:szCs w:val="22"/>
        </w:rPr>
        <w:t xml:space="preserve">1. À partir de ce que tu sais maintenant de la sémiologie (L03) et de l'examen de l'état mental (L04), aide l'éducatrice à structurer son observation : quels éléments noter, comment les formuler factuellement.</w:t>
      </w:r>
    </w:p>
    <w:p>
      <w:pPr>
        <w:spacing w:after="80" w:before="80"/>
      </w:pPr>
      <w:r>
        <w:rPr>
          <w:rFonts w:ascii="Times New Roman" w:cs="Times New Roman" w:eastAsia="Times New Roman" w:hAnsi="Times New Roman"/>
          <w:color w:val="1F2937"/>
          <w:sz w:val="22"/>
          <w:szCs w:val="22"/>
        </w:rPr>
        <w:t xml:space="preserve">2. Rédige une transmission clinique d'une demi-page à l'attention du médecin psychiatre référent, en utilisant le langage observationnel (comportemental, factuel) structuré selon les domaines du MSE pertinents.</w:t>
      </w:r>
    </w:p>
    <w:p>
      <w:pPr>
        <w:spacing w:after="80" w:before="80"/>
      </w:pPr>
      <w:r>
        <w:rPr>
          <w:rFonts w:ascii="Times New Roman" w:cs="Times New Roman" w:eastAsia="Times New Roman" w:hAnsi="Times New Roman"/>
          <w:color w:val="1F2937"/>
          <w:sz w:val="22"/>
          <w:szCs w:val="22"/>
        </w:rPr>
        <w:t xml:space="preserve">3. Quels éléments du modèle normal/pathologique (L02) te permettent d'argumenter l'urgence d'une consultation ? Quels critères (souffrance, durée, retentissement) sont présents ?</w:t>
      </w:r>
    </w:p>
    <w:p>
      <w:pPr>
        <w:spacing w:after="80" w:before="80"/>
      </w:pPr>
      <w:r>
        <w:rPr>
          <w:rFonts w:ascii="Times New Roman" w:cs="Times New Roman" w:eastAsia="Times New Roman" w:hAnsi="Times New Roman"/>
          <w:color w:val="1F2937"/>
          <w:sz w:val="22"/>
          <w:szCs w:val="22"/>
        </w:rPr>
        <w:t xml:space="preserve">4. Quel risque clinique majeur doit être mentionné explicitement dans la transmission, même si tu ne l'évalues pas toi-même ?</w:t>
      </w:r>
    </w:p>
    <w:p>
      <w:pPr>
        <w:spacing w:after="80" w:before="80"/>
      </w:pPr>
      <w:r>
        <w:rPr>
          <w:rFonts w:ascii="Times New Roman" w:cs="Times New Roman" w:eastAsia="Times New Roman" w:hAnsi="Times New Roman"/>
          <w:color w:val="1F2937"/>
          <w:sz w:val="22"/>
          <w:szCs w:val="22"/>
        </w:rPr>
        <w:t xml:space="preserve">5. Comment l'alliance thérapeutique (L04) entre Fabrice et l'équipe éducative conditionne-t-elle la qualité des informations disponibles pour le clinicien ?</w:t>
      </w:r>
    </w:p>
    <w:p>
      <w:pPr>
        <w:spacing w:after="120" w:before="120"/>
      </w:pPr>
      <w:r>
        <w:rPr>
          <w:rFonts w:ascii="Times New Roman" w:cs="Times New Roman" w:eastAsia="Times New Roman" w:hAnsi="Times New Roman"/>
          <w:color w:val="CCCCCC"/>
          <w:sz w:val="20"/>
          <w:szCs w:val="20"/>
        </w:rPr>
        <w:t xml:space="preserve">─────────────────────────────────────────────────────</w:t>
      </w:r>
    </w:p>
    <w:p>
      <w:pPr>
        <w:pStyle w:val="Heading2"/>
        <w:spacing w:after="140" w:before="320"/>
      </w:pPr>
      <w:r>
        <w:rPr>
          <w:rFonts w:ascii="Times New Roman" w:cs="Times New Roman" w:eastAsia="Times New Roman" w:hAnsi="Times New Roman"/>
          <w:b/>
          <w:bCs/>
          <w:color w:val="1B3A6B"/>
          <w:sz w:val="30"/>
          <w:szCs w:val="30"/>
        </w:rPr>
        <w:t xml:space="preserve">🌉 Pont professionnel (ESSMS)</w:t>
      </w:r>
    </w:p>
    <w:p>
      <w:pPr>
        <w:spacing w:after="80" w:before="80"/>
      </w:pPr>
      <w:r>
        <w:rPr>
          <w:rFonts w:ascii="Times New Roman" w:cs="Times New Roman" w:eastAsia="Times New Roman" w:hAnsi="Times New Roman"/>
          <w:color w:val="1F2937"/>
          <w:sz w:val="22"/>
          <w:szCs w:val="22"/>
        </w:rPr>
        <w:t xml:space="preserve">En foyer d'hébergement, tu ne conduis pas d'entretien clinique — mais tu formes et supervises des équipes qui passent 24h/24 auprès des résidents. Comprendre le MSE te permet 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Former les équipes à une observation structurée et non stigmatisante (note d'observation vs interprétation clinique).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Améliorer les transmissions vers les partenaires soignants (psychiatre, médecin traitant, HAD) — le vocabulaire commun réduit les déperditions d'information.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Identifier plus tôt les signaux de dégradation psychique pour déclencher à temps une orientation.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Intégrer dans le projet personnalisé des objectifs liés à l'alliance : qualité du lien éducatif, continuité de la relation, gestion des ruptures.</w:t>
      </w:r>
    </w:p>
    <w:p>
      <w:pPr>
        <w:spacing w:after="80" w:before="80"/>
      </w:pPr>
      <w:r>
        <w:rPr>
          <w:rFonts w:ascii="Times New Roman" w:cs="Times New Roman" w:eastAsia="Times New Roman" w:hAnsi="Times New Roman"/>
          <w:color w:val="1F2937"/>
          <w:sz w:val="22"/>
          <w:szCs w:val="22"/>
        </w:rPr>
        <w:t xml:space="preserve"/>
      </w:r>
    </w:p>
    <w:p>
      <w:pPr>
        <w:spacing w:after="80" w:before="80"/>
        <w:ind w:left="440"/>
      </w:pPr>
      <w:r>
        <w:rPr>
          <w:rFonts w:ascii="Times New Roman" w:cs="Times New Roman" w:eastAsia="Times New Roman" w:hAnsi="Times New Roman"/>
          <w:i/>
          <w:iCs/>
          <w:color w:val="1B3A6B"/>
          <w:sz w:val="22"/>
          <w:szCs w:val="22"/>
        </w:rPr>
        <w:t xml:space="preserve">L’observation fonctionnelle fine et la communication structurée entre professionnels éducatifs et soignants sont des attendus constants du secteur médico-social. ⚠️ Reformulé le 06/09/2026 : ce passage invoquait « la RBPP “Qualité de vie en ESSMS” et les recommandations sur l’accompagnement des personnes avec TDI » sans donner de titre exact ni de date — un titre approximatif et une référence collective ne tiennent pas devant un évaluateur. La règle qui l’interdit a été ajoutée au parcours le 27/08/2026, soit APRÈS la production de cette leçon : le défaut est réel, il n’enfreignait aucune consigne existante. Si tu veux appuyer ce point sur une recommandation, retrouve-la par son titre exact et sa date sur has-sante.fr avant de la citer.</w:t>
      </w:r>
    </w:p>
    <w:p>
      <w:pPr>
        <w:spacing w:after="120" w:before="120"/>
      </w:pPr>
      <w:r>
        <w:rPr>
          <w:rFonts w:ascii="Times New Roman" w:cs="Times New Roman" w:eastAsia="Times New Roman" w:hAnsi="Times New Roman"/>
          <w:color w:val="CCCCCC"/>
          <w:sz w:val="20"/>
          <w:szCs w:val="20"/>
        </w:rPr>
        <w:t xml:space="preserve">─────────────────────────────────────────────────────</w:t>
      </w:r>
    </w:p>
    <w:p>
      <w:pPr>
        <w:pStyle w:val="Heading2"/>
        <w:spacing w:after="140" w:before="320"/>
      </w:pPr>
      <w:r>
        <w:rPr>
          <w:rFonts w:ascii="Times New Roman" w:cs="Times New Roman" w:eastAsia="Times New Roman" w:hAnsi="Times New Roman"/>
          <w:b/>
          <w:bCs/>
          <w:color w:val="1B3A6B"/>
          <w:sz w:val="30"/>
          <w:szCs w:val="30"/>
        </w:rPr>
        <w:t xml:space="preserve">📚 Ressources cliquables</w:t>
      </w:r>
    </w:p>
    <w:p>
      <w:pPr>
        <w:spacing w:after="80" w:before="80"/>
      </w:pPr>
      <w:r>
        <w:rPr>
          <w:rFonts w:ascii="Times New Roman" w:cs="Times New Roman" w:eastAsia="Times New Roman" w:hAnsi="Times New Roman"/>
          <w:color w:val="1F2937"/>
          <w:sz w:val="22"/>
          <w:szCs w:val="22"/>
        </w:rPr>
        <w:t xml:space="preserve">Sources mobilisées pour cette leçon :</w:t>
      </w:r>
    </w:p>
    <w:p>
      <w:pPr>
        <w:spacing w:after="80" w:before="80"/>
      </w:pPr>
      <w:r>
        <w:rPr>
          <w:rFonts w:ascii="Times New Roman" w:cs="Times New Roman" w:eastAsia="Times New Roman" w:hAnsi="Times New Roman"/>
          <w:color w:val="1F2937"/>
          <w:sz w:val="22"/>
          <w:szCs w:val="22"/>
        </w:rPr>
        <w:t xml:space="preserve"/>
      </w:r>
    </w:p>
    <w:p>
      <w:pPr>
        <w:pStyle w:val="ListParagraph"/>
        <w:numPr>
          <w:ilvl w:val="0"/>
          <w:numId w:val="1"/>
        </w:numPr>
        <w:spacing w:after="60" w:before="60"/>
      </w:pPr>
      <w:hyperlink w:history="1" r:id="rIdtdceordz05jylbbmxv8rn">
        <w:r>
          <w:rPr>
            <w:rFonts w:ascii="Times New Roman" w:cs="Times New Roman" w:eastAsia="Times New Roman" w:hAnsi="Times New Roman"/>
            <w:color w:val="1155CC"/>
            <w:sz w:val="22"/>
            <w:szCs w:val="22"/>
            <w:u w:val="single"/>
          </w:rPr>
          <w:t xml:space="preserve">MSD Manuals (FR) — Bilan psychiatrique initial : anamnèse, examen de l'état mental</w:t>
        </w:r>
      </w:hyperlink>
    </w:p>
    <w:p>
      <w:pPr>
        <w:pStyle w:val="ListParagraph"/>
        <w:numPr>
          <w:ilvl w:val="0"/>
          <w:numId w:val="1"/>
        </w:numPr>
        <w:spacing w:after="60" w:before="60"/>
      </w:pPr>
      <w:hyperlink w:history="1" r:id="rIdenfqk4iajufaykv_eokbr">
        <w:r>
          <w:rPr>
            <w:rFonts w:ascii="Times New Roman" w:cs="Times New Roman" w:eastAsia="Times New Roman" w:hAnsi="Times New Roman"/>
            <w:color w:val="1155CC"/>
            <w:sz w:val="22"/>
            <w:szCs w:val="22"/>
            <w:u w:val="single"/>
          </w:rPr>
          <w:t xml:space="preserve">StatPearls / NCBI — Mental Status Examination : les 12 domaines (EN)</w:t>
        </w:r>
      </w:hyperlink>
    </w:p>
    <w:p>
      <w:pPr>
        <w:pStyle w:val="ListParagraph"/>
        <w:numPr>
          <w:ilvl w:val="0"/>
          <w:numId w:val="1"/>
        </w:numPr>
        <w:spacing w:after="60" w:before="60"/>
      </w:pPr>
      <w:hyperlink w:history="1" r:id="rIdczlrydv4ocv5cdm3ij9jb">
        <w:r>
          <w:rPr>
            <w:rFonts w:ascii="Times New Roman" w:cs="Times New Roman" w:eastAsia="Times New Roman" w:hAnsi="Times New Roman"/>
            <w:color w:val="1155CC"/>
            <w:sz w:val="22"/>
            <w:szCs w:val="22"/>
            <w:u w:val="single"/>
          </w:rPr>
          <w:t xml:space="preserve">Wikipedia — Mental Status Examination : composantes détaillées (EN)</w:t>
        </w:r>
      </w:hyperlink>
    </w:p>
    <w:p>
      <w:pPr>
        <w:pStyle w:val="ListParagraph"/>
        <w:numPr>
          <w:ilvl w:val="0"/>
          <w:numId w:val="1"/>
        </w:numPr>
        <w:spacing w:after="60" w:before="60"/>
      </w:pPr>
      <w:hyperlink w:history="1" r:id="rIdlfidb8vmrp5hxnonz1puh">
        <w:r>
          <w:rPr>
            <w:rFonts w:ascii="Times New Roman" w:cs="Times New Roman" w:eastAsia="Times New Roman" w:hAnsi="Times New Roman"/>
            <w:color w:val="1155CC"/>
            <w:sz w:val="22"/>
            <w:szCs w:val="22"/>
            <w:u w:val="single"/>
          </w:rPr>
          <w:t xml:space="preserve">PsychiatryOnline — Chapter 1: The Psychiatric Interview and MSE (EN)</w:t>
        </w:r>
      </w:hyperlink>
    </w:p>
    <w:p>
      <w:pPr>
        <w:pStyle w:val="ListParagraph"/>
        <w:numPr>
          <w:ilvl w:val="0"/>
          <w:numId w:val="1"/>
        </w:numPr>
        <w:spacing w:after="60" w:before="60"/>
      </w:pPr>
      <w:hyperlink w:history="1" r:id="rIdxqzclgmcbznui2hr71kun">
        <w:r>
          <w:rPr>
            <w:rFonts w:ascii="Times New Roman" w:cs="Times New Roman" w:eastAsia="Times New Roman" w:hAnsi="Times New Roman"/>
            <w:color w:val="1155CC"/>
            <w:sz w:val="22"/>
            <w:szCs w:val="22"/>
            <w:u w:val="single"/>
          </w:rPr>
          <w:t xml:space="preserve">Elsevier / EM-Consulte — Examen clinique de l'adulte en psychiatrie (FR)</w:t>
        </w:r>
      </w:hyperlink>
    </w:p>
    <w:p>
      <w:pPr>
        <w:pStyle w:val="ListParagraph"/>
        <w:numPr>
          <w:ilvl w:val="0"/>
          <w:numId w:val="1"/>
        </w:numPr>
        <w:spacing w:after="60" w:before="60"/>
      </w:pPr>
      <w:hyperlink w:history="1" r:id="rIdecfs8jjsm0y-wv3su4fsq">
        <w:r>
          <w:rPr>
            <w:rFonts w:ascii="Times New Roman" w:cs="Times New Roman" w:eastAsia="Times New Roman" w:hAnsi="Times New Roman"/>
            <w:color w:val="1155CC"/>
            <w:sz w:val="22"/>
            <w:szCs w:val="22"/>
            <w:u w:val="single"/>
          </w:rPr>
          <w:t xml:space="preserve">Psychaanalyse.com — Les bases de l'examen psychiatrique (diaporama 62p, FR)</w:t>
        </w:r>
      </w:hyperlink>
    </w:p>
    <w:p>
      <w:pPr>
        <w:pStyle w:val="ListParagraph"/>
        <w:numPr>
          <w:ilvl w:val="0"/>
          <w:numId w:val="1"/>
        </w:numPr>
        <w:spacing w:after="60" w:before="60"/>
      </w:pPr>
      <w:hyperlink w:history="1" r:id="rId43harbqqon6ni1l6dvl33">
        <w:r>
          <w:rPr>
            <w:rFonts w:ascii="Times New Roman" w:cs="Times New Roman" w:eastAsia="Times New Roman" w:hAnsi="Times New Roman"/>
            <w:color w:val="1155CC"/>
            <w:sz w:val="22"/>
            <w:szCs w:val="22"/>
            <w:u w:val="single"/>
          </w:rPr>
          <w:t xml:space="preserve">Osmind — Comment rédiger un Mental Status Exam : guide et template (EN)</w:t>
        </w:r>
      </w:hyperlink>
    </w:p>
    <w:p>
      <w:pPr>
        <w:pStyle w:val="ListParagraph"/>
        <w:numPr>
          <w:ilvl w:val="0"/>
          <w:numId w:val="1"/>
        </w:numPr>
        <w:spacing w:after="60" w:before="60"/>
      </w:pPr>
      <w:hyperlink w:history="1" r:id="rIdce2bsqugpyhcnsep7ifjg">
        <w:r>
          <w:rPr>
            <w:rFonts w:ascii="Times New Roman" w:cs="Times New Roman" w:eastAsia="Times New Roman" w:hAnsi="Times New Roman"/>
            <w:color w:val="1155CC"/>
            <w:sz w:val="22"/>
            <w:szCs w:val="22"/>
            <w:u w:val="single"/>
          </w:rPr>
          <w:t xml:space="preserve">Behave Health — MSE Guide complet avec exemples (EN)</w:t>
        </w:r>
      </w:hyperlink>
    </w:p>
    <w:p>
      <w:pPr>
        <w:pStyle w:val="ListParagraph"/>
        <w:numPr>
          <w:ilvl w:val="0"/>
          <w:numId w:val="1"/>
        </w:numPr>
        <w:spacing w:after="60" w:before="60"/>
      </w:pPr>
      <w:hyperlink w:history="1" r:id="rIdcim11oms20260911">
        <w:r>
          <w:rPr>
            <w:rFonts w:ascii="Times New Roman" w:cs="Times New Roman" w:eastAsia="Times New Roman" w:hAnsi="Times New Roman"/>
            <w:color w:val="1155CC"/>
            <w:sz w:val="22"/>
            <w:szCs w:val="22"/>
            <w:u w:val="single"/>
          </w:rPr>
          <w:t xml:space="preserve">CIM-11 (OMS) — Classification internationale des maladies, 11ᵉ révision</w:t>
        </w:r>
      </w:hyperlink>
      <w:r>
        <w:rPr>
          <w:rFonts w:ascii="Times New Roman" w:cs="Times New Roman" w:eastAsia="Times New Roman" w:hAnsi="Times New Roman"/>
          <w:color w:val="1F2937"/>
          <w:sz w:val="22"/>
          <w:szCs w:val="22"/>
        </w:rPr>
        <w:t xml:space="preserve"> — la classification elle-même, en français, sur le site de l'OMS. Vérifiée le 11/09/2026 : HTTP 200. ⚠️ La page est une APPLICATION rendue côté navigateur : elle ne sert que 808 caractères de texte au téléchargement direct. Elle donne accès à la classification, elle ne se cite pas comme une page de contenu. AJOUTÉE LE 11/09/2026 : cette classification était nommée dans le corps de la leçon sans aucune adresse.</w:t>
      </w:r>
    </w:p>
    <w:p>
      <w:pPr>
        <w:pStyle w:val="ListParagraph"/>
        <w:numPr>
          <w:ilvl w:val="0"/>
          <w:numId w:val="1"/>
        </w:numPr>
        <w:spacing w:after="60" w:before="60"/>
      </w:pPr>
      <w:hyperlink w:history="1" r:id="rIddsmapa20260911">
        <w:r>
          <w:rPr>
            <w:rFonts w:ascii="Times New Roman" w:cs="Times New Roman" w:eastAsia="Times New Roman" w:hAnsi="Times New Roman"/>
            <w:color w:val="1155CC"/>
            <w:sz w:val="22"/>
            <w:szCs w:val="22"/>
            <w:u w:val="single"/>
          </w:rPr>
          <w:t xml:space="preserve">DSM-5-TR (American Psychiatric Association) — page officielle du manuel</w:t>
        </w:r>
      </w:hyperlink>
      <w:r>
        <w:rPr>
          <w:rFonts w:ascii="Times New Roman" w:cs="Times New Roman" w:eastAsia="Times New Roman" w:hAnsi="Times New Roman"/>
          <w:color w:val="1F2937"/>
          <w:sz w:val="22"/>
          <w:szCs w:val="22"/>
        </w:rPr>
        <w:t xml:space="preserve"> — l'éditeur du DSM, qui décrit le manuel, ses révisions et la différence entre DSM-5 et DSM-5-TR. Vérifiée le 11/09/2026 : HTTP 200, 21 859 caractères utiles, « DSM-5-TR » y figure 19 fois. AJOUTÉE LE 11/09/2026 : cette classification était nommée dans le corps de la leçon sans aucune adresse.</w:t>
      </w:r>
    </w:p>
    <w:p>
      <w:pPr>
        <w:spacing w:after="120" w:before="120"/>
      </w:pPr>
      <w:r>
        <w:rPr>
          <w:rFonts w:ascii="Times New Roman" w:cs="Times New Roman" w:eastAsia="Times New Roman" w:hAnsi="Times New Roman"/>
          <w:color w:val="CCCCCC"/>
          <w:sz w:val="20"/>
          <w:szCs w:val="20"/>
        </w:rPr>
        <w:t xml:space="preserve">─────────────────────────────────────────────────────</w:t>
      </w:r>
    </w:p>
    <w:p>
      <w:pPr>
        <w:pStyle w:val="Heading2"/>
        <w:spacing w:after="140" w:before="32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color w:val="1F2937"/>
          <w:sz w:val="22"/>
          <w:szCs w:val="22"/>
        </w:rPr>
        <w:t xml:space="preserve">Leçon n°05 — Les troubles anxieux : anxiété généralisée, phobies, trouble panique, TOC</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Après avoir appris à recueillir et structurer les signes (L03 + L04), tu exploreras le premier grand groupe nosologique : les troubles anxieux. Tu verras comment différencier l'anxiété normale de l'anxiété pathologique, les profils cliniques de chaque trouble, et les approches non médicamenteuses validées (dont certaines applicables en ESSMS).</w:t>
      </w:r>
    </w:p>
    <w:p>
      <w:pPr>
        <w:spacing w:after="80" w:before="80"/>
      </w:pPr>
      <w:r>
        <w:rPr>
          <w:rFonts w:ascii="Times New Roman" w:cs="Times New Roman" w:eastAsia="Times New Roman" w:hAnsi="Times New Roman"/>
          <w:color w:val="1F2937"/>
          <w:sz w:val="22"/>
          <w:szCs w:val="22"/>
        </w:rPr>
        <w:t xml:space="preserve"/>
      </w:r>
    </w:p>
    <w:p>
      <w:pPr>
        <w:spacing w:after="80" w:before="80"/>
        <w:ind w:left="440"/>
      </w:pPr>
      <w:r>
        <w:rPr>
          <w:rFonts w:ascii="Times New Roman" w:cs="Times New Roman" w:eastAsia="Times New Roman" w:hAnsi="Times New Roman"/>
          <w:i/>
          <w:iCs/>
          <w:color w:val="1B3A6B"/>
          <w:sz w:val="22"/>
          <w:szCs w:val="22"/>
        </w:rPr>
        <w:t xml:space="preserve">Slug prévu : « troubles-anxieux-phobies-panique-toc »</w:t>
      </w:r>
    </w:p>
    <w:p>
      <w:pPr>
        <w:spacing w:after="120" w:before="120"/>
      </w:pPr>
      <w:r>
        <w:rPr>
          <w:rFonts w:ascii="Times New Roman" w:cs="Times New Roman" w:eastAsia="Times New Roman" w:hAnsi="Times New Roman"/>
          <w:color w:val="CCCCCC"/>
          <w:sz w:val="20"/>
          <w:szCs w:val="20"/>
        </w:rPr>
        <w:t xml:space="preserve">─────────────────────────────────────────────────────</w:t>
      </w:r>
    </w:p>
    <w:p>
      <w:pPr>
        <w:spacing w:after="60" w:before="160"/>
        <w:jc w:val="center"/>
      </w:pPr>
      <w:r>
        <w:rPr>
          <w:rFonts w:ascii="Times New Roman" w:cs="Times New Roman" w:eastAsia="Times New Roman" w:hAnsi="Times New Roman"/>
          <w:i/>
          <w:iCs/>
          <w:color w:val="999999"/>
          <w:sz w:val="18"/>
          <w:szCs w:val="18"/>
        </w:rPr>
        <w:t xml:space="preserve">Leçon Psychopathologie clinique n°04 · 6 juillet 2026 · Parcours Fondamental (4/20)</w:t>
      </w:r>
    </w:p>
    <w:p>
      <w:pPr>
        <w:spacing w:after="0" w:before="0"/>
        <w:jc w:val="center"/>
      </w:pPr>
      <w:r>
        <w:rPr>
          <w:rFonts w:ascii="Times New Roman" w:cs="Times New Roman" w:eastAsia="Times New Roman" w:hAnsi="Times New Roman"/>
          <w:i/>
          <w:iCs/>
          <w:color w:val="CC0000"/>
          <w:sz w:val="16"/>
          <w:szCs w:val="16"/>
        </w:rPr>
        <w:t xml:space="preserve">⚠️ Usage personnel — Ces leçons visent à COMPRENDRE, non à diagnostiquer. Le diagnostic psychiatrique est réservé aux médecins psychiatres et psychologues cliniciens.</w:t>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6 septembre 2026</w:t>
      </w:r>
    </w:p>
    <w:p>
      <w:pPr>
        <w:spacing w:after="80"/>
      </w:pPr>
      <w:r>
        <w:rPr>
          <w:rFonts w:ascii="Times New Roman" w:cs="Times New Roman" w:eastAsia="Times New Roman" w:hAnsi="Times New Roman"/>
          <w:b/>
          <w:bCs/>
          <w:i/>
          <w:iCs/>
          <w:color w:val="1F2937"/>
          <w:sz w:val="22"/>
          <w:szCs w:val="22"/>
        </w:rPr>
        <w:t xml:space="preserve">Leçon produite le 06/07/2026, relue le 06/09/2026. Les huit URL ont été testées : cinq délivrent du contenu, psychiatryonline.org répond 403, et deux des sources restantes sont des blogs d’éditeurs de logiciels de santé américains. Cinq corrections.</w:t>
      </w:r>
    </w:p>
    <w:p>
      <w:pPr>
        <w:spacing w:after="80"/>
      </w:pPr>
      <w:r>
        <w:rPr>
          <w:rFonts w:ascii="Times New Roman" w:cs="Times New Roman" w:eastAsia="Times New Roman" w:hAnsi="Times New Roman"/>
          <w:color w:val="1F2937"/>
          <w:sz w:val="22"/>
          <w:szCs w:val="22"/>
        </w:rPr>
        <w:t xml:space="preserve">① « 12 domaines » annoncé trois fois, tableau à onze lignes. Le chiffre est exact POUR LA SOURCE : StatPearls énumère douze catégories en séparant « behavior » et « motor activity ». La leçon les a fusionnés en une ligne unique, « Comportement &amp; attitude », et a gardé le chiffre. L’objectif d’ouverture, la phrase d’introduction du tableau et la consigne de l’exercice 2 l’annonçaient tous les trois. C’est un chiffre juste qui a cessé de compter ce qu’on lui fait compter.</w:t>
      </w:r>
    </w:p>
    <w:p>
      <w:pPr>
        <w:spacing w:after="80"/>
      </w:pPr>
      <w:r>
        <w:rPr>
          <w:rFonts w:ascii="Times New Roman" w:cs="Times New Roman" w:eastAsia="Times New Roman" w:hAnsi="Times New Roman"/>
          <w:color w:val="1F2937"/>
          <w:sz w:val="22"/>
          <w:szCs w:val="22"/>
        </w:rPr>
        <w:t xml:space="preserve">② Neuf domaines dans la leçon 03, douze annoncés ici, onze dans le tableau. La leçon 03 expose « les 9 domaines de l’examen clinique psychiatrique » et cette leçon 04 renvoie explicitement à elle dans son paragraphe de continuité. Deux leçons consécutives sur le même geste clinique donnent trois décomptes différents, et aucune ne signale l’écart. Les deux grilles ne sont pas fausses — elles ne découpent simplement pas le même objet, la 03 suivant une tradition sémiologique francophone et la 04 la liste de StatPearls. C’est ce qu’il aurait fallu écrire.</w:t>
      </w:r>
    </w:p>
    <w:p>
      <w:pPr>
        <w:spacing w:after="80"/>
      </w:pPr>
      <w:r>
        <w:rPr>
          <w:rFonts w:ascii="Times New Roman" w:cs="Times New Roman" w:eastAsia="Times New Roman" w:hAnsi="Times New Roman"/>
          <w:color w:val="1F2937"/>
          <w:sz w:val="22"/>
          <w:szCs w:val="22"/>
        </w:rPr>
        <w:t xml:space="preserve">③ Une citation en français attribuée à une source anglophone, avec glissement d’objet. Version d’origine : « L’entretien psychiatrique est à la psychiatrie ce que l’examen physique est à la médecine somatique : il fournit les données objectives à partir desquelles le clinicien raisonne. — StatPearls, NCBI 2024 ». La page écrit en réalité : « The mental status examination was historically the psychiatrist’s version of the physical examination. » La comparaison porte sur le MSE et non sur l’entretien, et la seconde moitié de la phrase n’existe pas. La citation authentique a remplacé la reformulation.</w:t>
      </w:r>
    </w:p>
    <w:p>
      <w:pPr>
        <w:spacing w:after="80"/>
      </w:pPr>
      <w:r>
        <w:rPr>
          <w:rFonts w:ascii="Times New Roman" w:cs="Times New Roman" w:eastAsia="Times New Roman" w:hAnsi="Times New Roman"/>
          <w:color w:val="1F2937"/>
          <w:sz w:val="22"/>
          <w:szCs w:val="22"/>
        </w:rPr>
        <w:t xml:space="preserve">④ Un code de classification tiré d’une source jamais lisible. Le corrigé de l’exercice 1 donnait « CIM-11 : 6A60.2 » pour un épisode maniaque avec caractéristiques psychotiques. Ce code n’a pas pu être vérifié : icd.who.int répond 200 en ne délivrant que 559 caractères de menus, et l’API de l’OMS exige un jeton. Un code de nomenclature est exactement le type de donnée qu’un cadre recopie dans un écrit sans la revérifier. Il est retiré, et la leçon dit désormais d’aller le chercher à la source.</w:t>
      </w:r>
    </w:p>
    <w:p>
      <w:pPr>
        <w:spacing w:after="80"/>
      </w:pPr>
      <w:r>
        <w:rPr>
          <w:rFonts w:ascii="Times New Roman" w:cs="Times New Roman" w:eastAsia="Times New Roman" w:hAnsi="Times New Roman"/>
          <w:color w:val="1F2937"/>
          <w:sz w:val="22"/>
          <w:szCs w:val="22"/>
        </w:rPr>
        <w:t xml:space="preserve">⑤ Le pont professionnel invoquait la HAS sans la nommer : « la RBPP “Qualité de vie en ESSMS” et les recommandations sur l’accompagnement des personnes avec TDI ». Titre approximatif, aucune date, référence collective. Reformulé sans invoquer d’autorité. À noter : la règle qui l’interdit date du 27/08/2026, postérieure à cette leçon.</w:t>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11 septembre 2026</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Relue le 11/09/2026 par le test d'attribution des pages, passé sur les 135 leçons du dépôt. UNE correction.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① Une nosographie était nommée sans adresse. Cette leçon invoque CIM-11, DSM-5 / DSM-5-TR dans son corps sans qu'aucune adresse ne figure dans ses ressources. Ce sont pourtant les instruments qui fondent ses catégories : un lecteur voulant savoir laquelle des deux classifications dit quoi — et elles divergent, notamment sur les troubles de la personnalité — devait la chercher lui-même. Le défaut est répandu dans le parcours : HUIT leçons sur quinze nommaient au moins une nosographie sans adresse — DSM-5-TR dans cinq, CIM-11 dans trois, CIM-10 dans deux, DSM-5 dans deux.</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À ne pas confondre avec les quatre leçons — 02, 05, 09 et 11 — qui nommaient déjà leur classification dans le LIBELLÉ d'une ressource, à côté du lien : celles-là n'avaient aucun défaut et n'ont pas été touchées. Une première version de ce contrôle les avait signalées à tort, parce qu'elle ne cherchait le nom de la nosographie que dans l'URL — or ni icd.who.int/fr ni l'adresse de l'APA ne contiennent la chaîne cherchée. Le contrôle regarde désormais tout le texte de la section Ressources.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Ce qui a été fait. Les adresses officielles sont ajoutées, testées le 11/09/2026 : icd.who.int/fr pour la CIM-11, icd.who.int/browse10/2019/en pour la CIM-10 (3 612 caractères utiles), psychiatry.org/psychiatrists/practice/dsm pour le DSM (21 859 caractères, où « DSM-5-TR » figure dix-neuf fois). Une réserve écrite plutôt que tue : le navigateur de la CIM-11 est une application rendue côté client, qui ne sert que 808 caractères au téléchargement direct — elle donne accès à la classification, elle ne se cite pas comme une page de contenu.</w:t>
      </w:r>
    </w:p>
    <w:p>
      <w:pPr>
        <w:spacing w:after="80"/>
      </w:pPr>
      <w:r>
        <w:rPr>
          <w:rFonts w:ascii="Times New Roman" w:cs="Times New Roman" w:eastAsia="Times New Roman" w:hAnsi="Times New Roman"/>
          <w:color w:val="1F2937"/>
          <w:sz w:val="22"/>
          <w:szCs w:val="22"/>
        </w:rPr>
        <w:t xml:space="preserve">Vérifié lors de la relecture et inchangé : le modèle de l’alliance thérapeutique de Bordin et ses trois dimensions — accord sur les objectifs, accord sur les tâches, lien —, correctement daté de 1979 ; la structure de l’entretien psychiatrique initial ; le contenu des onze lignes du tableau du MSE, conforme à StatPearls ; la distinction humeur / affect ; la note déontologique qui réserve le MSE aux professionnels de santé ; et l’exercice 3 sur les deux extraits d’entretien, qui est le mieux construit de la leçon. Le second exercice mérite d’être signalé : il demande de traduire chaque domaine en observation légitime pour un éducateur, et donne le bon contre-exemple — « M. X a tenu des propos décousus » plutôt que « M. X présente une fuite des idées ». C’est exactement le geste que ce parcours doit transmettre.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dceordz05jylbbmxv8rn" Type="http://schemas.openxmlformats.org/officeDocument/2006/relationships/hyperlink" Target="https://www.msdmanuals.com/fr/professional/troubles-psychiatriques/prise-en-charge-du-patient-pr%C3%A9sentant-des-troubles-mentaux/bilan-psychiatrique" TargetMode="External"/><Relationship Id="rIdenfqk4iajufaykv_eokbr" Type="http://schemas.openxmlformats.org/officeDocument/2006/relationships/hyperlink" Target="https://www.ncbi.nlm.nih.gov/books/NBK546682/" TargetMode="External"/><Relationship Id="rIdczlrydv4ocv5cdm3ij9jb" Type="http://schemas.openxmlformats.org/officeDocument/2006/relationships/hyperlink" Target="https://en.wikipedia.org/wiki/Mental_status_examination" TargetMode="External"/><Relationship Id="rIdlfidb8vmrp5hxnonz1puh" Type="http://schemas.openxmlformats.org/officeDocument/2006/relationships/hyperlink" Target="https://psychiatryonline.org/doi/10.1176/appi.books.9781615372980.lr01" TargetMode="External"/><Relationship Id="rIdxqzclgmcbznui2hr71kun" Type="http://schemas.openxmlformats.org/officeDocument/2006/relationships/hyperlink" Target="https://www.em-consulte.com/article/1103589/examen-clinique-de-l-adulte-en-psychiatrie" TargetMode="External"/><Relationship Id="rIdecfs8jjsm0y-wv3su4fsq" Type="http://schemas.openxmlformats.org/officeDocument/2006/relationships/hyperlink" Target="https://psychaanalyse.com/pdf/PSYCHIATRIE_LES_BASES_DE_L_EXAMEN_DIAPORAMA_62P.pdf" TargetMode="External"/><Relationship Id="rId43harbqqon6ni1l6dvl33" Type="http://schemas.openxmlformats.org/officeDocument/2006/relationships/hyperlink" Target="https://www.osmind.org/blog/how-to-write-psychiatry-mental-status-exams-mse-template-with-examples" TargetMode="External"/><Relationship Id="rIdce2bsqugpyhcnsep7ifjg" Type="http://schemas.openxmlformats.org/officeDocument/2006/relationships/hyperlink" Target="https://behavehealth.com/blog/mental-status-exam-guide" TargetMode="External"/><Relationship Id="rId15" Type="http://schemas.openxmlformats.org/officeDocument/2006/relationships/fontTable" Target="fontTable.xml"/><Relationship Id="rIdcim11oms20260911" Type="http://schemas.openxmlformats.org/officeDocument/2006/relationships/hyperlink" Target="https://icd.who.int/fr" TargetMode="External"/><Relationship Id="rIddsmapa20260911" Type="http://schemas.openxmlformats.org/officeDocument/2006/relationships/hyperlink" Target="https://www.psychiatry.org/psychiatrists/practice/dsm"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2026-07-06T06:07:39.994Z</dcterms:created>
  <dcterms:modified xsi:type="dcterms:W3CDTF">2026-07-06T06:07:39.996Z</dcterms:modified>
</cp:coreProperties>
</file>

<file path=docProps/custom.xml><?xml version="1.0" encoding="utf-8"?>
<Properties xmlns="http://schemas.openxmlformats.org/officeDocument/2006/custom-properties" xmlns:vt="http://schemas.openxmlformats.org/officeDocument/2006/docPropsVTypes"/>
</file>