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i w:val="false"/>
          <w:iCs w:val="false"/>
          <w:color w:val="1B3A6B"/>
          <w:sz w:val="52"/>
          <w:szCs w:val="52"/>
        </w:rPr>
        <w:t xml:space="preserve">Leçon Psychopathologie clinique n°09</w:t>
      </w:r>
    </w:p>
    <w:p>
      <w:pPr>
        <w:spacing w:after="100" w:before="200"/>
        <w:jc w:val="center"/>
      </w:pPr>
      <w:r>
        <w:rPr>
          <w:rFonts w:ascii="Times New Roman" w:cs="Times New Roman" w:eastAsia="Times New Roman" w:hAnsi="Times New Roman"/>
          <w:b/>
          <w:bCs/>
          <w:i w:val="false"/>
          <w:iCs w:val="false"/>
          <w:color w:val="1B3A6B"/>
          <w:sz w:val="52"/>
          <w:szCs w:val="52"/>
        </w:rPr>
        <w:t xml:space="preserve">Les troubles du neurodéveloppement : TSA, TDAH, TDI</w:t>
      </w:r>
    </w:p>
    <w:p>
      <w:pPr>
        <w:spacing w:after="60" w:before="60"/>
        <w:jc w:val="center"/>
      </w:pPr>
      <w:r>
        <w:rPr>
          <w:rFonts w:ascii="Times New Roman" w:cs="Times New Roman" w:eastAsia="Times New Roman" w:hAnsi="Times New Roman"/>
          <w:b w:val="false"/>
          <w:bCs w:val="false"/>
          <w:i/>
          <w:iCs/>
          <w:color w:val="555555"/>
          <w:sz w:val="20"/>
          <w:szCs w:val="20"/>
        </w:rPr>
        <w:t xml:space="preserve">10 août 2026  •  Module Fondamental — leçon 09 / 20</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la fin de cette leçon, vous saurez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Distinguer les trois principaux troubles du neurodéveloppement : TSA, TDAH, TDI.</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Identifier leurs critères diagnostiques selon la CIM-11 (OMS) et le DSM-5-TR.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Comprendre leurs mécanismes neurobiologiques, leurs comorbidités et leur impact fonctionnel à l'âge adulte.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Repérer les signes dans des vignettes cliniques et adapter l'accompagnement en conséquence.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 la leçon 08 a exploré les troubles de la personnalité — des structures psychiques stables dont les manifestations sont durables et envahissantes. Nous entrons maintenant dans une famille voisine mais distincte : les troubles du neurodéveloppement, dont les origines sont développementales et les signes présents dès l'enfance. Ces deux familles se croisent fréquemment en pratique (TSA + personnalité évitante, TDAH + traits borderline).</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Théorie (20 %) — Comprendre les troubles du neurodéveloppement</w:t>
      </w:r>
    </w:p>
    <w:p>
      <w:pPr>
        <w:spacing w:after="80" w:before="180"/>
      </w:pPr>
      <w:r>
        <w:rPr>
          <w:rFonts w:ascii="Times New Roman" w:cs="Times New Roman" w:eastAsia="Times New Roman" w:hAnsi="Times New Roman"/>
          <w:b/>
          <w:bCs/>
          <w:i w:val="false"/>
          <w:iCs w:val="false"/>
          <w:color w:val="1F2937"/>
          <w:sz w:val="26"/>
          <w:szCs w:val="26"/>
        </w:rPr>
        <w:t xml:space="preserve">1. Définition et cadre général</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troubles du neurodéveloppement forment, selon la littérature de référence, un groupe de conditions comportementales et cognitives complexes liées au développement atypique du cerveau. Ils apparaissent pendant l'enfance ou l'adolescence et persistent généralement à l'âge adulte, avec des profils d'intensité variables selon les individus et les contextes.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DSM-5-TR identifie six catégories principales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 du développement intellectuel (TDI)</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de la communication</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 du spectre de l'autisme (TSA)</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 déficit de l'attention / hyperactivité (TDAH)</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moteurs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des apprentissages spécifiques (dyslexie, dyscalculie…)</w:t>
      </w:r>
    </w:p>
    <w:p>
      <w:pPr>
        <w:spacing w:after="80" w:before="80"/>
      </w:pPr>
      <w:r>
        <w:rPr>
          <w:rFonts w:ascii="Times New Roman" w:cs="Times New Roman" w:eastAsia="Times New Roman" w:hAnsi="Times New Roman"/>
          <w:b w:val="false"/>
          <w:bCs w:val="false"/>
          <w:i w:val="false"/>
          <w:iCs w:val="false"/>
          <w:color w:val="1F2937"/>
          <w:sz w:val="22"/>
          <w:szCs w:val="22"/>
        </w:rPr>
        <w:t xml:space="preserve">Cette leçon se concentre sur les trois premières : TSA, TDAH et TDI — celles que vous rencontrerez le plus fréquemment en contexte médico-social.</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2. Trouble du spectre de l'autisme (TSA)</w:t>
      </w:r>
    </w:p>
    <w:p>
      <w:pPr>
        <w:spacing w:after="80" w:before="80"/>
      </w:pPr>
      <w:r>
        <w:rPr>
          <w:rFonts w:ascii="Times New Roman" w:cs="Times New Roman" w:eastAsia="Times New Roman" w:hAnsi="Times New Roman"/>
          <w:b w:val="false"/>
          <w:bCs w:val="false"/>
          <w:i w:val="false"/>
          <w:iCs w:val="false"/>
          <w:color w:val="1F2937"/>
          <w:sz w:val="22"/>
          <w:szCs w:val="22"/>
        </w:rPr>
        <w:t xml:space="preserve">Psycom décrit le TSA comme un trouble du neurodéveloppement caractérisé par des « difficultés dans les interactions avec les autres et la communication, ainsi que par des centres d'intérêts spécifiques ». Ces particularités apparaissent durant l'enfance et persistent à l'âge adulte.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diagnostic repose sur une dyade (DSM-5-TR / CIM-11)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Domaine 1 — Communication sociale et interaction : déficits dans la réciprocité socio-émotionnelle, dans la communication non verbale (contact visuel, gestes, expressions), dans la construction et le maintien des relations.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Domaine 2 — Comportements répétitifs et intérêts restreints : stéréotypies motrices ou verbales, résistance marquée aux changements, intérêts très focalisés, hyper- ou hyposensibilités sensorielles.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DSM-5-TR utilise une approche dimensionnelle : le niveau de soutien requis varie selon les personnes et les domaines — certains individus nécessitent un accompagnement permanent, d'autres peuvent fonctionner de façon quasi-autonome. La prévalence couramment retenue est d'environ 1 enfant sur 100, avec une tendance croissante liée à l'élargissement des critères diagnostiques et à l'amélioration de la détection. ⚠️ Ce chiffre était attribué à l'OMS ; l'attribution a été retirée le 06/09/2026 car AUCUNE page de l'OMS n'a été ouverte pour cette leçon — la seule ressource OMS citée est le navigateur de la CIM-11, qui répond 200 mais ne délivre pas son contenu hors navigateur. À vérifier sur who.int avant de citer l'OMS comme source.</w:t>
      </w:r>
    </w:p>
    <w:p>
      <w:pPr>
        <w:spacing w:after="80" w:before="80"/>
      </w:pPr>
      <w:r>
        <w:rPr>
          <w:rFonts w:ascii="Times New Roman" w:cs="Times New Roman" w:eastAsia="Times New Roman" w:hAnsi="Times New Roman"/>
          <w:b w:val="false"/>
          <w:bCs w:val="false"/>
          <w:i w:val="false"/>
          <w:iCs w:val="false"/>
          <w:color w:val="1F2937"/>
          <w:sz w:val="22"/>
          <w:szCs w:val="22"/>
        </w:rPr>
        <w:t xml:space="preserve">Étiologie : la littérature scientifique s'accorde sur la forte héritabilité du TSA, sans identifier de cause unique — l'étiologie est multifactorielle (facteurs génétiques multiples, facteurs prénataux).</w:t>
      </w:r>
    </w:p>
    <w:p>
      <w:pPr>
        <w:spacing w:after="80" w:before="80"/>
      </w:pPr>
      <w:r>
        <w:rPr>
          <w:rFonts w:ascii="Times New Roman" w:cs="Times New Roman" w:eastAsia="Times New Roman" w:hAnsi="Times New Roman"/>
          <w:b w:val="false"/>
          <w:bCs w:val="false"/>
          <w:i w:val="false"/>
          <w:iCs w:val="false"/>
          <w:color w:val="1F2937"/>
          <w:sz w:val="22"/>
          <w:szCs w:val="22"/>
        </w:rPr>
        <w:t xml:space="preserve">Comorbidités fréquentes selon Psycom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anxieux : 20 % des personnes TSA (vs 15 % en population générale)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dépressifs : 11 % (vs 8 %)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TDAH associé : 28 % (vs 22 %)</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3. Trouble déficit de l'attention / hyperactivité (TDAH)</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TDAH est un trouble du neurodéveloppement caractérisé, selon la littérature scientifique (Wikipedia), par des symptômes d'inattention, d'hyperactivité, d'impulsivité et de dérégulation émotionnelle. Il se décline en trois présentations cliniques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Présentation à prédominance inattentive : difficultés à maintenir la concentration et à s'organiser.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Présentation à prédominance hyperactive-impulsive : agitation, impulsivité, difficulté à attendre son tour.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Présentation combinée : critères des deux tableaux réunis.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symptômes apparaissent dans l'enfance et persistent à l'âge adulte chez la plupart des personnes concernées. Chez l'adulte, selon Psycom, on observe davantage de procrastination et de déficits des fonctions exécutives, parfois avec une hyperactivité motrice moins visible.</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le plan neurobiologique, la littérature identifie une réduction du volume, de la connectivité fonctionnelle et de l'activation dans les régions cérébrales liées aux fonctions exécutives, ainsi qu'un fonctionnement réduit des systèmes noradrénergique et dopaminergique (synthèse, non citation directe). La composante génétique est substantielle (héritabilité estimée à 70–80 % selon Wikipedia).</w:t>
      </w:r>
    </w:p>
    <w:p>
      <w:pPr>
        <w:spacing w:after="80" w:before="80"/>
      </w:pPr>
      <w:r>
        <w:rPr>
          <w:rFonts w:ascii="Times New Roman" w:cs="Times New Roman" w:eastAsia="Times New Roman" w:hAnsi="Times New Roman"/>
          <w:b w:val="false"/>
          <w:bCs w:val="false"/>
          <w:i w:val="false"/>
          <w:iCs w:val="false"/>
          <w:color w:val="1F2937"/>
          <w:sz w:val="22"/>
          <w:szCs w:val="22"/>
        </w:rPr>
        <w:t xml:space="preserve">Impact fonctionnel à l'âge adulte selon Psycom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Instabilité professionnelle et accidents plus fréquents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du sommeil et risques addictifs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Difficultés relationnelles et problèmes de confiance en soi liés à la stigmatisation</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Comorbidités psychiatriques fréquentes : dépression, anxiété, troubles bipolaires</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4. Trouble du développement intellectuel (TDI)</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TDI est, selon la littérature de référence (Wikipedia), un trouble du neurodéveloppement généralisé caractérisé par une altération significative du fonctionnement intellectuel et adaptatif. Les trois critères diagnostiques (DSM-5 / CIM-11) sont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Fonctionnement intellectuel réduit : QI typiquement inférieur à 70.</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Déficits adaptatifs dans au moins deux domaines : communication, autonomie, compétences sociales, vie pratique.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Apparition développementale : signes présents durant l'enfance ou l'adolescence.</w:t>
      </w:r>
    </w:p>
    <w:p>
      <w:pPr>
        <w:spacing w:after="80" w:before="80"/>
      </w:pPr>
      <w:r>
        <w:rPr>
          <w:rFonts w:ascii="Times New Roman" w:cs="Times New Roman" w:eastAsia="Times New Roman" w:hAnsi="Times New Roman"/>
          <w:b w:val="false"/>
          <w:bCs w:val="false"/>
          <w:i w:val="false"/>
          <w:iCs w:val="false"/>
          <w:color w:val="1F2937"/>
          <w:sz w:val="22"/>
          <w:szCs w:val="22"/>
        </w:rPr>
        <w:t xml:space="preserve">Attention : le fonctionnement adaptatif prend désormais le pas sur le seul QI pour évaluer la sévérité et orienter l'accompagnement.</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Niveaux de sévérité (données Wikipedia)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Niveau</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Proportion</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Caractéristiques générales</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Léger</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85 % des cas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Autonomie partielle possible, soutien sur tâches complexes</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Modéré</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10 % des cas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Soutien substantiel nécessaire dans la plupart des activités</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Sévère / Profond</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3,5 % (sévère) + 1,5 % (profond) = 5 % des cas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Dépendance importante, soutien permanent requis</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Prévalence : 2–3 % de la population générale (données Wikipedia, en. « Intellectual disability », relue le 06/09/2026). L'étiologie est diverse : causes génétiques (syndrome de Down, X fragile), complications périnatales, infections prénatales, causes idiopathiques. ⚠️ La proportion de « 30–50 % » qui figurait ici a été retirée le 06/09/2026 : la source écrit « idiopathic cases account for 30–50 % of THESE cases » juste après avoir parlé des TDI LÉGERS, et la leçon l'avait appliquée à l'ensemble des TDI. L'ambiguïté est dans la source ; elle avait été tranchée sans le dire, dans le sens le plus large.</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5. Comorbidités et chevauchements</w:t>
      </w:r>
    </w:p>
    <w:p>
      <w:pPr>
        <w:spacing w:after="80" w:before="80"/>
      </w:pPr>
      <w:r>
        <w:rPr>
          <w:rFonts w:ascii="Times New Roman" w:cs="Times New Roman" w:eastAsia="Times New Roman" w:hAnsi="Times New Roman"/>
          <w:b w:val="false"/>
          <w:bCs w:val="false"/>
          <w:i w:val="false"/>
          <w:iCs w:val="false"/>
          <w:color w:val="1F2937"/>
          <w:sz w:val="22"/>
          <w:szCs w:val="22"/>
        </w:rPr>
        <w:t xml:space="preserve">Ces trois troubles coexistent fréquemment. Le TSA et le TDAH partagent des déficits des fonctions exécutives ; le TDI peut s'accompagner de TSA ou de TDAH. La pratique clinique exige donc une lecture dimensionnelle et non catégorielle : repérer les profils fonctionnels plutôt que chercher un diagnostic exclusif.</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 Rappel déontologique : la compréhension de ces tableaux cliniques aide les professionnels à mieux observer, accompagner et orienter — le diagnostic reste un acte médical réservé aux médecins psychiatres et aux psychologues cliniciens habilités. Ces connaissances ne remplacent pas une évaluation spécialisée.</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Pratique (80 %) — Trois exercices progressifs</w:t>
      </w:r>
    </w:p>
    <w:p>
      <w:pPr>
        <w:spacing w:after="80" w:before="180"/>
      </w:pPr>
      <w:r>
        <w:rPr>
          <w:rFonts w:ascii="Times New Roman" w:cs="Times New Roman" w:eastAsia="Times New Roman" w:hAnsi="Times New Roman"/>
          <w:b/>
          <w:bCs/>
          <w:i w:val="false"/>
          <w:iCs w:val="false"/>
          <w:color w:val="1F2937"/>
          <w:sz w:val="26"/>
          <w:szCs w:val="26"/>
        </w:rPr>
        <w:t xml:space="preserve">Exercice 1 — Repérer les critères TSA dans une vignette clinique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Prenez le temps de lire la vignette, puis listez pour chaque signe observé à quel domaine de la dyade diagnostique TSA il appartient, avant de regarder le corrigé.</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Samir, 28 ans, est accompagné en foyer d'hébergement depuis 3 ans. Il parle peu aux autres résidents, ne répond pas aux salutations, mais peut développer pendant des heures le fonctionnement des moteurs diesel. Il suit un rituel alimentaire strict : même place, même ordre des plats, mêmes aliments. Le moindre changement de routine provoque une agitation intense. Il a des mouvements répétitifs des mains lorsqu'il est concentré ou stressé. Il évite le contact visuel et semble peu sensible au bruit de fond, mais réagit violemment à certaines fréquences sonores.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Identifiez et nommez les signes appartenant au Domaine 1 (communication sociale).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Identifiez et nommez les signes appartenant au Domaine 2 (comportements répétitifs, intérêts restreints, sensorialité).</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Corrigé — Exercice 1</w:t>
      </w:r>
    </w:p>
    <w:p>
      <w:pPr>
        <w:spacing w:after="80" w:before="80"/>
      </w:pPr>
      <w:r>
        <w:rPr>
          <w:rFonts w:ascii="Times New Roman" w:cs="Times New Roman" w:eastAsia="Times New Roman" w:hAnsi="Times New Roman"/>
          <w:b w:val="false"/>
          <w:bCs w:val="false"/>
          <w:i w:val="false"/>
          <w:iCs w:val="false"/>
          <w:color w:val="1F2937"/>
          <w:sz w:val="22"/>
          <w:szCs w:val="22"/>
        </w:rPr>
        <w:t xml:space="preserve">Domaine 1 — Communication sociale et interaction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Peu de langage à visée sociale (parle peu aux autres) → déficit de la réciprocité socio-émotionnelle.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Absence de réponse aux salutations → déficit de réciprocité sociale, engagement minimal.</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Évitement du contact visuel → communication non verbale atypique.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Absence apparente d'intérêt pour les relations ordinaires.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Domaine 2 — Comportements répétitifs, intérêts restreints, sensorialité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Intérêt très focalisé et intense sur les moteurs diesel → intérêt circonscrit et prégnant.</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Rituel alimentaire immuable (même place, même ordre, mêmes aliments) → besoin de prévisibilité et de routines.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Agitation intense au moindre changement → résistance marquée aux changements.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Mouvements répétitifs des mains lors de concentration ou de stress → stéréotypies motrices (stimming).</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Hyposensibilité au bruit de fond + hypersensibilité à certaines fréquences → profil sensoriel atypique.</w:t>
      </w:r>
    </w:p>
    <w:p>
      <w:r>
        <w:t xml:space="preserve"/>
      </w:r>
    </w:p>
    <w:p>
      <w:pPr>
        <w:spacing w:after="80" w:before="80"/>
      </w:pPr>
      <w:r>
        <w:rPr>
          <w:rFonts w:ascii="Times New Roman" w:cs="Times New Roman" w:eastAsia="Times New Roman" w:hAnsi="Times New Roman"/>
          <w:b w:val="false"/>
          <w:bCs w:val="false"/>
          <w:i/>
          <w:iCs/>
          <w:color w:val="555555"/>
          <w:sz w:val="20"/>
          <w:szCs w:val="20"/>
        </w:rPr>
        <w:t xml:space="preserve">Cohérence avec la théorie : les deux domaines de la dyade sont bien représentés, avec plusieurs signes dans chacun. C'est une observation clinique — non un diagnostic.</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Exercice 2 — Différencier TSA et TDAH (tableau comparatif)</w:t>
      </w:r>
    </w:p>
    <w:p>
      <w:pPr>
        <w:spacing w:after="80" w:before="80"/>
      </w:pPr>
      <w:r>
        <w:rPr>
          <w:rFonts w:ascii="Times New Roman" w:cs="Times New Roman" w:eastAsia="Times New Roman" w:hAnsi="Times New Roman"/>
          <w:b w:val="false"/>
          <w:bCs w:val="false"/>
          <w:i w:val="false"/>
          <w:iCs w:val="false"/>
          <w:color w:val="1F2937"/>
          <w:sz w:val="22"/>
          <w:szCs w:val="22"/>
        </w:rPr>
        <w:t xml:space="preserve">Avant de regarder le tableau, essayez de remplir mentalement chaque cellule à partir de ce que vous avez retenu de la partie théorie. Où les deux troubles se croisent-ils ? En quoi diffèrent-ils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Dimension</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TSA</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TDAH</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Difficulté d'attention</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Sélective : forte concentration sur les intérêts propres, très réduite ailleurs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Généralisée : fluctuante sur l'ensemble des tâches, difficile à soutenir</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Interaction sociale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Déficit de réciprocité, peu d'intérêt spontané pour l'autre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Souvent présente mais maladroite, parfois envahissante ou impulsive</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Comportements répétitifs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Critère diagnostique central (stéréotypies, rituels, résistance au changement)</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Absent comme critère diagnostique</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Sensorialité</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Fréquemment atypique : hypo- ou hypersensibilités sensorielles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Non caractéristique du trouble</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Impulsivité</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Rare comme symptôme central</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Fréquente, trait central (impulsivité motrice et verbale)</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Dérégulation émotionnelle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Présente, souvent liée aux changements ou surcharges sensorielles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Fréquente, liée aux fonctions exécutives</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Origine neurobiologique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Multifactorielle, forte héritabilité</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Dopaminergique/noradrénergique, forte héritabilité (70–80 %)</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Comorbidité croisée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TDAH associé fréquemment (~28 % selon Psycom)</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TSA peut être associé</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Point de vigilance : les deux troubles peuvent coexister. En contexte ESSMS, ne pas conclure à l'absence de l'un parce que l'autre est présent — demander une évaluation pluridisciplinaire si le doute persiste.</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Exercice 3 — Évaluer le niveau de soutien (TDI)</w:t>
      </w:r>
    </w:p>
    <w:p>
      <w:pPr>
        <w:spacing w:after="80" w:before="80"/>
      </w:pPr>
      <w:r>
        <w:rPr>
          <w:rFonts w:ascii="Times New Roman" w:cs="Times New Roman" w:eastAsia="Times New Roman" w:hAnsi="Times New Roman"/>
          <w:b w:val="false"/>
          <w:bCs w:val="false"/>
          <w:i w:val="false"/>
          <w:iCs w:val="false"/>
          <w:color w:val="1F2937"/>
          <w:sz w:val="22"/>
          <w:szCs w:val="22"/>
        </w:rPr>
        <w:t xml:space="preserve">Lisez la vignette, puis répondez aux questions avant de consulter le corrigé.</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Doriane, 35 ans, vit en foyer de vie. Elle lit des mots simples, fait des achats avec une liste préparée à l'avance, trie le courrier avec de l'aide. Elle gère ses affaires personnelles avec des rappels réguliers et peut se déplacer seule dans un périmètre connu. Elle travaille en ESAT à mi-temps avec un encadrement rapproché. Lors des réunions de groupe, elle participe mais suit difficilement les discussions complexes.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À quel niveau de sévérité de TDI correspond le profil de Doriane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Justifiez à partir des trois critères diagnostiques (fonctionnement intellectuel, adaptatif, apparition développementale).</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Corrigé — Exercice 3</w:t>
      </w:r>
    </w:p>
    <w:p>
      <w:pPr>
        <w:spacing w:after="80" w:before="80"/>
      </w:pPr>
      <w:r>
        <w:rPr>
          <w:rFonts w:ascii="Times New Roman" w:cs="Times New Roman" w:eastAsia="Times New Roman" w:hAnsi="Times New Roman"/>
          <w:b w:val="false"/>
          <w:bCs w:val="false"/>
          <w:i w:val="false"/>
          <w:iCs w:val="false"/>
          <w:color w:val="1F2937"/>
          <w:sz w:val="22"/>
          <w:szCs w:val="22"/>
        </w:rPr>
        <w:t xml:space="preserve">Niveau probable : TDI léger (environ 85 % des cas — chiffre corrigé le 06/09/2026, voir le journal).</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Justification sur les trois critères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Fonctionnement intellectuel : réduit (lecture partielle, difficultés de compréhension de discussions complexes). Le QI est probablement inférieur à 70, mais en l'absence de bilan neuropsychologique dans la vignette, c'est l'observation fonctionnelle qui prime — conformément aux recommandations actuelles qui accordent la priorité au fonctionnement adaptatif sur le score de QI seul.</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Fonctionnement adaptatif : autonomie partielle atteinte dans les domaines pratiques (achats avec liste, déplacements connus, tri du courrier avec aide) et professionnels (ESAT mi-temps avec encadrement rapproché). Les déficits sont présents mais non totaux : Doriane compense par des stratégies et un environnement aménagé — caractéristique du niveau léger.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Apparition développementale : implicite dans la vignette (accompagnement en foyer de vie depuis l'âge adulte, parcours ESAT) — profil ancré dans l'histoire développementale.</w:t>
      </w:r>
    </w:p>
    <w:p>
      <w:r>
        <w:t xml:space="preserve"/>
      </w:r>
    </w:p>
    <w:p>
      <w:pPr>
        <w:spacing w:after="80" w:before="80"/>
      </w:pPr>
      <w:r>
        <w:rPr>
          <w:rFonts w:ascii="Times New Roman" w:cs="Times New Roman" w:eastAsia="Times New Roman" w:hAnsi="Times New Roman"/>
          <w:b w:val="false"/>
          <w:bCs w:val="false"/>
          <w:i/>
          <w:iCs/>
          <w:color w:val="555555"/>
          <w:sz w:val="20"/>
          <w:szCs w:val="20"/>
        </w:rPr>
        <w:t xml:space="preserve">Point de méthode : le TDI léger ne signifie pas « peu de difficultés » — il signifie que la personne peut, avec un soutien adapté, atteindre un niveau d'autonomie partielle. Ne pas sous-estimer les besoins d'accompagnement.</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Challenge — Vignette complexe : comorbidité TSA + TDAH</w:t>
      </w:r>
    </w:p>
    <w:p>
      <w:pPr>
        <w:spacing w:after="80" w:before="80"/>
      </w:pPr>
      <w:r>
        <w:rPr>
          <w:rFonts w:ascii="Times New Roman" w:cs="Times New Roman" w:eastAsia="Times New Roman" w:hAnsi="Times New Roman"/>
          <w:b w:val="false"/>
          <w:bCs w:val="false"/>
          <w:i w:val="false"/>
          <w:iCs w:val="false"/>
          <w:color w:val="1F2937"/>
          <w:sz w:val="22"/>
          <w:szCs w:val="22"/>
        </w:rPr>
        <w:t xml:space="preserve">Ce challenge mobilise l'ensemble de la leçon. Prenez le temps d'analyser avant de regarder les éléments de réponse.</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Théo, 22 ans, vient d'intégrer le foyer. Son bilan pluridisciplinaire mentionne un TSA associé à un TDAH. En pratique, vous observez : des rituels de rangement très précis (meubles, affaires personnelles), une agitation intense si quelqu'un touche à ses affaires, un contact social limité. Mais aussi : une incapacité à terminer ses activités, des oublis répétés d'hygiène, des comportements impulsifs (sortir brusquement d'une pièce, couper la parole), une grande variabilité selon les journées.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Quels signes relèvent plutôt du TSA ? Du TDAH ? Lesquels pourraient appartenir aux deux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Comment adapter l'accompagnement quotidien pour tenir compte des deux dimensions simultanément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Si vous deviez rédiger une demande d'évaluation complémentaire, quels professionnels solliciteriez-vous et pourquoi ?</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Éléments de réponse — Challenge</w:t>
      </w:r>
    </w:p>
    <w:p>
      <w:pPr>
        <w:spacing w:after="80" w:before="80"/>
      </w:pPr>
      <w:r>
        <w:rPr>
          <w:rFonts w:ascii="Times New Roman" w:cs="Times New Roman" w:eastAsia="Times New Roman" w:hAnsi="Times New Roman"/>
          <w:b w:val="false"/>
          <w:bCs w:val="false"/>
          <w:i w:val="false"/>
          <w:iCs w:val="false"/>
          <w:color w:val="1F2937"/>
          <w:sz w:val="22"/>
          <w:szCs w:val="22"/>
        </w:rPr>
        <w:t xml:space="preserve">Ventilation des signes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Signe observé</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Plutôt TSA</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Plutôt TDAH</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Les deux</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Rituels de rangement précis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Agitation si objet déplacé</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(résistance au changement)</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Contact social limité</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Incapacité à terminer les activités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(inattention)</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Oublis répétés d'hygiène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(fonctions exécutives)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Comportements impulsifs (sortir, couper)</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Grande variabilité journalière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(surcharge sensorielle TSA possible aussi)</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Agitation intense (émotion forte)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(dérégulation des deux)</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Adaptation de l'accompagnement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Stabiliser l'environnement physique et les routines (versant TSA) : place fixe, rangement prévisible, transitions annoncées à l'avance avec un support visuel.</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Fractionner les activités en petites tâches courtes avec rappels visuels (versant TDAH) : check-lists, minuteries, aide à l'organisation étape par étape.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Anticiper les moments de dérégulation émotionnelle : proposer des espaces de retrait volontaire, des signaux convenus avec Théo lui-même.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Ne pas superposer les exigences : lors des moments de grande variabilité (mauvaises journées), réduire les demandes et maintenir le lien sans pression.</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Professionnels à solliciter dans une demande d'évaluation complémentaire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Médecin psychiatre : réévaluation diagnostique, ajustement médicamenteux éventuel (méthylphénidate dans le TDAH, à évaluer soigneusement en contexte TSA).</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Psychologue clinicien spécialisé en neuropsychologie : bilan pour préciser le profil cognitif (fonctions exécutives, mémoire de travail, flexibilité mentale).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Ergothérapeute : aménagement de l'environnement et des activités quotidiennes en tenant compte du profil sensoriel.</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Pont pro — Pertinence en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En foyer d'hébergement accompagnant des adultes en situation de handicap mental et psychique, le public relève fréquemment de ces trois troubles — souvent en combinaison. Comprendre leurs profils permet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De différencier un comportement difficile lié au trouble (désorganisation, agitation, résistance au changement) d'une opposition ou d'un manque de coopération.</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D'adapter les modalités d'accompagnement sans attendre un diagnostic formel : structurer l'environnement, fractionner les tâches, anticiper les transitions, communiquer avec des supports visuels.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De formuler des demandes d'évaluation spécialisées argumentées (CRA, psychiatre, neuropsychologue).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De décrire des profils fonctionnels et de les traduire en adaptations concrètes — ce qui rend un accompagnement lisible pour un tiers, évaluateur compris. ⚠️ Cette ligne invoquait « les attendus HAS » et un « indicateur fort des évaluations externes » sans nommer ni dater aucune recommandation, et « indicateur fort » n'est pas une formulation du référentiel. Reformulée le 06/09/2026 : aucune autorité n'est invoquée ici, le conseil vaut pour ce qu'il est.</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Ressources cliquables — Pour approfondir</w:t>
      </w:r>
    </w:p>
    <w:p>
      <w:pPr>
        <w:spacing w:after="80" w:before="80"/>
      </w:pPr>
      <w:r>
        <w:rPr>
          <w:rFonts w:ascii="Times New Roman" w:cs="Times New Roman" w:eastAsia="Times New Roman" w:hAnsi="Times New Roman"/>
          <w:b w:val="false"/>
          <w:bCs w:val="false"/>
          <w:i/>
          <w:iCs/>
          <w:color w:val="555555"/>
          <w:sz w:val="20"/>
          <w:szCs w:val="20"/>
        </w:rPr>
        <w:t xml:space="preserve">Toutes les URLs ci-dessous ont été testées au cours de cette session (code HTTP 200).</w:t>
      </w:r>
    </w:p>
    <w:p>
      <w:r>
        <w:t xml:space="preserve"/>
      </w:r>
    </w:p>
    <w:p>
      <w:pPr>
        <w:spacing w:after="40" w:before="60"/>
      </w:pPr>
      <w:hyperlink w:history="1" r:id="rIdheqaguwmg4unp33vi4j2p">
        <w:r>
          <w:rPr>
            <w:rFonts w:ascii="Times New Roman" w:cs="Times New Roman" w:eastAsia="Times New Roman" w:hAnsi="Times New Roman"/>
            <w:color w:val="1155CC"/>
            <w:sz w:val="22"/>
            <w:szCs w:val="22"/>
            <w:u w:val="single"/>
          </w:rPr>
          <w:t xml:space="preserve">Psycom — La santé mentale avec l'autisme (TSA)</w:t>
        </w:r>
      </w:hyperlink>
    </w:p>
    <w:p>
      <w:pPr>
        <w:spacing w:after="40" w:before="60"/>
      </w:pPr>
      <w:hyperlink w:history="1" r:id="rIdhdbnnkhttkp5udlhkf7ua">
        <w:r>
          <w:rPr>
            <w:rFonts w:ascii="Times New Roman" w:cs="Times New Roman" w:eastAsia="Times New Roman" w:hAnsi="Times New Roman"/>
            <w:color w:val="1155CC"/>
            <w:sz w:val="22"/>
            <w:szCs w:val="22"/>
            <w:u w:val="single"/>
          </w:rPr>
          <w:t xml:space="preserve">Psycom — La santé mentale avec un TDAH</w:t>
        </w:r>
      </w:hyperlink>
    </w:p>
    <w:p>
      <w:pPr>
        <w:spacing w:after="40" w:before="60"/>
      </w:pPr>
      <w:hyperlink w:history="1" r:id="rIdxxkav4ngxzp12hdrrmabr">
        <w:r>
          <w:rPr>
            <w:rFonts w:ascii="Times New Roman" w:cs="Times New Roman" w:eastAsia="Times New Roman" w:hAnsi="Times New Roman"/>
            <w:color w:val="1155CC"/>
            <w:sz w:val="22"/>
            <w:szCs w:val="22"/>
            <w:u w:val="single"/>
          </w:rPr>
          <w:t xml:space="preserve">Psycom — Troubles du neurodéveloppement (portail)</w:t>
        </w:r>
      </w:hyperlink>
    </w:p>
    <w:p>
      <w:pPr>
        <w:spacing w:after="40" w:before="60"/>
      </w:pPr>
      <w:hyperlink w:history="1" r:id="rIdexgcwe37cx-akxy54jt6v">
        <w:r>
          <w:rPr>
            <w:rFonts w:ascii="Times New Roman" w:cs="Times New Roman" w:eastAsia="Times New Roman" w:hAnsi="Times New Roman"/>
            <w:color w:val="1155CC"/>
            <w:sz w:val="22"/>
            <w:szCs w:val="22"/>
            <w:u w:val="single"/>
          </w:rPr>
          <w:t xml:space="preserve">HAS — Troubles du spectre de l'autisme (TSA) : recommandations</w:t>
        </w:r>
      </w:hyperlink>
    </w:p>
    <w:p>
      <w:pPr>
        <w:spacing w:after="40" w:before="60"/>
      </w:pPr>
      <w:hyperlink w:history="1" r:id="rId0ojzrf-drxcphs6mbu8fh">
        <w:r>
          <w:rPr>
            <w:rFonts w:ascii="Times New Roman" w:cs="Times New Roman" w:eastAsia="Times New Roman" w:hAnsi="Times New Roman"/>
            <w:color w:val="1155CC"/>
            <w:sz w:val="22"/>
            <w:szCs w:val="22"/>
            <w:u w:val="single"/>
          </w:rPr>
          <w:t xml:space="preserve">Wikipedia — Neurodevelopmental disorder (vue d'ensemble)</w:t>
        </w:r>
      </w:hyperlink>
    </w:p>
    <w:p>
      <w:pPr>
        <w:spacing w:after="40" w:before="60"/>
      </w:pPr>
      <w:hyperlink w:history="1" r:id="rIdfxpou85nh23bhfu0seely">
        <w:r>
          <w:rPr>
            <w:rFonts w:ascii="Times New Roman" w:cs="Times New Roman" w:eastAsia="Times New Roman" w:hAnsi="Times New Roman"/>
            <w:color w:val="1155CC"/>
            <w:sz w:val="22"/>
            <w:szCs w:val="22"/>
            <w:u w:val="single"/>
          </w:rPr>
          <w:t xml:space="preserve">Wikipedia — Autism spectrum disorder (TSA)</w:t>
        </w:r>
      </w:hyperlink>
    </w:p>
    <w:p>
      <w:pPr>
        <w:spacing w:after="40" w:before="60"/>
      </w:pPr>
      <w:hyperlink w:history="1" r:id="rIdnkmqfkohpphbhad7n6okg">
        <w:r>
          <w:rPr>
            <w:rFonts w:ascii="Times New Roman" w:cs="Times New Roman" w:eastAsia="Times New Roman" w:hAnsi="Times New Roman"/>
            <w:color w:val="1155CC"/>
            <w:sz w:val="22"/>
            <w:szCs w:val="22"/>
            <w:u w:val="single"/>
          </w:rPr>
          <w:t xml:space="preserve">Wikipedia — Attention deficit hyperactivity disorder (TDAH)</w:t>
        </w:r>
      </w:hyperlink>
    </w:p>
    <w:p>
      <w:pPr>
        <w:spacing w:after="40" w:before="60"/>
      </w:pPr>
      <w:hyperlink w:history="1" r:id="rIdzagogrrx-tp6qq_mmrgr6">
        <w:r>
          <w:rPr>
            <w:rFonts w:ascii="Times New Roman" w:cs="Times New Roman" w:eastAsia="Times New Roman" w:hAnsi="Times New Roman"/>
            <w:color w:val="1155CC"/>
            <w:sz w:val="22"/>
            <w:szCs w:val="22"/>
            <w:u w:val="single"/>
          </w:rPr>
          <w:t xml:space="preserve">Wikipedia — Intellectual disability (TDI)</w:t>
        </w:r>
      </w:hyperlink>
    </w:p>
    <w:p>
      <w:pPr>
        <w:spacing w:after="40" w:before="60"/>
      </w:pPr>
      <w:hyperlink w:history="1" r:id="rIdlrwmxehpmzyozetxy7lq7">
        <w:r>
          <w:rPr>
            <w:rFonts w:ascii="Times New Roman" w:cs="Times New Roman" w:eastAsia="Times New Roman" w:hAnsi="Times New Roman"/>
            <w:color w:val="1155CC"/>
            <w:sz w:val="22"/>
            <w:szCs w:val="22"/>
            <w:u w:val="single"/>
          </w:rPr>
          <w:t xml:space="preserve">OMS — CIM-11 : classification internationale des maladies (2024)</w:t>
        </w:r>
      </w:hyperlink>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n°10 — Les troubles des conduites alimentaires. ⚠️ Cette annonce disait « n°10 — Psychotraumatisme et troubles liés au stress ». Le rendez-vous n'a pas été tenu : la leçon 10 du 14/08/2026 a traité les troubles des conduites alimentaires, et le psychotraumatisme est arrivé en leçon n°12, le 24/08/2026. Rectifié le 06/09/2026 pour que la suite du parcours reste lisible.</w:t>
      </w:r>
    </w:p>
    <w:p>
      <w:pPr>
        <w:spacing w:after="80" w:before="80"/>
      </w:pPr>
      <w:r>
        <w:rPr>
          <w:rFonts w:ascii="Times New Roman" w:cs="Times New Roman" w:eastAsia="Times New Roman" w:hAnsi="Times New Roman"/>
          <w:b w:val="false"/>
          <w:bCs w:val="false"/>
          <w:i w:val="false"/>
          <w:iCs w:val="false"/>
          <w:color w:val="1F2937"/>
          <w:sz w:val="22"/>
          <w:szCs w:val="22"/>
        </w:rPr>
        <w:t xml:space="preserve">Au programme : les mécanismes neurobiologiques du trauma, les critères diagnostiques du TSPT selon CIM-11 / DSM-5-TR, la dissociation comme réponse adaptative, les approches thérapeutiques centrées sur le trauma (EMDR, thérapies d'exposition, psychoéducation), et les particularités du trauma chez les personnes en situation de handicap.</w:t>
      </w:r>
    </w:p>
    <w:p>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10/08/2026, relue le 06/09/2026 : les neuf URL répondent toujours 200 et chaque source a été rouverte. Six corrections. Les formulations d’origine sont conservées ci-dessous.</w:t>
      </w:r>
    </w:p>
    <w:p>
      <w:pPr>
        <w:spacing w:after="80"/>
      </w:pPr>
      <w:r>
        <w:rPr>
          <w:rFonts w:ascii="Times New Roman" w:cs="Times New Roman" w:eastAsia="Times New Roman" w:hAnsi="Times New Roman"/>
          <w:color w:val="1F2937"/>
          <w:sz w:val="22"/>
          <w:szCs w:val="22"/>
        </w:rPr>
        <w:t xml:space="preserve">① Distribution de sévérité du TDI — un tableau qui ne bouclait pas. Version d’origine : « Léger 75–90 % | Modéré ~10 % | Sévère/Profond 3–5 % ». Somme : entre 88 % et 105 %. La page Wikipédia citée contient DEUX jeux de chiffres incompatibles — « 75-90% of the affected people have mild intellectual disability » dans l’épidémiologie, puis plus bas « About 85% […] mild · About 10% […] moderate · Severe ID, accounting for 3.5% · Profound ID, accounting for 1.5% ». La leçon avait pris le premier chiffre du premier jeu et les suivants du second. Le tableau porte désormais le jeu cohérent, qui fait exactement 100 %.</w:t>
      </w:r>
    </w:p>
    <w:p>
      <w:pPr>
        <w:spacing w:after="80"/>
      </w:pPr>
      <w:r>
        <w:rPr>
          <w:rFonts w:ascii="Times New Roman" w:cs="Times New Roman" w:eastAsia="Times New Roman" w:hAnsi="Times New Roman"/>
          <w:color w:val="1F2937"/>
          <w:sz w:val="22"/>
          <w:szCs w:val="22"/>
        </w:rPr>
        <w:t xml:space="preserve">② Causes idiopathiques — un référent élargi en silence. Version d’origine : « causes idiopathiques (30–50 % des cas) », appliqué à l’ensemble des TDI. La source écrit « Non-syndromic, or idiopathic cases account for 30–50% of these cases » immédiatement après avoir parlé des TDI légers : « these cases » désigne, à la lecture directe, les formes légères. L’ambiguïté existe dans la source ; elle avait été résolue sans le dire, dans le sens le plus large. La proportion est retirée, la raison écrite.</w:t>
      </w:r>
    </w:p>
    <w:p>
      <w:pPr>
        <w:spacing w:after="80"/>
      </w:pPr>
      <w:r>
        <w:rPr>
          <w:rFonts w:ascii="Times New Roman" w:cs="Times New Roman" w:eastAsia="Times New Roman" w:hAnsi="Times New Roman"/>
          <w:color w:val="1F2937"/>
          <w:sz w:val="22"/>
          <w:szCs w:val="22"/>
        </w:rPr>
        <w:t xml:space="preserve">③ « 1 enfant sur 100 » attribué à l’OMS. Le chiffre est bien celui que retient l’OMS, mais AUCUNE page de l’OMS n’a été ouverte pour cette leçon : la seule ressource OMS citée est le navigateur de la CIM-11, qui répond 200 sans délivrer son contenu hors navigateur. Une attribution vraie mais non sourcée reste une attribution non sourcée. Le chiffre est conservé sans l’attribution, avec la marche à suivre pour la rétablir.</w:t>
      </w:r>
    </w:p>
    <w:p>
      <w:pPr>
        <w:spacing w:after="80"/>
      </w:pPr>
      <w:r>
        <w:rPr>
          <w:rFonts w:ascii="Times New Roman" w:cs="Times New Roman" w:eastAsia="Times New Roman" w:hAnsi="Times New Roman"/>
          <w:color w:val="1F2937"/>
          <w:sz w:val="22"/>
          <w:szCs w:val="22"/>
        </w:rPr>
        <w:t xml:space="preserve">④ Pont professionnel — une autorité invoquée sans être nommée. Version d’origine : « D’anticiper les attendus HAS : la capacité à lire les profils fonctionnels et à les traduire en adaptations concrètes est un indicateur fort des évaluations externes. » Aucune recommandation nommée, aucune date, et « indicateur fort » n’est pas une formulation du référentiel. À noter : cette leçon date du 10/08/2026 et la règle qui l’interdit — nommer une recommandation par son titre exact et sa date, ou n’invoquer aucune autorité — a été ajoutée au parcours le 27/08/2026. Le défaut est antérieur à la règle ; il est corrigé ici parce qu’il reste faux, pas parce qu’il enfreignait une consigne existante.</w:t>
      </w:r>
    </w:p>
    <w:p>
      <w:pPr>
        <w:spacing w:after="80"/>
      </w:pPr>
      <w:r>
        <w:rPr>
          <w:rFonts w:ascii="Times New Roman" w:cs="Times New Roman" w:eastAsia="Times New Roman" w:hAnsi="Times New Roman"/>
          <w:color w:val="1F2937"/>
          <w:sz w:val="22"/>
          <w:szCs w:val="22"/>
        </w:rPr>
        <w:t xml:space="preserve">⑤ Un rendez-vous annoncé et non tenu. Version d’origine : « Leçon n°10 — Psychotraumatisme et troubles liés au stress : TSPT, stress aigu, dissociation. » La leçon 10, produite le 14/08/2026, a traité les troubles des conduites alimentaires ; le psychotraumatisme est arrivé en leçon 12, le 24/08/2026. Une annonce de fin de leçon est un engagement envers le lecteur : elle se vérifie contre la feuille de route au moment où on l’écrit.</w:t>
      </w:r>
    </w:p>
    <w:p>
      <w:pPr>
        <w:spacing w:after="80"/>
      </w:pPr>
      <w:r>
        <w:rPr>
          <w:rFonts w:ascii="Times New Roman" w:cs="Times New Roman" w:eastAsia="Times New Roman" w:hAnsi="Times New Roman"/>
          <w:color w:val="1F2937"/>
          <w:sz w:val="22"/>
          <w:szCs w:val="22"/>
        </w:rPr>
        <w:t xml:space="preserve">⑥ Le total du parcours. Cette leçon annonçait « leçon 09 / 16 » en en-tête et en pied de page. Le parcours compte 20 leçons. La feuille de route est passée de 16 à 20 entre le 10 et le 14 août 2026 : les leçons 01 à 09 portaient encore l’ancien total, les leçons 10 et suivantes le nouveau. Le dénominateur a été repris ici et dans les six autres leçons concernées (02, 03, 04, 06, 07, 08) le 06/09/2026. Les leçons 01 et 05 n’annonçaient aucun total.</w:t>
      </w:r>
    </w:p>
    <w:p>
      <w:pPr>
        <w:spacing w:after="80"/>
      </w:pPr>
      <w:r>
        <w:rPr>
          <w:rFonts w:ascii="Times New Roman" w:cs="Times New Roman" w:eastAsia="Times New Roman" w:hAnsi="Times New Roman"/>
          <w:color w:val="1F2937"/>
          <w:sz w:val="22"/>
          <w:szCs w:val="22"/>
        </w:rPr>
        <w:t xml:space="preserve">Vérifié lors de la relecture et inchangé — c’est la leçon la mieux sourcée du parcours relue à ce jour. Les neuf URL sont en 200. La citation de Psycom sur le TSA est exacte MOT POUR MOT. Les chiffres de comorbidité sont fidèles à Psycom, qui les tire lui-même d’une méta-analyse : TDAH 28 % contre 22 %, troubles anxieux 20 % contre 15 %, troubles dépressifs 11 % contre 8 %. L’héritabilité du TDAH à 70–80 % est exacte. La prévalence du TDI à 2–3 % est exacte. La dyade diagnostique du TSA, les six catégories de troubles du neurodéveloppement du DSM-5-TR, le seuil de QI et la primauté du fonctionnement adaptatif sur le score sont conformes. Les trois corrigés d’exercice sont cohérents avec la théorie de cette leçon. Et la synthèse neurobiologique du TDAH porte la mention « (synthèse, non citation directe) » — le bon réflexe, appliqué spontanément.</w:t>
      </w:r>
    </w:p>
    <w:p>
      <w:pPr>
        <w:spacing w:after="80"/>
      </w:pPr>
      <w:r>
        <w:rPr>
          <w:rFonts w:ascii="Times New Roman" w:cs="Times New Roman" w:eastAsia="Times New Roman" w:hAnsi="Times New Roman"/>
          <w:color w:val="1F2937"/>
          <w:sz w:val="22"/>
          <w:szCs w:val="22"/>
        </w:rPr>
        <w:t xml:space="preserve">Ce que cette relecture apprend : une leçon peut être exacte sur presque tout et fausse sur ce qu’elle additionne. Les trois chiffres du tableau de sévérité venaient de la même page, aucun n’était inventé, et leur somme ne pouvait pas être vraie. Un chiffre juste pris dans le mauvais jeu reste un chiffre faux.</w:t>
      </w:r>
    </w:p>
    <w:p>
      <w:pPr>
        <w:spacing w:before="300"/>
        <w:jc w:val="center"/>
      </w:pPr>
      <w:r>
        <w:rPr>
          <w:rFonts w:ascii="Times New Roman" w:cs="Times New Roman" w:eastAsia="Times New Roman" w:hAnsi="Times New Roman"/>
          <w:b w:val="false"/>
          <w:bCs w:val="false"/>
          <w:i/>
          <w:iCs/>
          <w:color w:val="888888"/>
          <w:sz w:val="18"/>
          <w:szCs w:val="18"/>
        </w:rPr>
        <w:t xml:space="preserve">Parcours Psychopathologie clinique  •  Leçon 09 / 20  •  10 août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eqaguwmg4unp33vi4j2p" Type="http://schemas.openxmlformats.org/officeDocument/2006/relationships/hyperlink" Target="https://www.psycom.org/sinformer/la-sante-mentale/avec-un-trouble-du-neurodeveloppement/la-sante-mentale-avec-lautisme/" TargetMode="External"/><Relationship Id="rIdhdbnnkhttkp5udlhkf7ua" Type="http://schemas.openxmlformats.org/officeDocument/2006/relationships/hyperlink" Target="https://www.psycom.org/sinformer/la-sante-mentale/avec-un-trouble-du-neurodeveloppement/la-sante-mentale-avec-un-tdah/" TargetMode="External"/><Relationship Id="rIdxxkav4ngxzp12hdrrmabr" Type="http://schemas.openxmlformats.org/officeDocument/2006/relationships/hyperlink" Target="https://www.psycom.org/sinformer/la-sante-mentale/avec-un-trouble-du-neurodeveloppement/" TargetMode="External"/><Relationship Id="rIdexgcwe37cx-akxy54jt6v" Type="http://schemas.openxmlformats.org/officeDocument/2006/relationships/hyperlink" Target="https://www.has-sante.fr/jcms/c_1095166/fr/troubles-du-spectre-de-l-autisme-tsa" TargetMode="External"/><Relationship Id="rId0ojzrf-drxcphs6mbu8fh" Type="http://schemas.openxmlformats.org/officeDocument/2006/relationships/hyperlink" Target="https://en.wikipedia.org/wiki/Neurodevelopmental_disorder" TargetMode="External"/><Relationship Id="rIdfxpou85nh23bhfu0seely" Type="http://schemas.openxmlformats.org/officeDocument/2006/relationships/hyperlink" Target="https://en.wikipedia.org/wiki/Autism_spectrum_disorder" TargetMode="External"/><Relationship Id="rIdnkmqfkohpphbhad7n6okg" Type="http://schemas.openxmlformats.org/officeDocument/2006/relationships/hyperlink" Target="https://en.wikipedia.org/wiki/Attention_deficit_hyperactivity_disorder" TargetMode="External"/><Relationship Id="rIdzagogrrx-tp6qq_mmrgr6" Type="http://schemas.openxmlformats.org/officeDocument/2006/relationships/hyperlink" Target="https://en.wikipedia.org/wiki/Intellectual_disability" TargetMode="External"/><Relationship Id="rIdlrwmxehpmzyozetxy7lq7" Type="http://schemas.openxmlformats.org/officeDocument/2006/relationships/hyperlink" Target="https://icd.who.int/browse/2024-01/mms/en"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2026-08-10T06:11:06.025Z</dcterms:created>
  <dcterms:modified xsi:type="dcterms:W3CDTF">2026-08-10T06:11:06.043Z</dcterms:modified>
</cp:coreProperties>
</file>

<file path=docProps/custom.xml><?xml version="1.0" encoding="utf-8"?>
<Properties xmlns="http://schemas.openxmlformats.org/officeDocument/2006/custom-properties" xmlns:vt="http://schemas.openxmlformats.org/officeDocument/2006/docPropsVTypes"/>
</file>