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jc w:val="center"/>
      </w:pPr>
      <w:r>
        <w:rPr>
          <w:rFonts w:ascii="Times New Roman" w:cs="Times New Roman" w:eastAsia="Times New Roman" w:hAnsi="Times New Roman"/>
          <w:b/>
          <w:bCs/>
          <w:color w:val="1B3A6B"/>
          <w:sz w:val="52"/>
          <w:szCs w:val="52"/>
        </w:rPr>
        <w:t xml:space="preserve">Leçon Psychopathologie clinique n°10</w:t>
      </w:r>
    </w:p>
    <w:p>
      <w:pPr>
        <w:pStyle w:val="Heading1"/>
        <w:spacing w:after="200" w:before="300"/>
        <w:jc w:val="center"/>
      </w:pPr>
      <w:r>
        <w:rPr>
          <w:rFonts w:ascii="Times New Roman" w:cs="Times New Roman" w:eastAsia="Times New Roman" w:hAnsi="Times New Roman"/>
          <w:b/>
          <w:bCs/>
          <w:color w:val="1B3A6B"/>
          <w:sz w:val="52"/>
          <w:szCs w:val="52"/>
        </w:rPr>
        <w:t xml:space="preserve">Les troubles des conduites alimentaires (TCA)</w:t>
      </w:r>
    </w:p>
    <w:p>
      <w:pPr>
        <w:spacing w:after="80" w:before="80"/>
      </w:pPr>
      <w:r>
        <w:rPr>
          <w:rFonts w:ascii="Times New Roman" w:cs="Times New Roman" w:eastAsia="Times New Roman" w:hAnsi="Times New Roman"/>
          <w:b/>
          <w:bCs/>
          <w:i w:val="false"/>
          <w:iCs w:val="false"/>
          <w:color w:val="1F2937"/>
          <w:sz w:val="22"/>
          <w:szCs w:val="22"/>
        </w:rPr>
        <w:t xml:space="preserve">Date : 14 août 2026   |   Leçon 10 / 20</w:t>
      </w:r>
    </w:p>
    <w:p>
      <w:pPr>
        <w:spacing w:after="80" w:before="80"/>
      </w:pPr>
      <w:r>
        <w:rPr>
          <w:rFonts w:ascii="Times New Roman" w:cs="Times New Roman" w:eastAsia="Times New Roman" w:hAnsi="Times New Roman"/>
          <w:b w:val="false"/>
          <w:bCs w:val="false"/>
          <w:i/>
          <w:iCs/>
          <w:color w:val="1F2937"/>
          <w:sz w:val="22"/>
          <w:szCs w:val="22"/>
        </w:rPr>
        <w:t xml:space="preserve">Parcours : du fondamental à l'avancé — chaque leçon s'appuie sur les précédentes.</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les principaux tableaux cliniques des TCA (anorexie mentale, boulimie nerveuse, hyperphagie boulimique, ARFID) selon les critères DSM-5-TR et CIM-11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facteurs de risque biopsychosociaux et les comorbidités psychiatriques les plus fréquentes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conduire une analyse clinique de vignettes en mobilisant la sémiologie et les modèles étudiés lors des leçons précédentes.</w:t>
      </w:r>
    </w:p>
    <w:p>
      <w:pPr>
        <w:spacing w:after="100" w:before="100"/>
      </w:pPr>
    </w:p>
    <w:p>
      <w:pPr>
        <w:shd w:fill="F3F4F6" w:val="clear"/>
        <w:spacing w:after="120" w:before="120"/>
        <w:ind w:left="431" w:right="431"/>
      </w:pPr>
      <w:r>
        <w:rPr>
          <w:rFonts w:ascii="Times New Roman" w:cs="Times New Roman" w:eastAsia="Times New Roman" w:hAnsi="Times New Roman"/>
          <w:i/>
          <w:iCs/>
          <w:color w:val="1B3A6B"/>
          <w:sz w:val="22"/>
          <w:szCs w:val="22"/>
        </w:rPr>
        <w:t xml:space="preserve">Continuité avec la leçon 9 — La leçon précédente portait sur les troubles du neurodéveloppement (TSA, TDAH, TDI). Tu y as travaillé la notion de présentation atypique et de comorbidités. Garde cette grille : les TCA sont fréquemment associés au TSA (notamment chez les femmes autistes) et au TDAH, avec des présentations qui brouillent le diagnostic.</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Théorie (20 %) — Sémiologie et classifications des TCA</w:t>
      </w:r>
    </w:p>
    <w:p>
      <w:pPr>
        <w:pStyle w:val="Heading3"/>
        <w:spacing w:after="80" w:before="200"/>
      </w:pPr>
      <w:r>
        <w:rPr>
          <w:rFonts w:ascii="Times New Roman" w:cs="Times New Roman" w:eastAsia="Times New Roman" w:hAnsi="Times New Roman"/>
          <w:b/>
          <w:bCs/>
          <w:color w:val="1F2937"/>
          <w:sz w:val="26"/>
          <w:szCs w:val="26"/>
        </w:rPr>
        <w:t xml:space="preserve">1. Définition et panorama</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troubles des conduites alimentaires (TCA) sont des troubles psychiatriques caractérisés par des comportements alimentaires perturbés, une préoccupation excessive pour le poids et l'image corporelle, et des conséquences somatiques potentiellement graves. Ils figurent parmi les troubles mentaux à la mortalité la plus élevée : une étude de cohorte britannique (2025, 24 709 patients) documente un risque de mortalité multiplié par 4,6 la première année post-diagnostic, et un risque suicidaire 13 fois supérieur à la population générale — des chiffres qui soulignent l'urgence d'un repérage précoce.</w:t>
      </w:r>
    </w:p>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Cadre déontologique rappelé ici : comprendre ces tableaux cliniques est une compétence de repérage et d'orientation, non de diagnostic. Le diagnostic est réservé aux médecins psychiatres et aux psychologues cliniciens. Une posture non stigmatisante, centrée sur la personne et les ressources de rétablissement, est indispensable.</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2. Les principales catégories cliniques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Trouble</w:t>
            </w:r>
          </w:p>
        </w:tc>
        <w:tc>
          <w:tcPr>
            <w:shd w:fill="1B3A6B" w:val="clear"/>
            <w:vAlign w:val="center"/>
          </w:tcPr>
          <w:p>
            <w:r>
              <w:rPr>
                <w:rFonts w:ascii="Times New Roman" w:cs="Times New Roman" w:eastAsia="Times New Roman" w:hAnsi="Times New Roman"/>
                <w:b/>
                <w:bCs/>
                <w:color w:val="FFFFFF"/>
                <w:sz w:val="22"/>
                <w:szCs w:val="22"/>
              </w:rPr>
              <w:t xml:space="preserve">Caractéristiques essentielles</w:t>
            </w:r>
          </w:p>
        </w:tc>
      </w:tr>
      <w:tr>
        <w:tc>
          <w:tcPr>
            <w:shd w:fill="FFFFFF" w:val="clear"/>
          </w:tcPr>
          <w:p>
            <w:r>
              <w:rPr>
                <w:rFonts w:ascii="Times New Roman" w:cs="Times New Roman" w:eastAsia="Times New Roman" w:hAnsi="Times New Roman"/>
                <w:color w:val="1F2937"/>
                <w:sz w:val="22"/>
                <w:szCs w:val="22"/>
              </w:rPr>
              <w:t xml:space="preserve">Anorexie mentale (AM)
DSM-5 : F50.01 / F50.02</w:t>
            </w:r>
          </w:p>
        </w:tc>
        <w:tc>
          <w:tcPr>
            <w:shd w:fill="FFFFFF" w:val="clear"/>
          </w:tcPr>
          <w:p>
            <w:r>
              <w:rPr>
                <w:rFonts w:ascii="Times New Roman" w:cs="Times New Roman" w:eastAsia="Times New Roman" w:hAnsi="Times New Roman"/>
                <w:color w:val="1F2937"/>
                <w:sz w:val="22"/>
                <w:szCs w:val="22"/>
              </w:rPr>
              <w:t xml:space="preserve">Restriction énergétique → poids significativement bas · Peur intense de prendre du poids · Perturbation de l'image corporelle
2 sous-types : restrictif / boulimique-purgatif
Note DSM-5-TR : critère d'aménorrhée supprimé</w:t>
            </w:r>
          </w:p>
        </w:tc>
      </w:tr>
      <w:tr>
        <w:tc>
          <w:tcPr>
            <w:shd w:fill="EEF2F7" w:val="clear"/>
          </w:tcPr>
          <w:p>
            <w:r>
              <w:rPr>
                <w:rFonts w:ascii="Times New Roman" w:cs="Times New Roman" w:eastAsia="Times New Roman" w:hAnsi="Times New Roman"/>
                <w:color w:val="1F2937"/>
                <w:sz w:val="22"/>
                <w:szCs w:val="22"/>
              </w:rPr>
              <w:t xml:space="preserve">Boulimie nerveuse (BN)
DSM-5 : F50.2</w:t>
            </w:r>
          </w:p>
        </w:tc>
        <w:tc>
          <w:tcPr>
            <w:shd w:fill="EEF2F7" w:val="clear"/>
          </w:tcPr>
          <w:p>
            <w:r>
              <w:rPr>
                <w:rFonts w:ascii="Times New Roman" w:cs="Times New Roman" w:eastAsia="Times New Roman" w:hAnsi="Times New Roman"/>
                <w:color w:val="1F2937"/>
                <w:sz w:val="22"/>
                <w:szCs w:val="22"/>
              </w:rPr>
              <w:t xml:space="preserve">Crises récurrentes (≥ 1/semaine, 3 mois) avec perte de contrôle + comportements compensatoires inappropriés (vomissements, laxatifs, sport excessif)
Sévérité : légère (1-3/sem) à extrême (≥ 14/sem)</w:t>
            </w:r>
          </w:p>
        </w:tc>
      </w:tr>
      <w:tr>
        <w:tc>
          <w:tcPr>
            <w:shd w:fill="FFFFFF" w:val="clear"/>
          </w:tcPr>
          <w:p>
            <w:r>
              <w:rPr>
                <w:rFonts w:ascii="Times New Roman" w:cs="Times New Roman" w:eastAsia="Times New Roman" w:hAnsi="Times New Roman"/>
                <w:color w:val="1F2937"/>
                <w:sz w:val="22"/>
                <w:szCs w:val="22"/>
              </w:rPr>
              <w:t xml:space="preserve">Hyperphagie boulimique (BED)
DSM-5 : F50.81</w:t>
            </w:r>
          </w:p>
        </w:tc>
        <w:tc>
          <w:tcPr>
            <w:shd w:fill="FFFFFF" w:val="clear"/>
          </w:tcPr>
          <w:p>
            <w:r>
              <w:rPr>
                <w:rFonts w:ascii="Times New Roman" w:cs="Times New Roman" w:eastAsia="Times New Roman" w:hAnsi="Times New Roman"/>
                <w:color w:val="1F2937"/>
                <w:sz w:val="22"/>
                <w:szCs w:val="22"/>
              </w:rPr>
              <w:t xml:space="preserve">Crises récurrentes sans comportement compensatoire · 3+ caractéristiques (rapidité, inconfort physique, culpabilité, honte) · ≥ 1/semaine, 6 mois
Touche presque autant les hommes que les femmes ; plus souvent diagnostiqué à l'âge adulte</w:t>
            </w:r>
          </w:p>
        </w:tc>
      </w:tr>
      <w:tr>
        <w:tc>
          <w:tcPr>
            <w:shd w:fill="EEF2F7" w:val="clear"/>
          </w:tcPr>
          <w:p>
            <w:r>
              <w:rPr>
                <w:rFonts w:ascii="Times New Roman" w:cs="Times New Roman" w:eastAsia="Times New Roman" w:hAnsi="Times New Roman"/>
                <w:color w:val="1F2937"/>
                <w:sz w:val="22"/>
                <w:szCs w:val="22"/>
              </w:rPr>
              <w:t xml:space="preserve">ARFID
CIM-11 : 6B83</w:t>
            </w:r>
          </w:p>
        </w:tc>
        <w:tc>
          <w:tcPr>
            <w:shd w:fill="EEF2F7" w:val="clear"/>
          </w:tcPr>
          <w:p>
            <w:r>
              <w:rPr>
                <w:rFonts w:ascii="Times New Roman" w:cs="Times New Roman" w:eastAsia="Times New Roman" w:hAnsi="Times New Roman"/>
                <w:color w:val="1F2937"/>
                <w:sz w:val="22"/>
                <w:szCs w:val="22"/>
              </w:rPr>
              <w:t xml:space="preserve">Évitement/restriction de l'apport alimentaire non lié à l'image corporelle · Profil sensoriel, peur de s'étouffer, manque d'intérêt
Nouveau en CIM-11 : accès au soin facilité · 60 % masculin, 3,2 % de la population française</w:t>
            </w:r>
          </w:p>
        </w:tc>
      </w:tr>
      <w:tr>
        <w:tc>
          <w:tcPr>
            <w:shd w:fill="FFFFFF" w:val="clear"/>
          </w:tcPr>
          <w:p>
            <w:r>
              <w:rPr>
                <w:rFonts w:ascii="Times New Roman" w:cs="Times New Roman" w:eastAsia="Times New Roman" w:hAnsi="Times New Roman"/>
                <w:color w:val="1F2937"/>
                <w:sz w:val="22"/>
                <w:szCs w:val="22"/>
              </w:rPr>
              <w:t xml:space="preserve">Pica / Rumination</w:t>
            </w:r>
          </w:p>
        </w:tc>
        <w:tc>
          <w:tcPr>
            <w:shd w:fill="FFFFFF" w:val="clear"/>
          </w:tcPr>
          <w:p>
            <w:r>
              <w:rPr>
                <w:rFonts w:ascii="Times New Roman" w:cs="Times New Roman" w:eastAsia="Times New Roman" w:hAnsi="Times New Roman"/>
                <w:color w:val="1F2937"/>
                <w:sz w:val="22"/>
                <w:szCs w:val="22"/>
              </w:rPr>
              <w:t xml:space="preserve">Ingestion de substances non alimentaires (pica) ou régurgitation répétée sans dégoût (rumination) · Peuvent coexister avec d'autres TCA ou le TSA</w:t>
            </w:r>
          </w:p>
        </w:tc>
      </w:tr>
    </w:tbl>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3. Épidémiologie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Anorexie mentale : 0,6 % de la population adulte, 85 % des cas débutent entre 15 et 25 ans, sex-ratio féminin nettement dominant.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Boulimie nerveuse : 1,5 % des femmes, 0,5 % des hommes ; début typique à l'adolescence (10-19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Hyperphagie boulimique : 3-5 % de la population, quasi-parité homme/femme.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ARFID : 3,2 % de la population française, 5,1 % des enfants de 2-7 ans.</w:t>
      </w:r>
    </w:p>
    <w:p>
      <w:pPr>
        <w:spacing w:after="80" w:before="80"/>
      </w:pPr>
      <w:r>
        <w:rPr>
          <w:rFonts w:ascii="Times New Roman" w:cs="Times New Roman" w:eastAsia="Times New Roman" w:hAnsi="Times New Roman"/>
          <w:b w:val="false"/>
          <w:bCs w:val="false"/>
          <w:i/>
          <w:iCs/>
          <w:color w:val="1F2937"/>
          <w:sz w:val="22"/>
          <w:szCs w:val="22"/>
        </w:rPr>
        <w:t xml:space="preserve">Incidence : 8-12 cas/100 000 pour l'anorexie mentale sur la vie entière ; 12 cas/100 000 pour la boulimie nerveuse (données ARS Île-de-France / IFEMDR).</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4. Modèle biopsychosocial</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Les TCA sont multifactoriels. Aucun facteur isolé n'est causal : c'est l'interaction entre vulnérabilités biologiques, psychologiques et pressions socioculturelles qui ouvre la fenêtre de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Facteurs biologiques : composante génétique (~50 % pour l'anorexie) ; dérégulations dopaminergiques et sérotoninergiques ; modifications du circuit de la récompense.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Facteurs psychologiques : faible estime de soi, perfectionnisme, alexithymie, difficulté de régulation émotionnelle, antécédents traumatiques, schémas cognitifs dysfonctionnels (dysmorphophobie).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Facteurs socioculturels : idéal de minceur véhiculé par les médias et les réseaux sociaux, pression des pairs, environnement familial (dynamiques enmeshées ou distantes, comportements alimentaires parentaux).</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5. Comorbidités psychiatriques fréquentes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TCA rarement s'expriment de façon isolée. Les comorbidités les plus documentées sont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Troubles anxieux (dont TOC) et troubles de l'humeur (dépression, bipolarité)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Troubles de la personnalité, notamment borderline (cf. leçon 8)</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TSA : risque élevé de TCA chez les femmes autistes, avec masquage diagnostique fréquent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Troubles addictifs, conduites de coupure (automutilation)</w:t>
      </w:r>
    </w:p>
    <w:p>
      <w:pPr>
        <w:spacing w:after="80" w:before="80"/>
      </w:pPr>
      <w:r>
        <w:rPr>
          <w:rFonts w:ascii="Times New Roman" w:cs="Times New Roman" w:eastAsia="Times New Roman" w:hAnsi="Times New Roman"/>
          <w:b w:val="false"/>
          <w:bCs w:val="false"/>
          <w:i/>
          <w:iCs/>
          <w:color w:val="1F2937"/>
          <w:sz w:val="22"/>
          <w:szCs w:val="22"/>
        </w:rPr>
        <w:t xml:space="preserve">Cette co-occurrence explique la complexité des prises en charge et la nécessité d'une évaluation pluridisciplinaire.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clinique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ancrer les critères de chaque TCA dans une structure mémorable.</w:t>
      </w:r>
    </w:p>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À faire : complète le tableau suivant SANS regarder la théorie. Si tu bloques sur un critère, note une question et reviens à la partie théorie.</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Trouble</w:t>
            </w:r>
          </w:p>
        </w:tc>
        <w:tc>
          <w:tcPr>
            <w:shd w:fill="1B3A6B" w:val="clear"/>
            <w:vAlign w:val="center"/>
          </w:tcPr>
          <w:p>
            <w:r>
              <w:rPr>
                <w:rFonts w:ascii="Times New Roman" w:cs="Times New Roman" w:eastAsia="Times New Roman" w:hAnsi="Times New Roman"/>
                <w:b/>
                <w:bCs/>
                <w:color w:val="FFFFFF"/>
                <w:sz w:val="22"/>
                <w:szCs w:val="22"/>
              </w:rPr>
              <w:t xml:space="preserve">3 critères essentiels que tu retiens (tes mots)</w:t>
            </w:r>
          </w:p>
        </w:tc>
      </w:tr>
      <w:tr>
        <w:tc>
          <w:tcPr>
            <w:shd w:fill="FFFFFF" w:val="clear"/>
          </w:tcPr>
          <w:p>
            <w:r>
              <w:rPr>
                <w:rFonts w:ascii="Times New Roman" w:cs="Times New Roman" w:eastAsia="Times New Roman" w:hAnsi="Times New Roman"/>
                <w:color w:val="1F2937"/>
                <w:sz w:val="22"/>
                <w:szCs w:val="22"/>
              </w:rPr>
              <w:t xml:space="preserve">Anorexie mentale</w:t>
            </w:r>
          </w:p>
        </w:tc>
        <w:tc>
          <w:tcPr>
            <w:shd w:fill="FFFFFF" w:val="clear"/>
          </w:tcPr>
          <w:p>
            <w:r>
              <w:rPr>
                <w:rFonts w:ascii="Times New Roman" w:cs="Times New Roman" w:eastAsia="Times New Roman" w:hAnsi="Times New Roman"/>
                <w:color w:val="1F2937"/>
                <w:sz w:val="22"/>
                <w:szCs w:val="22"/>
              </w:rPr>
              <w:t xml:space="preserve">(à compléter)</w:t>
            </w:r>
          </w:p>
        </w:tc>
      </w:tr>
      <w:tr>
        <w:tc>
          <w:tcPr>
            <w:shd w:fill="EEF2F7" w:val="clear"/>
          </w:tcPr>
          <w:p>
            <w:r>
              <w:rPr>
                <w:rFonts w:ascii="Times New Roman" w:cs="Times New Roman" w:eastAsia="Times New Roman" w:hAnsi="Times New Roman"/>
                <w:color w:val="1F2937"/>
                <w:sz w:val="22"/>
                <w:szCs w:val="22"/>
              </w:rPr>
              <w:t xml:space="preserve">Boulimie nerveuse</w:t>
            </w:r>
          </w:p>
        </w:tc>
        <w:tc>
          <w:tcPr>
            <w:shd w:fill="EEF2F7" w:val="clear"/>
          </w:tcPr>
          <w:p>
            <w:r>
              <w:rPr>
                <w:rFonts w:ascii="Times New Roman" w:cs="Times New Roman" w:eastAsia="Times New Roman" w:hAnsi="Times New Roman"/>
                <w:color w:val="1F2937"/>
                <w:sz w:val="22"/>
                <w:szCs w:val="22"/>
              </w:rPr>
              <w:t xml:space="preserve">(à compléter)</w:t>
            </w:r>
          </w:p>
        </w:tc>
      </w:tr>
      <w:tr>
        <w:tc>
          <w:tcPr>
            <w:shd w:fill="FFFFFF" w:val="clear"/>
          </w:tcPr>
          <w:p>
            <w:r>
              <w:rPr>
                <w:rFonts w:ascii="Times New Roman" w:cs="Times New Roman" w:eastAsia="Times New Roman" w:hAnsi="Times New Roman"/>
                <w:color w:val="1F2937"/>
                <w:sz w:val="22"/>
                <w:szCs w:val="22"/>
              </w:rPr>
              <w:t xml:space="preserve">Hyperphagie boulimique</w:t>
            </w:r>
          </w:p>
        </w:tc>
        <w:tc>
          <w:tcPr>
            <w:shd w:fill="FFFFFF" w:val="clear"/>
          </w:tcPr>
          <w:p>
            <w:r>
              <w:rPr>
                <w:rFonts w:ascii="Times New Roman" w:cs="Times New Roman" w:eastAsia="Times New Roman" w:hAnsi="Times New Roman"/>
                <w:color w:val="1F2937"/>
                <w:sz w:val="22"/>
                <w:szCs w:val="22"/>
              </w:rPr>
              <w:t xml:space="preserve">(à compléter)</w:t>
            </w:r>
          </w:p>
        </w:tc>
      </w:tr>
      <w:tr>
        <w:tc>
          <w:tcPr>
            <w:shd w:fill="EEF2F7" w:val="clear"/>
          </w:tcPr>
          <w:p>
            <w:r>
              <w:rPr>
                <w:rFonts w:ascii="Times New Roman" w:cs="Times New Roman" w:eastAsia="Times New Roman" w:hAnsi="Times New Roman"/>
                <w:color w:val="1F2937"/>
                <w:sz w:val="22"/>
                <w:szCs w:val="22"/>
              </w:rPr>
              <w:t xml:space="preserve">ARFID</w:t>
            </w:r>
          </w:p>
        </w:tc>
        <w:tc>
          <w:tcPr>
            <w:shd w:fill="EEF2F7" w:val="clear"/>
          </w:tcPr>
          <w:p>
            <w:r>
              <w:rPr>
                <w:rFonts w:ascii="Times New Roman" w:cs="Times New Roman" w:eastAsia="Times New Roman" w:hAnsi="Times New Roman"/>
                <w:color w:val="1F2937"/>
                <w:sz w:val="22"/>
                <w:szCs w:val="22"/>
              </w:rPr>
              <w:t xml:space="preserve">(à compléter)</w:t>
            </w:r>
          </w:p>
        </w:tc>
      </w:tr>
    </w:tbl>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Corrigé de l'exercice 1</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Anorexie : (1) restriction → poids bas ; (2) peur intense du poids ; (3) perturbation de l'image corporelle — avec deux sous-types : restrictif vs boulimique-purgatif.
Boulimie : (1) crises récurrentes avec perte de contrôle ; (2) comportements compensatoires (vomissements, laxatifs, hyperactivité) ; (3) au moins 1 crise/semaine pendant 3 mois — sans poids nécessairement bas.
Hyperphagie boulimique : (1) crises récurrentes SANS comportement compensatoire ; (2) ≥ 3 caractéristiques associées (rapidité, ingestion jusqu'à inconfort, absence de faim, honte, isolement) ; (3) ≥ 1 fois/semaine pendant 6 mois.
ARFID : (1) évitement/restriction sans lien avec l'image corporelle ; (2) profil sensoriel ou peur de s'étouffer ; (3) retentissement nutritionnel, pondéral ou psychosocial.</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Exercice 2 — Vignettes cliniques différentielles</w:t>
      </w:r>
    </w:p>
    <w:p>
      <w:pPr>
        <w:spacing w:after="80" w:before="80"/>
      </w:pPr>
      <w:r>
        <w:rPr>
          <w:rFonts w:ascii="Times New Roman" w:cs="Times New Roman" w:eastAsia="Times New Roman" w:hAnsi="Times New Roman"/>
          <w:b w:val="false"/>
          <w:bCs w:val="false"/>
          <w:i w:val="false"/>
          <w:iCs w:val="false"/>
          <w:color w:val="1F2937"/>
          <w:sz w:val="22"/>
          <w:szCs w:val="22"/>
        </w:rPr>
        <w:t xml:space="preserve">Lis chaque vignette. Pour chacune : (a) nomme le trouble probable ; (b) identifie les critères DSM-5 / CIM-11 présents ; (c) signale les comorbidités possibles à explorer.</w:t>
      </w:r>
    </w:p>
    <w:p>
      <w:pPr>
        <w:spacing w:after="100" w:before="100"/>
      </w:pPr>
    </w:p>
    <w:p>
      <w:pPr>
        <w:spacing w:after="80" w:before="80"/>
      </w:pPr>
      <w:r>
        <w:rPr>
          <w:rFonts w:ascii="Times New Roman" w:cs="Times New Roman" w:eastAsia="Times New Roman" w:hAnsi="Times New Roman"/>
          <w:b/>
          <w:bCs/>
          <w:i w:val="false"/>
          <w:iCs w:val="false"/>
          <w:color w:val="1F2937"/>
          <w:sz w:val="22"/>
          <w:szCs w:val="22"/>
        </w:rPr>
        <w:t xml:space="preserve">Vignette A — Léa, 17 ans</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Léa a perdu 12 kg en 6 mois. Elle mange très peu, refuse les repas en famille, fait 1h30 de sport par jour. Elle dit que son corps est « dégueulasse » alors que son IMC est à 15. Ses règles ont disparu il y a 4 mois. Elle nie tout problème.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Trouble probable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Critères présents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Comorbidités à explorer : …</w:t>
      </w:r>
    </w:p>
    <w:p>
      <w:pPr>
        <w:spacing w:after="100" w:before="100"/>
      </w:pPr>
    </w:p>
    <w:p>
      <w:pPr>
        <w:spacing w:after="80" w:before="80"/>
      </w:pPr>
      <w:r>
        <w:rPr>
          <w:rFonts w:ascii="Times New Roman" w:cs="Times New Roman" w:eastAsia="Times New Roman" w:hAnsi="Times New Roman"/>
          <w:b/>
          <w:bCs/>
          <w:i w:val="false"/>
          <w:iCs w:val="false"/>
          <w:color w:val="1F2937"/>
          <w:sz w:val="22"/>
          <w:szCs w:val="22"/>
        </w:rPr>
        <w:t xml:space="preserve">Vignette B — Marc, 34 ans</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Marc se décrit comme un « gros mangeur ». Deux à trois fois par semaine, en soirée, il engloutit de grandes quantités de nourriture très rapidement, seul, jusqu'à se sentir « plein à éclater » et éprouve ensuite beaucoup de honte. Il ne se fait pas vomir et ne prend pas de laxatifs. Son IMC est à 28.</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Trouble probable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Critères présents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Comorbidités à explorer : …</w:t>
      </w:r>
    </w:p>
    <w:p>
      <w:pPr>
        <w:spacing w:after="100" w:before="100"/>
      </w:pPr>
    </w:p>
    <w:p>
      <w:pPr>
        <w:spacing w:after="80" w:before="80"/>
      </w:pPr>
      <w:r>
        <w:rPr>
          <w:rFonts w:ascii="Times New Roman" w:cs="Times New Roman" w:eastAsia="Times New Roman" w:hAnsi="Times New Roman"/>
          <w:b/>
          <w:bCs/>
          <w:i w:val="false"/>
          <w:iCs w:val="false"/>
          <w:color w:val="1F2937"/>
          <w:sz w:val="22"/>
          <w:szCs w:val="22"/>
        </w:rPr>
        <w:t xml:space="preserve">Vignette C — Emma, 22 ans (diagnostic TSA récent)</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Emma a un TSA diagnostiqué à 20 ans. Elle mange depuis l'enfance uniquement des aliments d'une texture lisse, refuse tout aliment avec des morceaux ou une odeur forte. Elle a perdu 5 kg depuis un an par défaut d'apport. Elle ne parle pas de peur de grossir ni d'image corporelle.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Trouble probable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Critères présents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Comorbidités à explorer : …</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Corrigé de l'exercice 2</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Vignette A — Léa : Anorexie mentale, type restrictif probablement (restriction + sport excessif), avec possible sous-type boulimique-purgatif à explorer. Critères : restriction → IMC &lt; 17,5, peur intense de prendre du poids, perturbation de l'image corporelle, déni. L'aménorrhée est une complication somatique (critère supprimé du DSM-5-TR mais toujours cliniquement significative). Comorbidités à explorer : dépression, anxiété, traits TOC (sport compulsif), traits de personnalité perfectionniste.
Vignette B — Marc : Hyperphagie boulimique (BED). Critères présents : crises récurrentes (2-3/semaine), rapidité, ingestion jusqu'à inconfort physique, honte, isolement. ABSENCE de comportements compensatoires — critère différentiel clé d'avec la boulimie. Comorbidités à explorer : dépression, trouble anxieux, syndrome métabolique.
Vignette C — Emma : ARFID. Critères : restriction non liée à l'image corporelle, profil sensoriel prédominant (textures, odeurs), retentissement pondéral. Lien TSA : l'hypersensibilité sensorielle est une caractéristique centrale du TSA (leçon 9). Important : ne pas confondre l'ARFID lié au TSA avec une anorexie — l'intervention est radicalement différente.</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Exercice 3 — Analyse du modèle biopsychosocial (réflexion personnelle)</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l'une des trois vignettes de l'exercice 2, construis une carte des facteurs de risque en mobilisant le modèle biopsychosocial. Structure ton analyse en trois colonnes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Facteurs biologiques</w:t>
            </w:r>
          </w:p>
        </w:tc>
        <w:tc>
          <w:tcPr>
            <w:shd w:fill="1B3A6B" w:val="clear"/>
            <w:vAlign w:val="center"/>
          </w:tcPr>
          <w:p>
            <w:r>
              <w:rPr>
                <w:rFonts w:ascii="Times New Roman" w:cs="Times New Roman" w:eastAsia="Times New Roman" w:hAnsi="Times New Roman"/>
                <w:b/>
                <w:bCs/>
                <w:color w:val="FFFFFF"/>
                <w:sz w:val="22"/>
                <w:szCs w:val="22"/>
              </w:rPr>
              <w:t xml:space="preserve">Facteurs psychologiques</w:t>
            </w:r>
          </w:p>
        </w:tc>
      </w:tr>
      <w:tr>
        <w:tc>
          <w:tcPr>
            <w:shd w:fill="FFFFFF" w:val="clear"/>
          </w:tcPr>
          <w:p>
            <w:r>
              <w:rPr>
                <w:rFonts w:ascii="Times New Roman" w:cs="Times New Roman" w:eastAsia="Times New Roman" w:hAnsi="Times New Roman"/>
                <w:color w:val="1F2937"/>
                <w:sz w:val="22"/>
                <w:szCs w:val="22"/>
              </w:rPr>
              <w:t xml:space="preserve">(hypothèses à formuler)</w:t>
            </w:r>
          </w:p>
        </w:tc>
        <w:tc>
          <w:tcPr>
            <w:shd w:fill="FFFFFF" w:val="clear"/>
          </w:tcPr>
          <w:p>
            <w:r>
              <w:rPr>
                <w:rFonts w:ascii="Times New Roman" w:cs="Times New Roman" w:eastAsia="Times New Roman" w:hAnsi="Times New Roman"/>
                <w:color w:val="1F2937"/>
                <w:sz w:val="22"/>
                <w:szCs w:val="22"/>
              </w:rPr>
              <w:t xml:space="preserve">(hypothèses à formuler)</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vAlign w:val="center"/>
          </w:tcPr>
          <w:p>
            <w:r>
              <w:rPr>
                <w:rFonts w:ascii="Times New Roman" w:cs="Times New Roman" w:eastAsia="Times New Roman" w:hAnsi="Times New Roman"/>
                <w:b/>
                <w:bCs/>
                <w:color w:val="FFFFFF"/>
                <w:sz w:val="22"/>
                <w:szCs w:val="22"/>
              </w:rPr>
              <w:t xml:space="preserve">Facteurs socioculturels</w:t>
            </w:r>
          </w:p>
        </w:tc>
        <w:tc>
          <w:tcPr>
            <w:shd w:fill="1B3A6B" w:val="clear"/>
            <w:vAlign w:val="center"/>
          </w:tcPr>
          <w:p>
            <w:r>
              <w:rPr>
                <w:rFonts w:ascii="Times New Roman" w:cs="Times New Roman" w:eastAsia="Times New Roman" w:hAnsi="Times New Roman"/>
                <w:b/>
                <w:bCs/>
                <w:color w:val="FFFFFF"/>
                <w:sz w:val="22"/>
                <w:szCs w:val="22"/>
              </w:rPr>
              <w:t xml:space="preserve">Point de vigilance clinique</w:t>
            </w:r>
          </w:p>
        </w:tc>
      </w:tr>
      <w:tr>
        <w:tc>
          <w:tcPr>
            <w:shd w:fill="FFFFFF" w:val="clear"/>
          </w:tcPr>
          <w:p>
            <w:r>
              <w:rPr>
                <w:rFonts w:ascii="Times New Roman" w:cs="Times New Roman" w:eastAsia="Times New Roman" w:hAnsi="Times New Roman"/>
                <w:color w:val="1F2937"/>
                <w:sz w:val="22"/>
                <w:szCs w:val="22"/>
              </w:rPr>
              <w:t xml:space="preserve">(hypothèses à formuler)</w:t>
            </w:r>
          </w:p>
        </w:tc>
        <w:tc>
          <w:tcPr>
            <w:shd w:fill="FFFFFF" w:val="clear"/>
          </w:tcPr>
          <w:p>
            <w:r>
              <w:rPr>
                <w:rFonts w:ascii="Times New Roman" w:cs="Times New Roman" w:eastAsia="Times New Roman" w:hAnsi="Times New Roman"/>
                <w:color w:val="1F2937"/>
                <w:sz w:val="22"/>
                <w:szCs w:val="22"/>
              </w:rPr>
              <w:t xml:space="preserve">(à noter)</w:t>
            </w:r>
          </w:p>
        </w:tc>
      </w:tr>
    </w:tbl>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Réflexion associée : comment ce modèle oriente-t-il la prise en charge ? Quels acteurs impliquer en priorité ?</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Corrigé indicatif de l'exercice 3 (Vignette A — Léa)</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Facteurs biologiques : prédisposition génétique possible (antécédents familiaux à explorer), modifications sérotoninergiques et dopaminergiques, aménorrhée secondaire.
Facteurs psychologiques : perfectionnisme, faible estime de soi, déni du trouble, alexithymie possible, rapport au corps altéré.
Facteurs socioculturels : idéal de minceur, pression de performance scolaire, dynamiques familiales autour des repas à explorer.
Point de vigilance : l'alliance thérapeutique est difficile avec l'anorexie en raison du déni. La HAS insiste sur la construction d'une alliance progressive et non confrontationnelle. L'hospitalisation peut être nécessaire selon les critères de sévérité (IMC &lt; 14, défaillance somatique).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Challenge — Synthèse intégrative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Un professionnel de ton équipe te dit, à propos d'un résident qui mange peu et paraît amaigri : « Il fait ça pour attirer l'attention, c'est comportemental. »</w:t>
      </w:r>
    </w:p>
    <w:p>
      <w:pPr>
        <w:spacing w:after="100" w:before="100"/>
      </w:pPr>
    </w:p>
    <w:p>
      <w:pPr>
        <w:spacing w:after="80" w:before="80"/>
      </w:pPr>
      <w:r>
        <w:rPr>
          <w:rFonts w:ascii="Times New Roman" w:cs="Times New Roman" w:eastAsia="Times New Roman" w:hAnsi="Times New Roman"/>
          <w:b w:val="false"/>
          <w:bCs w:val="false"/>
          <w:i w:val="false"/>
          <w:iCs w:val="false"/>
          <w:color w:val="1F2937"/>
          <w:sz w:val="22"/>
          <w:szCs w:val="22"/>
        </w:rPr>
        <w:t xml:space="preserve">En mobilisant l'ensemble de la leçon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ce que cette formulation révèle comme biais cognitif et comme risque clinique.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Formule une réponse non stigmatisante à destination du professionnel, adaptée à ton rôle de chef de service.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Décris les étapes d'un signalement interne et d'une orientation vers une évaluation spécialisée dans ton contexte ESSMS.</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Éléments de réponse attendus</w:t>
      </w:r>
    </w:p>
    <w:p>
      <w:pPr>
        <w:shd w:fill="F3F4F6" w:val="clear"/>
        <w:spacing w:after="120" w:before="120"/>
        <w:ind w:left="431" w:right="431"/>
      </w:pPr>
      <w:r>
        <w:rPr>
          <w:rFonts w:ascii="Times New Roman" w:cs="Times New Roman" w:eastAsia="Times New Roman" w:hAnsi="Times New Roman"/>
          <w:i/>
          <w:iCs/>
          <w:color w:val="1B3A6B"/>
          <w:sz w:val="22"/>
          <w:szCs w:val="22"/>
        </w:rPr>
        <w:t xml:space="preserve">Le biais identifié est une attribution intentionnelle et caractérielle ("pour attirer l'attention") là où un TCA est un trouble psychiatrique multifactoriel. Ce biais génère deux risques : (1) minimisation et retard de prise en charge ; (2) stigmatisation de la personne accompagnée.
Réponse au professionnel : reformuler sans invalider ("Je comprends ce que tu observes"), réintroduire le registre clinique ("ce qu'on observe ressemble à des signes qui méritent une évaluation médicale"), rappeler la limite de rôle ("nous ne diagnostiquons pas, mais nous observons et orientons").
Orientation : signalement au médecin coordinateur ou au psychiatre référent → évaluation somatique et nutritionnelle → orientation vers une structure spécialisée TCA si nécessaire. Tracer l'information dans le DUI (ici : Imago). La démarche s'inscrit dans les recommandations HAS sur la prise en charge multidisciplinaire.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Pont pro (chef de service ESSMS)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TCA chez les adultes accompagnés en foyer d'hébergement (handicap mental et psychique) sont souvent sous-repérés, car les comportements alimentaires atypiques peuvent être confondus avec des effets des traitements psychotropes ou avec des rigidités comportementales liées au TSA ou à la déficience intellectuelle. Deux points pratiques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Former les équipes à observer (et tracer dans le DUI) : prise de poids ou perte inexpliquée, refus alimentaires récurrents, comportements après les repas (isolement, présence dans les sanitaires), signes somatiques (fatigue, cheveux cassants, œdèmes).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Positionner le rôle de l'équipe éducative clairement : observation, traçabilité, lien avec l'équipe médicale et la famille — jamais de commentaire sur le poids ou l'apparence corporelle.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b w:val="false"/>
          <w:bCs w:val="false"/>
          <w:i w:val="false"/>
          <w:iCs w:val="false"/>
          <w:color w:val="1F2937"/>
          <w:sz w:val="22"/>
          <w:szCs w:val="22"/>
        </w:rPr>
        <w:t xml:space="preserve">Sources consultées et vérifiées pendant cette leçon (toutes en 200 au moment de la vérification) :</w:t>
      </w:r>
    </w:p>
    <w:p>
      <w:pPr>
        <w:spacing w:after="100" w:before="100"/>
      </w:pPr>
    </w:p>
    <w:p>
      <w:pPr>
        <w:spacing w:after="80" w:before="80"/>
      </w:pPr>
      <w:r>
        <w:rPr>
          <w:rFonts w:ascii="Times New Roman" w:cs="Times New Roman" w:eastAsia="Times New Roman" w:hAnsi="Times New Roman"/>
          <w:b/>
          <w:bCs/>
          <w:color w:val="1F2937"/>
          <w:sz w:val="22"/>
          <w:szCs w:val="22"/>
        </w:rPr>
        <w:t xml:space="preserve">1. HAS (2010) — </w:t>
      </w:r>
      <w:hyperlink w:history="1" r:id="rIds0ghwpu_d4o1cxylmgvlt">
        <w:r>
          <w:rPr>
            <w:rStyle w:val="Hyperlink"/>
            <w:rFonts w:ascii="Times New Roman" w:cs="Times New Roman" w:eastAsia="Times New Roman" w:hAnsi="Times New Roman"/>
            <w:color w:val="1155CC"/>
            <w:sz w:val="22"/>
            <w:szCs w:val="22"/>
            <w:u w:val="single"/>
          </w:rPr>
          <w:t xml:space="preserve">Anorexie mentale : prise en charge</w:t>
        </w:r>
      </w:hyperlink>
      <w:r>
        <w:rPr>
          <w:rFonts w:ascii="Times New Roman" w:cs="Times New Roman" w:eastAsia="Times New Roman" w:hAnsi="Times New Roman"/>
          <w:color w:val="1F2937"/>
          <w:sz w:val="22"/>
          <w:szCs w:val="22"/>
        </w:rPr>
        <w:t xml:space="preserve"> — recommandation de référence (dépistage précoce, alliance thérapeutique, critères d'hospitalisation).</w:t>
      </w:r>
    </w:p>
    <w:p>
      <w:pPr>
        <w:spacing w:after="80" w:before="80"/>
      </w:pPr>
      <w:r>
        <w:rPr>
          <w:rFonts w:ascii="Times New Roman" w:cs="Times New Roman" w:eastAsia="Times New Roman" w:hAnsi="Times New Roman"/>
          <w:b/>
          <w:bCs/>
          <w:color w:val="1F2937"/>
          <w:sz w:val="22"/>
          <w:szCs w:val="22"/>
        </w:rPr>
        <w:t xml:space="preserve">2. HAS (2019) — </w:t>
      </w:r>
      <w:hyperlink w:history="1" r:id="rId0bis6j1nxcudcp8clgbse">
        <w:r>
          <w:rPr>
            <w:rStyle w:val="Hyperlink"/>
            <w:rFonts w:ascii="Times New Roman" w:cs="Times New Roman" w:eastAsia="Times New Roman" w:hAnsi="Times New Roman"/>
            <w:color w:val="1155CC"/>
            <w:sz w:val="22"/>
            <w:szCs w:val="22"/>
            <w:u w:val="single"/>
          </w:rPr>
          <w:t xml:space="preserve">Boulimie et hyperphagie boulimique : repérage et éléments généraux de prise en charge</w:t>
        </w:r>
      </w:hyperlink>
      <w:r>
        <w:rPr>
          <w:rFonts w:ascii="Times New Roman" w:cs="Times New Roman" w:eastAsia="Times New Roman" w:hAnsi="Times New Roman"/>
          <w:color w:val="1F2937"/>
          <w:sz w:val="22"/>
          <w:szCs w:val="22"/>
        </w:rPr>
        <w:t xml:space="preserve"> — complète la recommandation anorexie, 8 outils pratiques.</w:t>
      </w:r>
    </w:p>
    <w:p>
      <w:pPr>
        <w:spacing w:after="80" w:before="80"/>
      </w:pPr>
      <w:r>
        <w:rPr>
          <w:rFonts w:ascii="Times New Roman" w:cs="Times New Roman" w:eastAsia="Times New Roman" w:hAnsi="Times New Roman"/>
          <w:b/>
          <w:bCs/>
          <w:color w:val="1F2937"/>
          <w:sz w:val="22"/>
          <w:szCs w:val="22"/>
        </w:rPr>
        <w:t xml:space="preserve">3. Wikipédia FR — </w:t>
      </w:r>
      <w:hyperlink w:history="1" r:id="rIdr9b1bwu0ommetkq6oiw2a">
        <w:r>
          <w:rPr>
            <w:rStyle w:val="Hyperlink"/>
            <w:rFonts w:ascii="Times New Roman" w:cs="Times New Roman" w:eastAsia="Times New Roman" w:hAnsi="Times New Roman"/>
            <w:color w:val="1155CC"/>
            <w:sz w:val="22"/>
            <w:szCs w:val="22"/>
            <w:u w:val="single"/>
          </w:rPr>
          <w:t xml:space="preserve">Trouble des conduites alimentaires</w:t>
        </w:r>
      </w:hyperlink>
      <w:r>
        <w:rPr>
          <w:rFonts w:ascii="Times New Roman" w:cs="Times New Roman" w:eastAsia="Times New Roman" w:hAnsi="Times New Roman"/>
          <w:color w:val="1F2937"/>
          <w:sz w:val="22"/>
          <w:szCs w:val="22"/>
        </w:rPr>
        <w:t xml:space="preserve"> — panorama épidémiologique, modèles explicatifs, traitements.</w:t>
      </w:r>
    </w:p>
    <w:p>
      <w:pPr>
        <w:spacing w:after="80" w:before="80"/>
      </w:pPr>
      <w:r>
        <w:rPr>
          <w:rFonts w:ascii="Times New Roman" w:cs="Times New Roman" w:eastAsia="Times New Roman" w:hAnsi="Times New Roman"/>
          <w:b/>
          <w:bCs/>
          <w:color w:val="1F2937"/>
          <w:sz w:val="22"/>
          <w:szCs w:val="22"/>
        </w:rPr>
        <w:t xml:space="preserve">4. Wikipédia EN — </w:t>
      </w:r>
      <w:hyperlink w:history="1" r:id="rIdlypawx-wod9hi7m9epgcy">
        <w:r>
          <w:rPr>
            <w:rStyle w:val="Hyperlink"/>
            <w:rFonts w:ascii="Times New Roman" w:cs="Times New Roman" w:eastAsia="Times New Roman" w:hAnsi="Times New Roman"/>
            <w:color w:val="1155CC"/>
            <w:sz w:val="22"/>
            <w:szCs w:val="22"/>
            <w:u w:val="single"/>
          </w:rPr>
          <w:t xml:space="preserve">Eating disorder</w:t>
        </w:r>
      </w:hyperlink>
      <w:r>
        <w:rPr>
          <w:rFonts w:ascii="Times New Roman" w:cs="Times New Roman" w:eastAsia="Times New Roman" w:hAnsi="Times New Roman"/>
          <w:color w:val="1F2937"/>
          <w:sz w:val="22"/>
          <w:szCs w:val="22"/>
        </w:rPr>
        <w:t xml:space="preserve"> — données épidémiologiques internationales, DSM-5 et CIM-11, étude de cohorte 2025.</w:t>
      </w:r>
    </w:p>
    <w:p>
      <w:pPr>
        <w:spacing w:after="80" w:before="80"/>
      </w:pPr>
      <w:r>
        <w:rPr>
          <w:rFonts w:ascii="Times New Roman" w:cs="Times New Roman" w:eastAsia="Times New Roman" w:hAnsi="Times New Roman"/>
          <w:b/>
          <w:bCs/>
          <w:color w:val="1F2937"/>
          <w:sz w:val="22"/>
          <w:szCs w:val="22"/>
        </w:rPr>
        <w:t xml:space="preserve">5. IFEMDR — </w:t>
      </w:r>
      <w:hyperlink w:history="1" r:id="rIdofz9yvkiwnyscwi3hrf9h">
        <w:r>
          <w:rPr>
            <w:rStyle w:val="Hyperlink"/>
            <w:rFonts w:ascii="Times New Roman" w:cs="Times New Roman" w:eastAsia="Times New Roman" w:hAnsi="Times New Roman"/>
            <w:color w:val="1155CC"/>
            <w:sz w:val="22"/>
            <w:szCs w:val="22"/>
            <w:u w:val="single"/>
          </w:rPr>
          <w:t xml:space="preserve">Les troubles des conduites alimentaires dans le DSM-V</w:t>
        </w:r>
      </w:hyperlink>
      <w:r>
        <w:rPr>
          <w:rFonts w:ascii="Times New Roman" w:cs="Times New Roman" w:eastAsia="Times New Roman" w:hAnsi="Times New Roman"/>
          <w:color w:val="1F2937"/>
          <w:sz w:val="22"/>
          <w:szCs w:val="22"/>
        </w:rPr>
        <w:t xml:space="preserve"> — comparaison DSM-IV / DSM-5, nouveaux critères, suppression de l'aménorrhée.</w:t>
      </w:r>
    </w:p>
    <w:p>
      <w:pPr>
        <w:spacing w:after="80" w:before="80"/>
      </w:pPr>
      <w:r>
        <w:rPr>
          <w:rFonts w:ascii="Times New Roman" w:cs="Times New Roman" w:eastAsia="Times New Roman" w:hAnsi="Times New Roman"/>
          <w:b/>
          <w:bCs/>
          <w:color w:val="1F2937"/>
          <w:sz w:val="22"/>
          <w:szCs w:val="22"/>
        </w:rPr>
        <w:t xml:space="preserve">6. ARS Île-de-France — </w:t>
      </w:r>
      <w:hyperlink w:history="1" r:id="rIdimvkcndoa6lpawzineuxd">
        <w:r>
          <w:rPr>
            <w:rStyle w:val="Hyperlink"/>
            <w:rFonts w:ascii="Times New Roman" w:cs="Times New Roman" w:eastAsia="Times New Roman" w:hAnsi="Times New Roman"/>
            <w:color w:val="1155CC"/>
            <w:sz w:val="22"/>
            <w:szCs w:val="22"/>
            <w:u w:val="single"/>
          </w:rPr>
          <w:t xml:space="preserve">Troubles des conduites alimentaires : une approche pluridisciplinaire</w:t>
        </w:r>
      </w:hyperlink>
      <w:r>
        <w:rPr>
          <w:rFonts w:ascii="Times New Roman" w:cs="Times New Roman" w:eastAsia="Times New Roman" w:hAnsi="Times New Roman"/>
          <w:color w:val="1F2937"/>
          <w:sz w:val="22"/>
          <w:szCs w:val="22"/>
        </w:rPr>
        <w:t xml:space="preserve"> — organisation des soins en France, réseau TCA francilien, hôpitaux de jour.</w:t>
      </w:r>
    </w:p>
    <w:p>
      <w:pPr>
        <w:spacing w:after="80" w:before="80"/>
      </w:pPr>
      <w:hyperlink w:history="1" r:id="rIddsmapa20260911">
        <w:r>
          <w:rPr>
            <w:rStyle w:val="Hyperlink"/>
            <w:rFonts w:ascii="Times New Roman" w:cs="Times New Roman" w:eastAsia="Times New Roman" w:hAnsi="Times New Roman"/>
            <w:color w:val="1155CC"/>
            <w:sz w:val="22"/>
            <w:szCs w:val="22"/>
            <w:u w:val="single"/>
          </w:rPr>
          <w:t xml:space="preserve">DSM-5-TR (American Psychiatric Association) — page officielle du manuel</w:t>
        </w:r>
      </w:hyperlink>
      <w:r>
        <w:rPr>
          <w:rStyle w:val="Hyperlink"/>
          <w:rFonts w:ascii="Times New Roman" w:cs="Times New Roman" w:eastAsia="Times New Roman" w:hAnsi="Times New Roman"/>
          <w:color w:val="1F2937"/>
          <w:sz w:val="22"/>
          <w:szCs w:val="22"/>
        </w:rPr>
        <w:t xml:space="preserve"> — l'éditeur du DSM, qui décrit le manuel, ses révisions et la différence entre DSM-5 et DSM-5-TR. Vérifiée le 11/09/2026 : HTTP 200, 21 859 caractères utiles, « DSM-5-TR » y figure 19 fois. AJOUTÉE LE 11/09/2026 : cette classification était nommée dans le corps de la leçon sans aucune adresse.</w:t>
      </w:r>
    </w:p>
    <w:p>
      <w:pPr>
        <w:pBdr>
          <w:bottom w:val="single" w:color="1B3A6B" w:sz="6"/>
        </w:pBdr>
        <w:spacing w:after="200" w:before="200"/>
      </w:pP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11 / 20 — Addictions et troubles liés à l'usage de substances</w:t>
      </w:r>
    </w:p>
    <w:p>
      <w:pPr>
        <w:spacing w:after="80" w:before="80"/>
      </w:pPr>
      <w:r>
        <w:rPr>
          <w:rFonts w:ascii="Times New Roman" w:cs="Times New Roman" w:eastAsia="Times New Roman" w:hAnsi="Times New Roman"/>
          <w:b w:val="false"/>
          <w:bCs w:val="false"/>
          <w:i/>
          <w:iCs/>
          <w:color w:val="1F2937"/>
          <w:sz w:val="22"/>
          <w:szCs w:val="22"/>
        </w:rPr>
        <w:t xml:space="preserve">Tu aborderas : les critères DSM-5 des troubles de l'usage de substances (alcool, cannabis, opioïdes…), les modèles neurobiologiques de la dépendance (circuit de la récompense, dopamine, renforcement), les co-occurrences avec les TCA et les troubles de l'humeur, et les approches de réduction des risques mobilisables en ESSMS.</w:t>
      </w:r>
    </w:p>
    <w:p>
      <w:pPr>
        <w:spacing w:after="100" w:before="100"/>
      </w:pPr>
    </w:p>
    <w:p>
      <w:pPr>
        <w:spacing w:after="80" w:before="80"/>
      </w:pPr>
      <w:r>
        <w:rPr>
          <w:rStyle w:val="Hyperlink"/>
          <w:rFonts w:ascii="Times New Roman" w:cs="Times New Roman" w:eastAsia="Times New Roman" w:hAnsi="Times New Roman"/>
          <w:b/>
          <w:bCs/>
          <w:color w:val="1F2937"/>
          <w:sz w:val="22"/>
          <w:szCs w:val="22"/>
        </w:rPr>
        <w:t xml:space="preserve">📝 Journal des corrections — 11 septembre 2026</w:t>
      </w:r>
    </w:p>
    <w:p>
      <w:pPr>
        <w:spacing w:after="80" w:before="80"/>
      </w:pPr>
      <w:r>
        <w:rPr>
          <w:rStyle w:val="Hyperlink"/>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spacing w:after="80" w:before="80"/>
      </w:pPr>
      <w:r>
        <w:rPr>
          <w:rStyle w:val="Hyperlink"/>
          <w:rFonts w:ascii="Times New Roman" w:cs="Times New Roman" w:eastAsia="Times New Roman" w:hAnsi="Times New Roman"/>
          <w:color w:val="1F2937"/>
          <w:sz w:val="22"/>
          <w:szCs w:val="22"/>
        </w:rPr>
        <w:t xml:space="preserve">① Une nosographie était nommée sans adresse. Cette leçon invoque DSM-5 / DSM-5-TR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spacing w:after="80" w:before="80"/>
      </w:pPr>
      <w:r>
        <w:rPr>
          <w:rStyle w:val="Hyperlink"/>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spacing w:after="80" w:before="80"/>
      </w:pPr>
      <w:r>
        <w:rPr>
          <w:rStyle w:val="Hyperlink"/>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before="80"/>
      </w:pPr>
      <w:r>
        <w:rPr>
          <w:rFonts w:ascii="Times New Roman" w:cs="Times New Roman" w:eastAsia="Times New Roman" w:hAnsi="Times New Roman"/>
          <w:b/>
          <w:bCs/>
          <w:i w:val="false"/>
          <w:iCs w:val="false"/>
          <w:color w:val="1B3A6B"/>
          <w:sz w:val="22"/>
          <w:szCs w:val="22"/>
        </w:rPr>
        <w:t xml:space="preserve">— Fin de la leçon 10 / 20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0ghwpu_d4o1cxylmgvlt" Type="http://schemas.openxmlformats.org/officeDocument/2006/relationships/hyperlink" Target="https://www.has-sante.fr/jcms/c_985715/fr/anorexie-mentale-prise-en-charge" TargetMode="External"/><Relationship Id="rId0bis6j1nxcudcp8clgbse" Type="http://schemas.openxmlformats.org/officeDocument/2006/relationships/hyperlink" Target="https://www.has-sante.fr/jcms/c_2581436/fr/boulimie-et-hyperphagie-boulimique-reperage-et-elements-generaux-de-prise-en-charge" TargetMode="External"/><Relationship Id="rIdr9b1bwu0ommetkq6oiw2a" Type="http://schemas.openxmlformats.org/officeDocument/2006/relationships/hyperlink" Target="https://fr.wikipedia.org/wiki/Trouble_des_conduites_alimentaires" TargetMode="External"/><Relationship Id="rIdlypawx-wod9hi7m9epgcy" Type="http://schemas.openxmlformats.org/officeDocument/2006/relationships/hyperlink" Target="https://en.wikipedia.org/wiki/Eating_disorder" TargetMode="External"/><Relationship Id="rIdofz9yvkiwnyscwi3hrf9h" Type="http://schemas.openxmlformats.org/officeDocument/2006/relationships/hyperlink" Target="https://www.ifemdr.fr/les-troubles-des-conduites-alimentaires-dans-le-dsm-v/" TargetMode="External"/><Relationship Id="rIdimvkcndoa6lpawzineuxd" Type="http://schemas.openxmlformats.org/officeDocument/2006/relationships/hyperlink" Target="https://www.iledefrance.ars.sante.fr/troubles-des-conduites-alimentaires-une-approche-pluridisciplinaire-pour-mieux-les-comprendre-et" TargetMode="External"/><Relationship Id="rId13" Type="http://schemas.openxmlformats.org/officeDocument/2006/relationships/fontTable" Target="fontTable.xml"/><Relationship Id="rIddsmapa20260911" Type="http://schemas.openxmlformats.org/officeDocument/2006/relationships/hyperlink" Target="https://www.psychiatry.org/psychiatrists/practice/ds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2026-08-13T23:46:53.336Z</dcterms:created>
  <dcterms:modified xsi:type="dcterms:W3CDTF">2026-08-13T23:46:53.337Z</dcterms:modified>
</cp:coreProperties>
</file>

<file path=docProps/custom.xml><?xml version="1.0" encoding="utf-8"?>
<Properties xmlns="http://schemas.openxmlformats.org/officeDocument/2006/custom-properties" xmlns:vt="http://schemas.openxmlformats.org/officeDocument/2006/docPropsVTypes"/>
</file>