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Psychopathologie clinique n°11</w:t>
      </w:r>
    </w:p>
    <w:p>
      <w:pPr>
        <w:pStyle w:val="Heading1"/>
        <w:spacing w:after="160" w:before="200"/>
        <w:jc w:val="center"/>
      </w:pPr>
      <w:r>
        <w:rPr>
          <w:rFonts w:ascii="Times New Roman" w:cs="Times New Roman" w:eastAsia="Times New Roman" w:hAnsi="Times New Roman"/>
          <w:b/>
          <w:bCs/>
          <w:color w:val="1B3A6B"/>
          <w:sz w:val="52"/>
          <w:szCs w:val="52"/>
        </w:rPr>
        <w:t xml:space="preserve">Addictions et troubles liés à l'usage de substances</w:t>
      </w:r>
    </w:p>
    <w:p>
      <w:pPr>
        <w:spacing w:after="60" w:before="80"/>
        <w:jc w:val="center"/>
      </w:pPr>
      <w:r>
        <w:rPr>
          <w:rFonts w:ascii="Times New Roman" w:cs="Times New Roman" w:eastAsia="Times New Roman" w:hAnsi="Times New Roman"/>
          <w:color w:val="1B3A6B"/>
          <w:sz w:val="22"/>
          <w:szCs w:val="22"/>
        </w:rPr>
        <w:t xml:space="preserve">17 août 2026  •  Leçon 11 / 20</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Objectif et continuité du parcours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distinguer les principaux concepts (usage, usage nocif, dépendance, trouble de l'usage) tels que les définissent le DSM-5 et la CIM-11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identifier les 11 critères diagnostiques du DSM-5 et les 3 niveaux de sévérité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reconnaître les mécanismes neurobiologiques communs aux addictions avec et sans substance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analyser une vignette clinique addictologique avec un regard non stigmatisant, centré sur la personne.</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Lien avec la leçon précédente (n°10 — Troubles des conduites alimentaires) : les TCA partagent avec les addictions le modèle du circuit de la récompense, le craving, la perte de contrôle et les comportements de restriction/compensation. Cette leçon prolonge cette réflexion sur les comportements compulsifs en l'élargissant aux substances psychoactives et aux addictions comportementales.</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Rappel déontologique</w:t>
      </w:r>
    </w:p>
    <w:p>
      <w:pPr>
        <w:shd w:fill="F3F4F6" w:color="auto" w:val="clear"/>
        <w:spacing w:after="80" w:before="80"/>
        <w:ind w:left="576" w:right="576"/>
      </w:pPr>
      <w:r>
        <w:rPr>
          <w:rFonts w:ascii="Times New Roman" w:cs="Times New Roman" w:eastAsia="Times New Roman" w:hAnsi="Times New Roman"/>
          <w:i/>
          <w:iCs/>
          <w:color w:val="1B3A6B"/>
          <w:sz w:val="22"/>
          <w:szCs w:val="22"/>
        </w:rPr>
        <w:t xml:space="preserve">Ces leçons visent à comprendre la psychopathologie pour mieux observer, accompagner et orienter — en aucun cas à poser un diagnostic, acte réservé aux médecins psychiatres et aux psychologues cliniciens.</w:t>
      </w:r>
    </w:p>
    <w:p>
      <w:pPr>
        <w:spacing w:after="60" w:before="60"/>
      </w:pPr>
      <w:r>
        <w:rPr>
          <w:rFonts w:ascii="Times New Roman" w:cs="Times New Roman" w:eastAsia="Times New Roman" w:hAnsi="Times New Roman"/>
          <w:b w:val="false"/>
          <w:bCs w:val="false"/>
          <w:i w:val="false"/>
          <w:iCs w:val="false"/>
          <w:color w:val="1F2937"/>
          <w:sz w:val="22"/>
          <w:szCs w:val="22"/>
        </w:rPr>
        <w:t xml:space="preserve">Dans le champ des addictions, ce rappel est particulièrement important : l'étiquette « addict » ou « dépendant » appliquée sans démarche diagnostique rigoureuse est stigmatisante et peut nuire à l'accompagnement. La posture de non-jugement, centrée sur la personne et le rétablissement, est le fil conducteur de cette leçon.</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Définitions fondamentales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 champ de l'addictologie a connu une évolution terminologique majeure au fil des classifications. Voici les concepts essentiels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Usage : consommation d'une substance sans conséquence délétère identifiable.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Usage nocif (CIM-11) / Abus (CIM-10) : mode de consommation entraînant des conséquences négatives sur la santé physique, mentale ou le fonctionnement social, sans critère de dépendance.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Dépendance : syndrome associant un désir puissant ou une compulsion à consommer, des difficultés à contrôler l'usage, une place croissante prise par la consommation au détriment d'autres activités, et des manifestations physiologiques (tolérance, sevrage). ⚠️ LE SEUIL « au moins 3 critères sur 6 » QUI FIGURAIT ICI A ÉTÉ RETIRÉ LE 06/09/2026 : c'est le jeu de critères de la CIM-10, et aucune des sources de cette leçon ne l'attribue à la CIM-11. Le nombre exact de critères requis par la CIM-11 n'a PAS pu être vérifié sur la source primaire lors de la correction — icd.who.int rend son contenu en JavaScript et l'API de l'OMS exige un jeton d'authentification. À vérifier directement dans la CIM-11 avant tout usage : ne retiens pas de seuil chiffré depuis cette leçon.</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Trouble de l'usage (DSM-5) : catégorie unifiée qui remplace et fusionne les anciens « abus » et « dépendance » du DSM-IV. Mesuré par 11 critères, il est gradué en léger (2-3 critères), modéré (4-5) et sévère (6+).</w:t>
      </w:r>
    </w:p>
    <w:p>
      <w:r>
        <w:t xml:space="preserve"/>
      </w:r>
    </w:p>
    <w:p>
      <w:pPr>
        <w:shd w:fill="F3F4F6" w:color="auto" w:val="clear"/>
        <w:spacing w:after="80" w:before="80"/>
        <w:ind w:left="576" w:right="576"/>
      </w:pPr>
      <w:r>
        <w:rPr>
          <w:rFonts w:ascii="Times New Roman" w:cs="Times New Roman" w:eastAsia="Times New Roman" w:hAnsi="Times New Roman"/>
          <w:i/>
          <w:iCs/>
          <w:color w:val="1B3A6B"/>
          <w:sz w:val="22"/>
          <w:szCs w:val="22"/>
        </w:rPr>
        <w:t xml:space="preserve">La page de l'OFDT porte deux textes distincts, qu'il ne faut pas confondre. Elle cite d'abord le DSM-5 : « Dans l'ensemble, le diagnostic de trouble de l'usage d'une substance repose sur un mode pathologique de comportements lié à la consommation d'une substance ». Elle donne ensuite, dans un bloc séparé, sa définition opérationnelle : « Mode d'usage problématique d'une substance conduisant à une altération du fonctionnement ou une souffrance cliniquement significative, caractérisée par la présence d'au moins deux des manifestations suivantes, au cours d'une période de 12 mois ». Les deux formulations sont reproduites ici telles qu'elles figurent sur la page, relue le 06/09/2026.</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11 critères diagnostiques du DSM-5</w:t>
      </w:r>
    </w:p>
    <w:p>
      <w:pPr>
        <w:spacing w:after="60" w:before="60"/>
      </w:pPr>
      <w:r>
        <w:rPr>
          <w:rFonts w:ascii="Times New Roman" w:cs="Times New Roman" w:eastAsia="Times New Roman" w:hAnsi="Times New Roman"/>
          <w:b w:val="false"/>
          <w:bCs w:val="false"/>
          <w:i w:val="false"/>
          <w:iCs w:val="false"/>
          <w:color w:val="1F2937"/>
          <w:sz w:val="22"/>
          <w:szCs w:val="22"/>
        </w:rPr>
        <w:t xml:space="preserve">Le DSM-5 structure le diagnostic autour de 11 critères répartis en 4 groupes fonctionnels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1B3A6B" w:color="auto" w:val="clear"/>
          </w:tcPr>
          <w:p>
            <w:pPr>
              <w:jc w:val="center"/>
            </w:pPr>
            <w:r>
              <w:rPr>
                <w:rFonts w:ascii="Times New Roman" w:cs="Times New Roman" w:eastAsia="Times New Roman" w:hAnsi="Times New Roman"/>
                <w:b/>
                <w:bCs/>
                <w:color w:val="FFFFFF"/>
                <w:sz w:val="20"/>
                <w:szCs w:val="20"/>
              </w:rPr>
              <w:t xml:space="preserve">N°</w:t>
            </w:r>
          </w:p>
        </w:tc>
        <w:tc>
          <w:tcPr>
            <w:tcW w:type="pct" w:w="22%"/>
            <w:shd w:fill="1B3A6B" w:color="auto" w:val="clear"/>
          </w:tcPr>
          <w:p>
            <w:r>
              <w:rPr>
                <w:rFonts w:ascii="Times New Roman" w:cs="Times New Roman" w:eastAsia="Times New Roman" w:hAnsi="Times New Roman"/>
                <w:b/>
                <w:bCs/>
                <w:color w:val="FFFFFF"/>
                <w:sz w:val="20"/>
                <w:szCs w:val="20"/>
              </w:rPr>
              <w:t xml:space="preserve">Groupe</w:t>
            </w:r>
          </w:p>
        </w:tc>
        <w:tc>
          <w:tcPr>
            <w:tcW w:type="pct" w:w="70%"/>
            <w:shd w:fill="1B3A6B" w:color="auto" w:val="clear"/>
          </w:tcPr>
          <w:p>
            <w:r>
              <w:rPr>
                <w:rFonts w:ascii="Times New Roman" w:cs="Times New Roman" w:eastAsia="Times New Roman" w:hAnsi="Times New Roman"/>
                <w:b/>
                <w:bCs/>
                <w:color w:val="FFFFFF"/>
                <w:sz w:val="20"/>
                <w:szCs w:val="20"/>
              </w:rPr>
              <w:t xml:space="preserve">Critère (résumé)</w:t>
            </w:r>
          </w:p>
        </w:tc>
      </w:tr>
      <w:tr>
        <w:tc>
          <w:tcPr>
            <w:tcW w:type="pct" w:w="8%"/>
          </w:tcPr>
          <w:p>
            <w:pPr>
              <w:jc w:val="center"/>
            </w:pPr>
            <w:r>
              <w:rPr>
                <w:rFonts w:ascii="Times New Roman" w:cs="Times New Roman" w:eastAsia="Times New Roman" w:hAnsi="Times New Roman"/>
                <w:b/>
                <w:bCs/>
                <w:color w:val="1B3A6B"/>
                <w:sz w:val="20"/>
                <w:szCs w:val="20"/>
              </w:rPr>
              <w:t xml:space="preserve">1</w:t>
            </w:r>
          </w:p>
        </w:tc>
        <w:tc>
          <w:tcPr>
            <w:tcW w:type="pct" w:w="22%"/>
          </w:tcPr>
          <w:p>
            <w:r>
              <w:rPr>
                <w:rFonts w:ascii="Times New Roman" w:cs="Times New Roman" w:eastAsia="Times New Roman" w:hAnsi="Times New Roman"/>
                <w:b/>
                <w:bCs/>
                <w:color w:val="1F2937"/>
                <w:sz w:val="20"/>
                <w:szCs w:val="20"/>
              </w:rPr>
              <w:t xml:space="preserve">Perte de contrôle</w:t>
            </w:r>
          </w:p>
        </w:tc>
        <w:tc>
          <w:tcPr>
            <w:tcW w:type="pct" w:w="70%"/>
          </w:tcPr>
          <w:p>
            <w:r>
              <w:rPr>
                <w:rFonts w:ascii="Times New Roman" w:cs="Times New Roman" w:eastAsia="Times New Roman" w:hAnsi="Times New Roman"/>
                <w:color w:val="1F2937"/>
                <w:sz w:val="20"/>
                <w:szCs w:val="20"/>
              </w:rPr>
              <w:t xml:space="preserve">Consommation en quantités ou sur une durée plus importantes que prévu</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2</w:t>
            </w:r>
          </w:p>
        </w:tc>
        <w:tc>
          <w:tcPr>
            <w:tcW w:type="pct" w:w="22%"/>
            <w:shd w:fill="EEF2F7" w:color="auto" w:val="clear"/>
          </w:tcPr>
          <w:p>
            <w:r>
              <w:rPr>
                <w:rFonts w:ascii="Times New Roman" w:cs="Times New Roman" w:eastAsia="Times New Roman" w:hAnsi="Times New Roman"/>
                <w:b/>
                <w:bCs/>
                <w:color w:val="1F2937"/>
                <w:sz w:val="20"/>
                <w:szCs w:val="20"/>
              </w:rPr>
              <w:t xml:space="preserve">Perte de contrôle</w:t>
            </w:r>
          </w:p>
        </w:tc>
        <w:tc>
          <w:tcPr>
            <w:tcW w:type="pct" w:w="70%"/>
            <w:shd w:fill="EEF2F7" w:color="auto" w:val="clear"/>
          </w:tcPr>
          <w:p>
            <w:r>
              <w:rPr>
                <w:rFonts w:ascii="Times New Roman" w:cs="Times New Roman" w:eastAsia="Times New Roman" w:hAnsi="Times New Roman"/>
                <w:color w:val="1F2937"/>
                <w:sz w:val="20"/>
                <w:szCs w:val="20"/>
              </w:rPr>
              <w:t xml:space="preserve">Désir persistant ou efforts infructueux pour réduire</w:t>
            </w:r>
          </w:p>
        </w:tc>
      </w:tr>
      <w:tr>
        <w:tc>
          <w:tcPr>
            <w:tcW w:type="pct" w:w="8%"/>
          </w:tcPr>
          <w:p>
            <w:pPr>
              <w:jc w:val="center"/>
            </w:pPr>
            <w:r>
              <w:rPr>
                <w:rFonts w:ascii="Times New Roman" w:cs="Times New Roman" w:eastAsia="Times New Roman" w:hAnsi="Times New Roman"/>
                <w:b/>
                <w:bCs/>
                <w:color w:val="1B3A6B"/>
                <w:sz w:val="20"/>
                <w:szCs w:val="20"/>
              </w:rPr>
              <w:t xml:space="preserve">3</w:t>
            </w:r>
          </w:p>
        </w:tc>
        <w:tc>
          <w:tcPr>
            <w:tcW w:type="pct" w:w="22%"/>
          </w:tcPr>
          <w:p>
            <w:r>
              <w:rPr>
                <w:rFonts w:ascii="Times New Roman" w:cs="Times New Roman" w:eastAsia="Times New Roman" w:hAnsi="Times New Roman"/>
                <w:b/>
                <w:bCs/>
                <w:color w:val="1F2937"/>
                <w:sz w:val="20"/>
                <w:szCs w:val="20"/>
              </w:rPr>
              <w:t xml:space="preserve">Perte de contrôle</w:t>
            </w:r>
          </w:p>
        </w:tc>
        <w:tc>
          <w:tcPr>
            <w:tcW w:type="pct" w:w="70%"/>
          </w:tcPr>
          <w:p>
            <w:r>
              <w:rPr>
                <w:rFonts w:ascii="Times New Roman" w:cs="Times New Roman" w:eastAsia="Times New Roman" w:hAnsi="Times New Roman"/>
                <w:color w:val="1F2937"/>
                <w:sz w:val="20"/>
                <w:szCs w:val="20"/>
              </w:rPr>
              <w:t xml:space="preserve">Temps considérable consacré à obtenir, consommer, récupérer</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4</w:t>
            </w:r>
          </w:p>
        </w:tc>
        <w:tc>
          <w:tcPr>
            <w:tcW w:type="pct" w:w="22%"/>
            <w:shd w:fill="EEF2F7" w:color="auto" w:val="clear"/>
          </w:tcPr>
          <w:p>
            <w:r>
              <w:rPr>
                <w:rFonts w:ascii="Times New Roman" w:cs="Times New Roman" w:eastAsia="Times New Roman" w:hAnsi="Times New Roman"/>
                <w:b/>
                <w:bCs/>
                <w:color w:val="1F2937"/>
                <w:sz w:val="20"/>
                <w:szCs w:val="20"/>
              </w:rPr>
              <w:t xml:space="preserve">Perte de contrôle</w:t>
            </w:r>
          </w:p>
        </w:tc>
        <w:tc>
          <w:tcPr>
            <w:tcW w:type="pct" w:w="70%"/>
            <w:shd w:fill="EEF2F7" w:color="auto" w:val="clear"/>
          </w:tcPr>
          <w:p>
            <w:r>
              <w:rPr>
                <w:rFonts w:ascii="Times New Roman" w:cs="Times New Roman" w:eastAsia="Times New Roman" w:hAnsi="Times New Roman"/>
                <w:color w:val="1F2937"/>
                <w:sz w:val="20"/>
                <w:szCs w:val="20"/>
              </w:rPr>
              <w:t xml:space="preserve">Craving : envie impérieuse ou compulsion à consommer</w:t>
            </w:r>
          </w:p>
        </w:tc>
      </w:tr>
      <w:tr>
        <w:tc>
          <w:tcPr>
            <w:tcW w:type="pct" w:w="8%"/>
          </w:tcPr>
          <w:p>
            <w:pPr>
              <w:jc w:val="center"/>
            </w:pPr>
            <w:r>
              <w:rPr>
                <w:rFonts w:ascii="Times New Roman" w:cs="Times New Roman" w:eastAsia="Times New Roman" w:hAnsi="Times New Roman"/>
                <w:b/>
                <w:bCs/>
                <w:color w:val="1B3A6B"/>
                <w:sz w:val="20"/>
                <w:szCs w:val="20"/>
              </w:rPr>
              <w:t xml:space="preserve">5</w:t>
            </w:r>
          </w:p>
        </w:tc>
        <w:tc>
          <w:tcPr>
            <w:tcW w:type="pct" w:w="22%"/>
          </w:tcPr>
          <w:p>
            <w:r>
              <w:rPr>
                <w:rFonts w:ascii="Times New Roman" w:cs="Times New Roman" w:eastAsia="Times New Roman" w:hAnsi="Times New Roman"/>
                <w:b/>
                <w:bCs/>
                <w:color w:val="1F2937"/>
                <w:sz w:val="20"/>
                <w:szCs w:val="20"/>
              </w:rPr>
              <w:t xml:space="preserve">Dysfonction sociale</w:t>
            </w:r>
          </w:p>
        </w:tc>
        <w:tc>
          <w:tcPr>
            <w:tcW w:type="pct" w:w="70%"/>
          </w:tcPr>
          <w:p>
            <w:r>
              <w:rPr>
                <w:rFonts w:ascii="Times New Roman" w:cs="Times New Roman" w:eastAsia="Times New Roman" w:hAnsi="Times New Roman"/>
                <w:color w:val="1F2937"/>
                <w:sz w:val="20"/>
                <w:szCs w:val="20"/>
              </w:rPr>
              <w:t xml:space="preserve">Manquements aux obligations majeures (travail, famille…)</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6</w:t>
            </w:r>
          </w:p>
        </w:tc>
        <w:tc>
          <w:tcPr>
            <w:tcW w:type="pct" w:w="22%"/>
            <w:shd w:fill="EEF2F7" w:color="auto" w:val="clear"/>
          </w:tcPr>
          <w:p>
            <w:r>
              <w:rPr>
                <w:rFonts w:ascii="Times New Roman" w:cs="Times New Roman" w:eastAsia="Times New Roman" w:hAnsi="Times New Roman"/>
                <w:b/>
                <w:bCs/>
                <w:color w:val="1F2937"/>
                <w:sz w:val="20"/>
                <w:szCs w:val="20"/>
              </w:rPr>
              <w:t xml:space="preserve">Dysfonction sociale</w:t>
            </w:r>
          </w:p>
        </w:tc>
        <w:tc>
          <w:tcPr>
            <w:tcW w:type="pct" w:w="70%"/>
            <w:shd w:fill="EEF2F7" w:color="auto" w:val="clear"/>
          </w:tcPr>
          <w:p>
            <w:r>
              <w:rPr>
                <w:rFonts w:ascii="Times New Roman" w:cs="Times New Roman" w:eastAsia="Times New Roman" w:hAnsi="Times New Roman"/>
                <w:color w:val="1F2937"/>
                <w:sz w:val="20"/>
                <w:szCs w:val="20"/>
              </w:rPr>
              <w:t xml:space="preserve">Problèmes interpersonnels ou sociaux persistants non résolus</w:t>
            </w:r>
          </w:p>
        </w:tc>
      </w:tr>
      <w:tr>
        <w:tc>
          <w:tcPr>
            <w:tcW w:type="pct" w:w="8%"/>
          </w:tcPr>
          <w:p>
            <w:pPr>
              <w:jc w:val="center"/>
            </w:pPr>
            <w:r>
              <w:rPr>
                <w:rFonts w:ascii="Times New Roman" w:cs="Times New Roman" w:eastAsia="Times New Roman" w:hAnsi="Times New Roman"/>
                <w:b/>
                <w:bCs/>
                <w:color w:val="1B3A6B"/>
                <w:sz w:val="20"/>
                <w:szCs w:val="20"/>
              </w:rPr>
              <w:t xml:space="preserve">7</w:t>
            </w:r>
          </w:p>
        </w:tc>
        <w:tc>
          <w:tcPr>
            <w:tcW w:type="pct" w:w="22%"/>
          </w:tcPr>
          <w:p>
            <w:r>
              <w:rPr>
                <w:rFonts w:ascii="Times New Roman" w:cs="Times New Roman" w:eastAsia="Times New Roman" w:hAnsi="Times New Roman"/>
                <w:b/>
                <w:bCs/>
                <w:color w:val="1F2937"/>
                <w:sz w:val="20"/>
                <w:szCs w:val="20"/>
              </w:rPr>
              <w:t xml:space="preserve">Dysfonction sociale</w:t>
            </w:r>
          </w:p>
        </w:tc>
        <w:tc>
          <w:tcPr>
            <w:tcW w:type="pct" w:w="70%"/>
          </w:tcPr>
          <w:p>
            <w:r>
              <w:rPr>
                <w:rFonts w:ascii="Times New Roman" w:cs="Times New Roman" w:eastAsia="Times New Roman" w:hAnsi="Times New Roman"/>
                <w:color w:val="1F2937"/>
                <w:sz w:val="20"/>
                <w:szCs w:val="20"/>
              </w:rPr>
              <w:t xml:space="preserve">Abandon d'activités importantes (sociales, professionnelles, loisirs)</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8</w:t>
            </w:r>
          </w:p>
        </w:tc>
        <w:tc>
          <w:tcPr>
            <w:tcW w:type="pct" w:w="22%"/>
            <w:shd w:fill="EEF2F7" w:color="auto" w:val="clear"/>
          </w:tcPr>
          <w:p>
            <w:r>
              <w:rPr>
                <w:rFonts w:ascii="Times New Roman" w:cs="Times New Roman" w:eastAsia="Times New Roman" w:hAnsi="Times New Roman"/>
                <w:b/>
                <w:bCs/>
                <w:color w:val="1F2937"/>
                <w:sz w:val="20"/>
                <w:szCs w:val="20"/>
              </w:rPr>
              <w:t xml:space="preserve">Usage risqué</w:t>
            </w:r>
          </w:p>
        </w:tc>
        <w:tc>
          <w:tcPr>
            <w:tcW w:type="pct" w:w="70%"/>
            <w:shd w:fill="EEF2F7" w:color="auto" w:val="clear"/>
          </w:tcPr>
          <w:p>
            <w:r>
              <w:rPr>
                <w:rFonts w:ascii="Times New Roman" w:cs="Times New Roman" w:eastAsia="Times New Roman" w:hAnsi="Times New Roman"/>
                <w:color w:val="1F2937"/>
                <w:sz w:val="20"/>
                <w:szCs w:val="20"/>
              </w:rPr>
              <w:t xml:space="preserve">Usage dans des situations physiquement dangereuses</w:t>
            </w:r>
          </w:p>
        </w:tc>
      </w:tr>
      <w:tr>
        <w:tc>
          <w:tcPr>
            <w:tcW w:type="pct" w:w="8%"/>
          </w:tcPr>
          <w:p>
            <w:pPr>
              <w:jc w:val="center"/>
            </w:pPr>
            <w:r>
              <w:rPr>
                <w:rFonts w:ascii="Times New Roman" w:cs="Times New Roman" w:eastAsia="Times New Roman" w:hAnsi="Times New Roman"/>
                <w:b/>
                <w:bCs/>
                <w:color w:val="1B3A6B"/>
                <w:sz w:val="20"/>
                <w:szCs w:val="20"/>
              </w:rPr>
              <w:t xml:space="preserve">9</w:t>
            </w:r>
          </w:p>
        </w:tc>
        <w:tc>
          <w:tcPr>
            <w:tcW w:type="pct" w:w="22%"/>
          </w:tcPr>
          <w:p>
            <w:r>
              <w:rPr>
                <w:rFonts w:ascii="Times New Roman" w:cs="Times New Roman" w:eastAsia="Times New Roman" w:hAnsi="Times New Roman"/>
                <w:b/>
                <w:bCs/>
                <w:color w:val="1F2937"/>
                <w:sz w:val="20"/>
                <w:szCs w:val="20"/>
              </w:rPr>
              <w:t xml:space="preserve">Usage risqué</w:t>
            </w:r>
          </w:p>
        </w:tc>
        <w:tc>
          <w:tcPr>
            <w:tcW w:type="pct" w:w="70%"/>
          </w:tcPr>
          <w:p>
            <w:r>
              <w:rPr>
                <w:rFonts w:ascii="Times New Roman" w:cs="Times New Roman" w:eastAsia="Times New Roman" w:hAnsi="Times New Roman"/>
                <w:color w:val="1F2937"/>
                <w:sz w:val="20"/>
                <w:szCs w:val="20"/>
              </w:rPr>
              <w:t xml:space="preserve">Poursuite malgré la connaissance de problèmes physiques/psychologiques persistants</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10</w:t>
            </w:r>
          </w:p>
        </w:tc>
        <w:tc>
          <w:tcPr>
            <w:tcW w:type="pct" w:w="22%"/>
            <w:shd w:fill="EEF2F7" w:color="auto" w:val="clear"/>
          </w:tcPr>
          <w:p>
            <w:r>
              <w:rPr>
                <w:rFonts w:ascii="Times New Roman" w:cs="Times New Roman" w:eastAsia="Times New Roman" w:hAnsi="Times New Roman"/>
                <w:b/>
                <w:bCs/>
                <w:color w:val="1F2937"/>
                <w:sz w:val="20"/>
                <w:szCs w:val="20"/>
              </w:rPr>
              <w:t xml:space="preserve">Pharmacologie</w:t>
            </w:r>
          </w:p>
        </w:tc>
        <w:tc>
          <w:tcPr>
            <w:tcW w:type="pct" w:w="70%"/>
            <w:shd w:fill="EEF2F7" w:color="auto" w:val="clear"/>
          </w:tcPr>
          <w:p>
            <w:r>
              <w:rPr>
                <w:rFonts w:ascii="Times New Roman" w:cs="Times New Roman" w:eastAsia="Times New Roman" w:hAnsi="Times New Roman"/>
                <w:color w:val="1F2937"/>
                <w:sz w:val="20"/>
                <w:szCs w:val="20"/>
              </w:rPr>
              <w:t xml:space="preserve">Tolérance : besoin de doses croissantes pour l'effet désiré</w:t>
            </w:r>
          </w:p>
        </w:tc>
      </w:tr>
      <w:tr>
        <w:tc>
          <w:tcPr>
            <w:tcW w:type="pct" w:w="8%"/>
          </w:tcPr>
          <w:p>
            <w:pPr>
              <w:jc w:val="center"/>
            </w:pPr>
            <w:r>
              <w:rPr>
                <w:rFonts w:ascii="Times New Roman" w:cs="Times New Roman" w:eastAsia="Times New Roman" w:hAnsi="Times New Roman"/>
                <w:b/>
                <w:bCs/>
                <w:color w:val="1B3A6B"/>
                <w:sz w:val="20"/>
                <w:szCs w:val="20"/>
              </w:rPr>
              <w:t xml:space="preserve">11</w:t>
            </w:r>
          </w:p>
        </w:tc>
        <w:tc>
          <w:tcPr>
            <w:tcW w:type="pct" w:w="22%"/>
          </w:tcPr>
          <w:p>
            <w:r>
              <w:rPr>
                <w:rFonts w:ascii="Times New Roman" w:cs="Times New Roman" w:eastAsia="Times New Roman" w:hAnsi="Times New Roman"/>
                <w:b/>
                <w:bCs/>
                <w:color w:val="1F2937"/>
                <w:sz w:val="20"/>
                <w:szCs w:val="20"/>
              </w:rPr>
              <w:t xml:space="preserve">Pharmacologie</w:t>
            </w:r>
          </w:p>
        </w:tc>
        <w:tc>
          <w:tcPr>
            <w:tcW w:type="pct" w:w="70%"/>
          </w:tcPr>
          <w:p>
            <w:r>
              <w:rPr>
                <w:rFonts w:ascii="Times New Roman" w:cs="Times New Roman" w:eastAsia="Times New Roman" w:hAnsi="Times New Roman"/>
                <w:color w:val="1F2937"/>
                <w:sz w:val="20"/>
                <w:szCs w:val="20"/>
              </w:rPr>
              <w:t xml:space="preserve">Sevrage : syndrome caractéristique ou consommation pour l'éviter</w:t>
            </w:r>
          </w:p>
        </w:tc>
      </w:tr>
    </w:tbl>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Seuil diagnostique : ≥ 2 critères sur 12 mois. Sévérité : léger (2-3) / modéré (4-5) / sévère (≥ 6).</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Point d'attention : la tolérance et le sevrage seuls (critères 10 et 11), dans le cadre d'une prescription médicale appropriée, ne suffisent pas à poser le diagnostic. Le contexte d'usage est déterminant.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DSM-5 vs CIM-11 : convergences et divergences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deux classifications coexistent en pratique clinique et en recherche. Leur comparaison éclaire la complexité du champ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Dimension</w:t>
            </w:r>
          </w:p>
        </w:tc>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DSM-5 (APA, 2013/2022)</w:t>
            </w:r>
          </w:p>
        </w:tc>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CIM-11 (OMS, en vigueur depuis 2022) ⚠️ colonne non sourcée — voir la note sous le tableau</w:t>
            </w:r>
          </w:p>
        </w:tc>
      </w:tr>
      <w:tr>
        <w:tc>
          <w:tcPr>
            <w:tcW w:type="pct" w:w="33%"/>
            <w:shd w:fill="EEF2F7" w:color="auto" w:val="clear"/>
          </w:tcPr>
          <w:p>
            <w:r>
              <w:rPr>
                <w:rFonts w:ascii="Times New Roman" w:cs="Times New Roman" w:eastAsia="Times New Roman" w:hAnsi="Times New Roman"/>
                <w:color w:val="1F2937"/>
                <w:sz w:val="20"/>
                <w:szCs w:val="20"/>
              </w:rPr>
              <w:t xml:space="preserve">Approche</w:t>
            </w:r>
          </w:p>
        </w:tc>
        <w:tc>
          <w:tcPr>
            <w:tcW w:type="pct" w:w="33%"/>
            <w:shd w:fill="EEF2F7" w:color="auto" w:val="clear"/>
          </w:tcPr>
          <w:p>
            <w:r>
              <w:rPr>
                <w:rFonts w:ascii="Times New Roman" w:cs="Times New Roman" w:eastAsia="Times New Roman" w:hAnsi="Times New Roman"/>
                <w:color w:val="1F2937"/>
                <w:sz w:val="20"/>
                <w:szCs w:val="20"/>
              </w:rPr>
              <w:t xml:space="preserve">Dimensionnelle (continuum)</w:t>
            </w:r>
          </w:p>
        </w:tc>
        <w:tc>
          <w:tcPr>
            <w:tcW w:type="pct" w:w="33%"/>
            <w:shd w:fill="EEF2F7" w:color="auto" w:val="clear"/>
          </w:tcPr>
          <w:p>
            <w:r>
              <w:rPr>
                <w:rFonts w:ascii="Times New Roman" w:cs="Times New Roman" w:eastAsia="Times New Roman" w:hAnsi="Times New Roman"/>
                <w:color w:val="1F2937"/>
                <w:sz w:val="20"/>
                <w:szCs w:val="20"/>
              </w:rPr>
              <w:t xml:space="preserve">Catégorielle ⚠️ non vérifié sur la CIM-11</w:t>
            </w:r>
          </w:p>
        </w:tc>
      </w:tr>
      <w:tr>
        <w:tc>
          <w:tcPr>
            <w:tcW w:type="pct" w:w="33%"/>
          </w:tcPr>
          <w:p>
            <w:r>
              <w:rPr>
                <w:rFonts w:ascii="Times New Roman" w:cs="Times New Roman" w:eastAsia="Times New Roman" w:hAnsi="Times New Roman"/>
                <w:color w:val="1F2937"/>
                <w:sz w:val="20"/>
                <w:szCs w:val="20"/>
              </w:rPr>
              <w:t xml:space="preserve">Concept central</w:t>
            </w:r>
          </w:p>
        </w:tc>
        <w:tc>
          <w:tcPr>
            <w:tcW w:type="pct" w:w="33%"/>
          </w:tcPr>
          <w:p>
            <w:r>
              <w:rPr>
                <w:rFonts w:ascii="Times New Roman" w:cs="Times New Roman" w:eastAsia="Times New Roman" w:hAnsi="Times New Roman"/>
                <w:color w:val="1F2937"/>
                <w:sz w:val="20"/>
                <w:szCs w:val="20"/>
              </w:rPr>
              <w:t xml:space="preserve">Trouble de l'usage (unique)</w:t>
            </w:r>
          </w:p>
        </w:tc>
        <w:tc>
          <w:tcPr>
            <w:tcW w:type="pct" w:w="33%"/>
          </w:tcPr>
          <w:p>
            <w:r>
              <w:rPr>
                <w:rFonts w:ascii="Times New Roman" w:cs="Times New Roman" w:eastAsia="Times New Roman" w:hAnsi="Times New Roman"/>
                <w:color w:val="1F2937"/>
                <w:sz w:val="20"/>
                <w:szCs w:val="20"/>
              </w:rPr>
              <w:t xml:space="preserve">Usage nocif + Dépendance (deux catégories) ⚠️ non vérifié sur la CIM-11</w:t>
            </w:r>
          </w:p>
        </w:tc>
      </w:tr>
      <w:tr>
        <w:tc>
          <w:tcPr>
            <w:tcW w:type="pct" w:w="33%"/>
            <w:shd w:fill="EEF2F7" w:color="auto" w:val="clear"/>
          </w:tcPr>
          <w:p>
            <w:r>
              <w:rPr>
                <w:rFonts w:ascii="Times New Roman" w:cs="Times New Roman" w:eastAsia="Times New Roman" w:hAnsi="Times New Roman"/>
                <w:color w:val="1F2937"/>
                <w:sz w:val="20"/>
                <w:szCs w:val="20"/>
              </w:rPr>
              <w:t xml:space="preserve">Critères</w:t>
            </w:r>
          </w:p>
        </w:tc>
        <w:tc>
          <w:tcPr>
            <w:tcW w:type="pct" w:w="33%"/>
            <w:shd w:fill="EEF2F7" w:color="auto" w:val="clear"/>
          </w:tcPr>
          <w:p>
            <w:r>
              <w:rPr>
                <w:rFonts w:ascii="Times New Roman" w:cs="Times New Roman" w:eastAsia="Times New Roman" w:hAnsi="Times New Roman"/>
                <w:color w:val="1F2937"/>
                <w:sz w:val="20"/>
                <w:szCs w:val="20"/>
              </w:rPr>
              <w:t xml:space="preserve">11 critères → 3 niveaux (léger / modéré / sévère)</w:t>
            </w:r>
          </w:p>
        </w:tc>
        <w:tc>
          <w:tcPr>
            <w:tcW w:type="pct" w:w="33%"/>
            <w:shd w:fill="EEF2F7" w:color="auto" w:val="clear"/>
          </w:tcPr>
          <w:p>
            <w:r>
              <w:rPr>
                <w:rFonts w:ascii="Times New Roman" w:cs="Times New Roman" w:eastAsia="Times New Roman" w:hAnsi="Times New Roman"/>
                <w:color w:val="1F2937"/>
                <w:sz w:val="20"/>
                <w:szCs w:val="20"/>
              </w:rPr>
              <w:t xml:space="preserve">⚠️ nombre de critères NON VÉRIFIÉ — le « 6 » retiré le 06/09/2026 (jeu de critères CIM-10)</w:t>
            </w:r>
          </w:p>
        </w:tc>
      </w:tr>
      <w:tr>
        <w:tc>
          <w:tcPr>
            <w:tcW w:type="pct" w:w="33%"/>
          </w:tcPr>
          <w:p>
            <w:r>
              <w:rPr>
                <w:rFonts w:ascii="Times New Roman" w:cs="Times New Roman" w:eastAsia="Times New Roman" w:hAnsi="Times New Roman"/>
                <w:color w:val="1F2937"/>
                <w:sz w:val="20"/>
                <w:szCs w:val="20"/>
              </w:rPr>
              <w:t xml:space="preserve">Addictions comportementales</w:t>
            </w:r>
          </w:p>
        </w:tc>
        <w:tc>
          <w:tcPr>
            <w:tcW w:type="pct" w:w="33%"/>
          </w:tcPr>
          <w:p>
            <w:r>
              <w:rPr>
                <w:rFonts w:ascii="Times New Roman" w:cs="Times New Roman" w:eastAsia="Times New Roman" w:hAnsi="Times New Roman"/>
                <w:color w:val="1F2937"/>
                <w:sz w:val="20"/>
                <w:szCs w:val="20"/>
              </w:rPr>
              <w:t xml:space="preserve">Jeux d'argent (officiel) ; Jeux vidéo (section III)</w:t>
            </w:r>
          </w:p>
        </w:tc>
        <w:tc>
          <w:tcPr>
            <w:tcW w:type="pct" w:w="33%"/>
          </w:tcPr>
          <w:p>
            <w:r>
              <w:rPr>
                <w:rFonts w:ascii="Times New Roman" w:cs="Times New Roman" w:eastAsia="Times New Roman" w:hAnsi="Times New Roman"/>
                <w:color w:val="1F2937"/>
                <w:sz w:val="20"/>
                <w:szCs w:val="20"/>
              </w:rPr>
              <w:t xml:space="preserve">Jeux d'argent + Jeux vidéo (officiels)</w:t>
            </w:r>
          </w:p>
        </w:tc>
      </w:tr>
      <w:tr>
        <w:tc>
          <w:tcPr>
            <w:tcW w:type="pct" w:w="33%"/>
            <w:shd w:fill="EEF2F7" w:color="auto" w:val="clear"/>
          </w:tcPr>
          <w:p>
            <w:r>
              <w:rPr>
                <w:rFonts w:ascii="Times New Roman" w:cs="Times New Roman" w:eastAsia="Times New Roman" w:hAnsi="Times New Roman"/>
                <w:color w:val="1F2937"/>
                <w:sz w:val="20"/>
                <w:szCs w:val="20"/>
              </w:rPr>
              <w:t xml:space="preserve">Tolérance / Sevrage</w:t>
            </w:r>
          </w:p>
        </w:tc>
        <w:tc>
          <w:tcPr>
            <w:tcW w:type="pct" w:w="33%"/>
            <w:shd w:fill="EEF2F7" w:color="auto" w:val="clear"/>
          </w:tcPr>
          <w:p>
            <w:r>
              <w:rPr>
                <w:rFonts w:ascii="Times New Roman" w:cs="Times New Roman" w:eastAsia="Times New Roman" w:hAnsi="Times New Roman"/>
                <w:color w:val="1F2937"/>
                <w:sz w:val="20"/>
                <w:szCs w:val="20"/>
              </w:rPr>
              <w:t xml:space="preserve">Critères 10 et 11 sur 11</w:t>
            </w:r>
          </w:p>
        </w:tc>
        <w:tc>
          <w:tcPr>
            <w:tcW w:type="pct" w:w="33%"/>
            <w:shd w:fill="EEF2F7" w:color="auto" w:val="clear"/>
          </w:tcPr>
          <w:p>
            <w:r>
              <w:rPr>
                <w:rFonts w:ascii="Times New Roman" w:cs="Times New Roman" w:eastAsia="Times New Roman" w:hAnsi="Times New Roman"/>
                <w:color w:val="1F2937"/>
                <w:sz w:val="20"/>
                <w:szCs w:val="20"/>
              </w:rPr>
              <w:t xml:space="preserve">Inclus dans critères de dépendance</w:t>
            </w:r>
          </w:p>
        </w:tc>
      </w:tr>
    </w:tbl>
    <w:p>
      <w:pPr>
        <w:shd w:fill="FFF4E5" w:color="auto" w:val="clear"/>
        <w:spacing w:after="80" w:before="80"/>
        <w:ind w:left="288" w:right="288"/>
      </w:pPr>
      <w:r>
        <w:rPr>
          <w:rFonts w:ascii="Times New Roman" w:cs="Times New Roman" w:eastAsia="Times New Roman" w:hAnsi="Times New Roman"/>
          <w:b/>
          <w:bCs/>
          <w:color w:val="92400E"/>
          <w:sz w:val="22"/>
          <w:szCs w:val="22"/>
        </w:rPr>
        <w:t xml:space="preserve">⚠️ AVERTISSEMENT SUR LA COLONNE CIM-11 (ajouté le 06/09/2026). Cette colonne a été construite à partir d’un article d’Addict’Aide (B. Rolland) daté du 4 janvier 2018, soit AVANT l’entrée en vigueur de la CIM-11. Cet article écrit lui-même : « La version actuelle de la CIM est la 10e (CIM-10), mais une onzième est en préparation », compare le DSM-5 à la CIM-10, et parle de la CIM-11 au futur. Ce qui est décrit ici comme l’état de la CIM-11 est donc, pour partie, une description de la CIM-10 et une anticipation de 2018. Les lignes marquées ⚠️ sont à vérifier dans la CIM-11 elle-même (icd.who.int) avant tout usage. Ce qui reste établi et non affecté : le DSM-5 fusionne abus et dépendance en un « trouble de l’usage » unique gradué par 11 critères, là où la CIM sépare usage nocif et dépendance en deux catégories.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Mécanismes neurobiologiques : le circuit de la récompense</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addictions — avec ou sans substance — partagent une base neurobiologique commune, largement documentée dans la littérature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Le système dopaminergique mésolimbique (voie dopaminergique de la récompense) joue un rôle central. La consommation d'une substance psychoactive provoque une libération de dopamine dans le noyau accumbens, générant un sentiment de plaisir intense (« renforcement positif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Avec la répétition, des phénomènes de tolérance (diminution de la réponse) et de sensibilisation (hypersensibilité au craving) s'installent.</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Le sevrage active des circuits de stress (amygdale, CRF) et génère des états dysphoriques qui entretiennent la consommation par « renforcement négatif » (consommer pour échapper à la souffrance du manque).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Des remaniements du cortex préfrontal réduisent les capacités de contrôle inhibiteur et de prise de décision à long terme.</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Ces mécanismes sont communs aux addictions comportementales (jeux d'argent, jeux vidéo) et aux addictions avec substance : le même circuit est sollicité, c'est pourquoi la CIM-11 et le DSM-5 reconnaissent désormais officiellement certaines addictions sans substance.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5. Substances et addictions comportementales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substances psychoactives couvertes par les classifications comprennent : alcool, tabac, cannabis, opioïdes, stimulants (cocaïne, amphétamines), hallucinogènes, benzodiazépines et hypnotiques, inhalants, phencyclidine et autres substances.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Addictions comportementales reconnues officiellement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Jeux d'argent et de hasard (DSM-5 et CIM-11 — section officielle)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Trouble du jeu vidéo / jeux en ligne (CIM-11 — section officielle ; DSM-5 section III, conditions nécessitant plus de recherches)</w:t>
      </w:r>
    </w:p>
    <w:p>
      <w:pPr>
        <w:spacing w:after="60" w:before="60"/>
      </w:pPr>
      <w:r>
        <w:rPr>
          <w:rFonts w:ascii="Times New Roman" w:cs="Times New Roman" w:eastAsia="Times New Roman" w:hAnsi="Times New Roman"/>
          <w:b w:val="false"/>
          <w:bCs w:val="false"/>
          <w:i w:val="false"/>
          <w:iCs w:val="false"/>
          <w:color w:val="1F2937"/>
          <w:sz w:val="22"/>
          <w:szCs w:val="22"/>
        </w:rPr>
        <w:t xml:space="preserve">Addictions comportementales en débat clinique (non officialisées) : achats compulsifs, utilisation problématique des réseaux sociaux, hypersexualité, exercice compulsif. Ces comportements partagent les mêmes mécanismes neurobiologiques mais ne remplissent pas encore les critères de validation nécessaires à une inclusion officielle.</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Repérage des critères DSM-5 dans une vignette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Lis la vignette suivante, puis réponds aux questions.</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Vignette — Karim, 34 ans
Karim est accompagné dans un foyer de vie depuis 3 ans. Il bénéficie d'un travail en ESAT à mi-temps. Ces derniers mois, l'équipe a noté qu'il sent de plus en plus souvent l'alcool le matin. Karim explique qu'il « boit un peu pour se calmer » depuis que son frère a été hospitalisé. Il a manqué plusieurs journées d'ESAT sans prévenir. Lors des sorties collectives, il cherche systématiquement à partir seul pour « boire un verre ». Il s'énerve quand on lui parle de sa consommation et dit qu'il « peut arrêter quand il veut ». Le médecin généraliste a signalé une augmentation des transaminases. Karim continue à consommer malgré ce résultat et les conseils médicaux.</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1a. Identifie les critères DSM-5 présents dans la vignette. Indique le numéro du critère, son groupe et la phrase de la vignette qui le décrit.</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1b. Quelle est la sévérité du trouble selon le DSM-5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1c. Quels signes t'ont alerté en premier ? Pour quelle raison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1d. La phrase « il peut arrêter quand il veut » est-elle cliniquement significative ? Pourquoi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 Corrigé le 06/09/2026 — le critère 4 ne s'applique PAS ici. Le tableau de la partie théorique définit le critère 4 comme « craving : envie impérieuse ou compulsion à consommer », c'est-à-dire l'envie elle-même. « Boire un peu pour se calmer » décrit une régulation émotionnelle, pas un craving : c'est une FONCTION de la consommation, qui a sa valeur clinique mais ne figure dans aucun des 11 critères. Elle mérite d'être notée comme hypothèse de fonction, à explorer en entretien — et non comptée comme critère.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5 (manquements obligations) : absences répétées à l'ESAT sans prévenir.</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6 (problèmes interpersonnels) : réaction défensive et conflictuelle quand l'entourage aborde la consommation.</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7 (abandon d'activités) : sortir seul lors des sorties collectives pour consommer, au détriment de la participation groupale.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9 (poursuite malgré dommages) : continuation malgré résultat biologique anormal et avis médical.</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Sévérité : 4 critères identifiés (5, 6, 7 et 9) → trouble modéré (4-5 critères). ⚠️ Le décompte était de 5 avant la correction du 06/09/2026, le critère 4 ayant été compté à tort ; la conclusion de sévérité, elle, ne change pas — 4 comme 5 critères relèvent du niveau modéré. Un examen clinique approfondi pourrait révéler d'autres critères (tolérance, sevrage).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La phrase « je peux arrêter quand je veux » est une banalisation fréquente qui peut masquer une perte de contrôle réelle (critère 2 : désir ou efforts infructueux de réduire). Elle ne suffit pas à invalider le diagnostic mais appelle une exploration approfondie.</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 Rappel déontologique : ce repérage est une aide à l'observation et à l'orientation. Seul un médecin ou un psychologue clinicien peut poser un diagnostic.</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Compréhension active : DSM-5 vs CIM-11</w:t>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de compréhension à formuler par écrit (sans regarder le tableau de la partie théorie)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2a. Quelle est la principale différence d'approche entre le DSM-5 (dimensionnel) et la CIM-11 (catégoriel) dans le diagnostic des troubles liés à l'usage de substances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2b. Dans la CIM-11, qu'est-ce qui distingue l'« usage nocif » de la « dépendance »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2c. Pourquoi le DSM-IV distinguait-il « abus » et « dépendance » alors que le DSM-5 les fusionne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2d. Un patient reçoit un traitement à la morphine depuis 6 mois pour une douleur chronique. Il présente des critères 10 (tolérance) et 11 (sevrage). A-t-il un trouble de l'usage selon le DSM-5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2a. Le DSM-5 conçoit le trouble comme un continuum (de léger à sévère) mesurable par des critères additifs. La CIM-11 maintient des catégories distinctes (usage nocif / dépendance), avec des critères seuils pour chaque catégorie.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2b. L'usage nocif désigne un mode de consommation entraînant des conséquences négatives sur la santé ou le fonctionnement social, sans syndrome de dépendance constitué. La dépendance, elle, associe compulsion, perte de contrôle et manifestations physiologiques. ⚠️ Le seuil « ≥ 3 critères sur 6 » qui figurait ici a été retiré le 06/09/2026 : il relève de la CIM-10 et n'a pas été vérifié pour la CIM-11 (voir l'avertissement sous le tableau comparatif).</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2c. Les études longitudinales ont montré que l'abus et la dépendance formaient un continuum plutôt que deux entités distinctes : beaucoup de patients répondant aux critères d'abus évoluaient vers la dépendance. La fusion en « trouble de l'usage » reflète cette réalité clinique et évite une dichotomie artificielle.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2d. Non. Le DSM-5 précise explicitement que la tolérance et le sevrage dans le cadre d'un usage médical approprié ne constituent pas des critères diagnostiques du trouble de l'usage. Le diagnostic nécessite d'autres critères témoignant d'une perte de contrôle ou de conséquences néfastes malgré la connaissance des dommages.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Repérer une addiction comportementale</w:t>
      </w:r>
    </w:p>
    <w:p>
      <w:pPr>
        <w:spacing w:after="60" w:before="60"/>
      </w:pPr>
      <w:r>
        <w:rPr>
          <w:rFonts w:ascii="Times New Roman" w:cs="Times New Roman" w:eastAsia="Times New Roman" w:hAnsi="Times New Roman"/>
          <w:b w:val="false"/>
          <w:bCs w:val="false"/>
          <w:i w:val="false"/>
          <w:iCs w:val="false"/>
          <w:color w:val="1F2937"/>
          <w:sz w:val="22"/>
          <w:szCs w:val="22"/>
        </w:rPr>
        <w:t xml:space="preserve">Lis cette situation et réponds aux questions.</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Situation — Sonia, 28 ans
Sonia vit en appartement avec suivi SAVS. Elle est très investie dans les jeux vidéo en ligne. Elle y consacre chaque soir plusieurs heures, parfois toute la nuit. Elle annule régulièrement ses rendez-vous avec l'éducatrice « parce qu'elle est en pleine partie ». Elle dit ressentir une forte irritabilité quand elle ne peut pas jouer (coupure internet, panne). Elle a essayé plusieurs fois de limiter son temps de jeu, sans succès. Ses repas sont de plus en plus irréguliers. Ses voisins se plaignent du bruit la nuit.</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3a. Quels éléments de la situation correspondent à des critères diagnostiques d'un trouble addictif comportemental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3b. Quelle classification reconnaît officiellement le trouble du jeu vidéo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3c. Quels mécanismes neurobiologiques peuvent expliquer l'irritabilité ressentie lors d'une interruption forcée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3d. Quelle posture professionnelle adopter dans cet accompagnement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3a. Perte de contrôle (essais infructueux de limitation), priorité donnée au jeu au détriment d'obligations (rendez-vous SAVS), sevrage comportemental (irritabilité lors des interruptions), perturbation du fonctionnement quotidien (repas irréguliers, plaintes des voisins).</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3b. Le trouble du jeu vidéo (Gaming Disorder) est officiellement reconnu dans la CIM-11 sous la catégorie « Troubles dus à des comportements addictifs ». Il figure également en section III (conditions nécessitant plus de recherches) dans le DSM-5.</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3c. L'interruption forcée suspend brutalement la stimulation dopaminergique associée au jeu. La chute de dopamine, combinée à l'activation des circuits du stress (amygdale, système CRF), génère un état dysphorique — l'irritabilité est l'expression comportementale de ce sevrage fonctionnel.</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3d. Posture non stigmatisante et centrée sur la personne : reconnaître la souffrance sans étiqueter, explorer avec Sonia ce que le jeu lui apporte (appartenance, compétence, échappatoire), travailler sur les alternatives et, si le trouble est constitué, orienter vers une équipe soignante spécialisée (addictologie, psychiatrie).</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Challenge — Étude de cas complexe</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Situation — Mehdi, 42 ans, double diagnostic
Mehdi est accueilli en FAM depuis 5 ans pour une déficience intellectuelle légère. Il présente depuis 18 mois un usage régulier de cannabis. L'équipe observe : retrait progressif des activités collectives, augmentation des crises d'angoisse, propos décousus lors des entretiens, absence d'hygiène certains jours. Mehdi consomme en cachette, minimise sa consommation quand on l'aborde. Un bilan psychiatrique récent mentionne « des éléments évocateurs d'un trouble psychotique à préciser ».</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 Quels critères DSM-5 du trouble de l'usage du cannabis identifies-tu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B. La comorbidité déficience intellectuelle + usage de cannabis + signes psychotiques constitue ce qu'on appelle un « double diagnostic ». Quelles complexités cliniques cela génère-t-il pour le diagnostic différentiel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 Comment distinguer : (1) une schizophrénie débutante, (2) une psychose cannabique, (3) une exacerbation de symptômes liés à la DI, (4) un trouble de l'adaptation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 Quelle est la responsabilité de l'équipe éducative dans ce contexte ? Que peut-elle observer et documenter ? À qui orienter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E. Le cannabis est parfois présenté par les personnes accompagnées comme un « médicament contre l'angoisse ». Quelle réponse professionnelle et éthique apporter à cet argument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Éléments de corrigé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 Critère 4 (craving probable), critère 7 (retrait des activités collectives), critère 8 ou 9 (consommation malgré des signes psychiques inquiétants), critère 3 (temps consacré à se procurer et consommer), usage caché (critère 2 possible).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B. Complexités : la DI peut masquer ou amplifier les symptômes psychotiques ; le cannabis peut déclencher ou aggraver une psychose chez les personnes génétiquement vulnérables ; la consommation peut être une tentative d'automédication d'une symptomatologie préexistante ; les outils diagnostiques standardisés sont moins validés pour les personnes avec DI.</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 Le diagnostic différentiel est l'affaire du psychiatre. Les éléments orientatifs : la psychose cannabique est souvent transitoire et régresse à l'arrêt de la consommation (⚠️ le délai « 4-6 semaines » qui figurait ici a été retiré le 06/09/2026 : aucune des sources de cette leçon ne le documente, et un délai chiffré oriente un diagnostic différentiel — se référer au psychiatre plutôt qu'à un ordre de grandeur non sourcé). Une schizophrénie débutante s'installe progressivement, indépendamment de la consommation. La DI ne génère pas de dissociation ni de délire structuré. Un trouble de l'adaptation se réfère à un événement de vie identifiable.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 L'équipe éducative peut et doit : observer et documenter les changements comportementaux (cahier de liaison, DUI), ne pas diagnostiquer, alerter le médecin coordinateur et le psychiatre référent, maintenir le lien et l'alliance thérapeutique avec Mehdi, protéger les autres résidents si nécessaire, éviter la confrontation directe sur la consommation sans appui pluridisciplinaire.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E. L'argument « ça me calme » mérite d'être entendu sérieusement : il révèle une souffrance réelle et un besoin de régulation émotionnelle. La réponse professionnelle n'est pas morale mais clinique : le cannabis peut soulager à court terme l'anxiété tout en aggravant la symptomatologie à moyen terme chez les personnes vulnérables (risque psychotique). L'enjeu est de co-construire des alternatives de régulation émotionnelle et d'orienter vers un soin adapté.</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Pont professionnel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addictifs constituent une comorbidité fréquente chez les personnes adultes en situation de handicap mental et psychique accompagnées en ESSMS. Quelques repères pour un chef de service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Observation et documentation : former les équipes à observer et consigner les signes comportementaux (sans interprétation diagnostique) dans le DUI pour faciliter le travail pluridisciplinaire.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Protocole d'orientation : disposer d'une filière identifiée (médecin coordinateur → psychiatre → équipe addictologie de secteur), éviter les réponses isolées de l'éducateur.</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Posture institutionnelle : distinguer la règle de vie collective (consommation dans l'établissement) de la réponse clinique à la souffrance — les deux ne s'opposent pas mais ne relèvent pas du même registre.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Projet personnalisé : intégrer les problématiques addictives dans le PP en lien avec les soins, sans en faire un prérequis à l'accompagnement.</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i w:val="false"/>
          <w:iCs w:val="false"/>
          <w:color w:val="1F2937"/>
          <w:sz w:val="22"/>
          <w:szCs w:val="22"/>
        </w:rPr>
        <w:t xml:space="preserve">Toutes les URLs ci-dessous ont été vérifiées et retournaient un code 200 au moment de la rédaction de cette leçon (17 août 2026).</w:t>
      </w:r>
    </w:p>
    <w:p>
      <w:r>
        <w:t xml:space="preserve"/>
      </w:r>
    </w:p>
    <w:p>
      <w:pPr>
        <w:spacing w:after="40" w:before="40"/>
      </w:pPr>
      <w:r>
        <w:rPr>
          <w:rFonts w:ascii="Times New Roman" w:cs="Times New Roman" w:eastAsia="Times New Roman" w:hAnsi="Times New Roman"/>
          <w:color w:val="1F2937"/>
          <w:sz w:val="22"/>
          <w:szCs w:val="22"/>
        </w:rPr>
        <w:t xml:space="preserve">→ </w:t>
      </w:r>
      <w:hyperlink w:history="1" r:id="rId5_-mjy7eh0ja5uxzugj1q">
        <w:r>
          <w:rPr>
            <w:rFonts w:ascii="Times New Roman" w:cs="Times New Roman" w:eastAsia="Times New Roman" w:hAnsi="Times New Roman"/>
            <w:color w:val="1155CC"/>
            <w:sz w:val="22"/>
            <w:szCs w:val="22"/>
            <w:u w:val="single" w:color="1155CC"/>
          </w:rPr>
          <w:t xml:space="preserve">OFDT — Trouble de l'usage : définition et critères DSM-5</w:t>
        </w:r>
      </w:hyperlink>
    </w:p>
    <w:p>
      <w:pPr>
        <w:spacing w:after="40" w:before="40"/>
      </w:pPr>
      <w:r>
        <w:rPr>
          <w:rFonts w:ascii="Times New Roman" w:cs="Times New Roman" w:eastAsia="Times New Roman" w:hAnsi="Times New Roman"/>
          <w:color w:val="1F2937"/>
          <w:sz w:val="22"/>
          <w:szCs w:val="22"/>
        </w:rPr>
        <w:t xml:space="preserve">→ </w:t>
      </w:r>
      <w:hyperlink w:history="1" r:id="rIdzdmhkcgvxsrtdgsybzazo">
        <w:r>
          <w:rPr>
            <w:rFonts w:ascii="Times New Roman" w:cs="Times New Roman" w:eastAsia="Times New Roman" w:hAnsi="Times New Roman"/>
            <w:color w:val="1155CC"/>
            <w:sz w:val="22"/>
            <w:szCs w:val="22"/>
            <w:u w:val="single" w:color="1155CC"/>
          </w:rPr>
          <w:t xml:space="preserve">Addict Aide — Évolutions diagnostiques CIM-11 (B. Rolland, 4 janvier 2018 — ANTÉRIEUR à l'entrée en vigueur de la CIM-11 : décrit la CIM-10 et anticipe la CIM-11)</w:t>
        </w:r>
      </w:hyperlink>
    </w:p>
    <w:p>
      <w:pPr>
        <w:spacing w:after="40" w:before="40"/>
      </w:pPr>
      <w:r>
        <w:rPr>
          <w:rFonts w:ascii="Times New Roman" w:cs="Times New Roman" w:eastAsia="Times New Roman" w:hAnsi="Times New Roman"/>
          <w:color w:val="1F2937"/>
          <w:sz w:val="22"/>
          <w:szCs w:val="22"/>
        </w:rPr>
        <w:t xml:space="preserve">→ </w:t>
      </w:r>
      <w:hyperlink w:history="1" r:id="rId1i0ndfih0ldmn_g1ziyhj">
        <w:r>
          <w:rPr>
            <w:rFonts w:ascii="Times New Roman" w:cs="Times New Roman" w:eastAsia="Times New Roman" w:hAnsi="Times New Roman"/>
            <w:color w:val="1155CC"/>
            <w:sz w:val="22"/>
            <w:szCs w:val="22"/>
            <w:u w:val="single" w:color="1155CC"/>
          </w:rPr>
          <w:t xml:space="preserve">Addict Aide — Addictions comportementales : mythe ou réalité clinique ?</w:t>
        </w:r>
      </w:hyperlink>
    </w:p>
    <w:p>
      <w:pPr>
        <w:spacing w:after="40" w:before="40"/>
      </w:pPr>
      <w:r>
        <w:rPr>
          <w:rFonts w:ascii="Times New Roman" w:cs="Times New Roman" w:eastAsia="Times New Roman" w:hAnsi="Times New Roman"/>
          <w:color w:val="1F2937"/>
          <w:sz w:val="22"/>
          <w:szCs w:val="22"/>
        </w:rPr>
        <w:t xml:space="preserve">→ </w:t>
      </w:r>
      <w:hyperlink w:history="1" r:id="rIdojj4nauk3f8wwcpa3libo">
        <w:r>
          <w:rPr>
            <w:rFonts w:ascii="Times New Roman" w:cs="Times New Roman" w:eastAsia="Times New Roman" w:hAnsi="Times New Roman"/>
            <w:color w:val="1155CC"/>
            <w:sz w:val="22"/>
            <w:szCs w:val="22"/>
            <w:u w:val="single" w:color="1155CC"/>
          </w:rPr>
          <w:t xml:space="preserve">HAS — Diagnostic du trouble de l'usage d'opioïdes (fiche PDF, mars 2022)</w:t>
        </w:r>
      </w:hyperlink>
    </w:p>
    <w:p>
      <w:pPr>
        <w:spacing w:after="40" w:before="40"/>
      </w:pPr>
      <w:r>
        <w:rPr>
          <w:rFonts w:ascii="Times New Roman" w:cs="Times New Roman" w:eastAsia="Times New Roman" w:hAnsi="Times New Roman"/>
          <w:color w:val="1F2937"/>
          <w:sz w:val="22"/>
          <w:szCs w:val="22"/>
        </w:rPr>
        <w:t xml:space="preserve">→ </w:t>
      </w:r>
      <w:hyperlink w:history="1" r:id="rIdy_xd-n5byaajrcbw60ysp">
        <w:r>
          <w:rPr>
            <w:rFonts w:ascii="Times New Roman" w:cs="Times New Roman" w:eastAsia="Times New Roman" w:hAnsi="Times New Roman"/>
            <w:color w:val="1155CC"/>
            <w:sz w:val="22"/>
            <w:szCs w:val="22"/>
            <w:u w:val="single" w:color="1155CC"/>
          </w:rPr>
          <w:t xml:space="preserve">MILDECA — Qu'est-ce qu'une addiction ? (portail gouvernemental)</w:t>
        </w:r>
      </w:hyperlink>
    </w:p>
    <w:p>
      <w:pPr>
        <w:spacing w:after="40" w:before="40"/>
      </w:pPr>
      <w:r>
        <w:rPr>
          <w:rFonts w:ascii="Times New Roman" w:cs="Times New Roman" w:eastAsia="Times New Roman" w:hAnsi="Times New Roman"/>
          <w:color w:val="1F2937"/>
          <w:sz w:val="22"/>
          <w:szCs w:val="22"/>
        </w:rPr>
        <w:t xml:space="preserve">→ </w:t>
      </w:r>
      <w:hyperlink w:history="1" r:id="rIdcbiqk0lf6vz2xyjwpnpyg">
        <w:r>
          <w:rPr>
            <w:rFonts w:ascii="Times New Roman" w:cs="Times New Roman" w:eastAsia="Times New Roman" w:hAnsi="Times New Roman"/>
            <w:color w:val="1155CC"/>
            <w:sz w:val="22"/>
            <w:szCs w:val="22"/>
            <w:u w:val="single" w:color="1155CC"/>
          </w:rPr>
          <w:t xml:space="preserve">OFDT — Addictions comportementales : synthèse des connaissances</w:t>
        </w:r>
      </w:hyperlink>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12 / 20 — Psychotraumatisme, TSPT et trouble dissociatif</w:t>
      </w:r>
    </w:p>
    <w:p>
      <w:pPr>
        <w:spacing w:after="60" w:before="60"/>
      </w:pPr>
      <w:r>
        <w:rPr>
          <w:rFonts w:ascii="Times New Roman" w:cs="Times New Roman" w:eastAsia="Times New Roman" w:hAnsi="Times New Roman"/>
          <w:b w:val="false"/>
          <w:bCs w:val="false"/>
          <w:i w:val="false"/>
          <w:iCs w:val="false"/>
          <w:color w:val="1F2937"/>
          <w:sz w:val="22"/>
          <w:szCs w:val="22"/>
        </w:rPr>
        <w:t xml:space="preserve">Nous quitterons les comportements répétitifs et compulsifs pour aborder une autre grande trajectoire pathologique : celle de l'effraction traumatique. La prochaine leçon couvrira les mécanismes du traumatisme psychique, les critères du TSPT (DSM-5 / CIM-11), la dissociation comme réponse de survie, et les implications pour l'accompagnement des personnes ayant un parcours traumatique complexe — sujet particulièrement présent en ESSMS.</w:t>
      </w:r>
    </w:p>
    <w:p>
      <w:r>
        <w:t xml:space="preserve"/>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17/08/2026, relue le 06/09/2026 : les six URL répondent toujours 200 et chaque source a été rouverte. Cinq corrections. Les formulations d’origine sont conservées ci-dessous — une erreur effacée ne s’apprend pas.</w:t>
      </w:r>
    </w:p>
    <w:p>
      <w:pPr>
        <w:spacing w:after="80"/>
      </w:pPr>
      <w:r>
        <w:rPr>
          <w:rFonts w:ascii="Times New Roman" w:cs="Times New Roman" w:eastAsia="Times New Roman" w:hAnsi="Times New Roman"/>
          <w:color w:val="1F2937"/>
          <w:sz w:val="22"/>
          <w:szCs w:val="22"/>
        </w:rPr>
        <w:t xml:space="preserve">① Citation de l’OFDT — une phrase soudée à partir de deux textes. Version d’origine : « Selon l’OFDT, le trouble de l’usage se définit comme “un mode pathologique de comportements lié à la consommation d’une substance, conduisant à une altération du fonctionnement ou à une souffrance cliniquement significative.” » La page de l’OFDT porte deux textes distincts : une citation qu’elle attribue au DSM-5 (« …repose sur un mode pathologique de comportements lié à la consommation d’une substance ») et, dans un bloc séparé, sa propre définition (« Mode d’usage problématique d’une substance conduisant à une altération du fonctionnement ou une souffrance cliniquement significative… »). Les deux avaient été fondus en une phrase, l’attribution déplacée du DSM-5 vers l’OFDT, et « mode d’usage problématique » remplacé par « mode pathologique de comportements ». La page était ouverte : le seuil des deux critères sur douze mois, quelques lignes plus haut, en est tiré fidèlement.</w:t>
      </w:r>
    </w:p>
    <w:p>
      <w:pPr>
        <w:spacing w:after="80"/>
      </w:pPr>
      <w:r>
        <w:rPr>
          <w:rFonts w:ascii="Times New Roman" w:cs="Times New Roman" w:eastAsia="Times New Roman" w:hAnsi="Times New Roman"/>
          <w:color w:val="1F2937"/>
          <w:sz w:val="22"/>
          <w:szCs w:val="22"/>
        </w:rPr>
        <w:t xml:space="preserve">② La colonne CIM-11 du tableau comparatif repose sur une source antérieure à la CIM-11. L’article d’Addict’Aide qui l’étaye est daté du 4 janvier 2018 et écrit lui-même : « La version actuelle de la CIM est la 10e (CIM-10), mais une onzième est en préparation ». Il compare le DSM-5 à la CIM-10 et parle de la CIM-11 au futur (« l’OMS veut simplifier les critères diagnostics de dépendance », « sera intégré à la classification officielle »). La leçon datait pourtant sa colonne « CIM-11 (OMS, 2022) ». Un avertissement a été ajouté sous le tableau et les lignes concernées marquées ⚠️. LA RÈGLE QUI EN DÉCOULE : une source publiée AVANT l’entrée en vigueur d’une classification ne peut pas décrire cette classification — vérifier la date de la source contre la date de la norme, et pas seulement contre la date du jour.</w:t>
      </w:r>
    </w:p>
    <w:p>
      <w:pPr>
        <w:spacing w:after="80"/>
      </w:pPr>
      <w:r>
        <w:rPr>
          <w:rFonts w:ascii="Times New Roman" w:cs="Times New Roman" w:eastAsia="Times New Roman" w:hAnsi="Times New Roman"/>
          <w:color w:val="1F2937"/>
          <w:sz w:val="22"/>
          <w:szCs w:val="22"/>
        </w:rPr>
        <w:t xml:space="preserve">③ « Au moins 3 critères sur 6 » pour la dépendance, énoncé deux fois (théorie et corrigé 2b) et repris dans le tableau sous « 6 critères pour dépendance ». C’est le jeu de critères de la CIM-10, et aucune source de cette leçon ne l’attribue à la CIM-11. Le seuil a été RETIRÉ, non remplacé : le nombre exact requis par la CIM-11 n’a pas pu être vérifié sur la source primaire pendant cette correction — icd.who.int répond 200 en ne servant que l’ossature du site, son contenu étant rendu en JavaScript, et l’API de l’OMS renvoie 401 sans jeton. Retirer un chiffre faux sans pouvoir le remplacer vaut mieux que le laisser : ce qui est dit ici est désormais ce qui a été vérifié.</w:t>
      </w:r>
    </w:p>
    <w:p>
      <w:pPr>
        <w:spacing w:after="80"/>
      </w:pPr>
      <w:r>
        <w:rPr>
          <w:rFonts w:ascii="Times New Roman" w:cs="Times New Roman" w:eastAsia="Times New Roman" w:hAnsi="Times New Roman"/>
          <w:color w:val="1F2937"/>
          <w:sz w:val="22"/>
          <w:szCs w:val="22"/>
        </w:rPr>
        <w:t xml:space="preserve">④ Corrigé 1a — le critère 4 rangé contre la définition de la leçon elle-même. Version d’origine : « Critère 4 (craving) : “boire un peu pour se calmer” — compulsion, usage pour gérer l’état émotionnel. » Le tableau de la partie théorique définit le critère 4 comme « craving : envie impérieuse ou compulsion à consommer », c’est-à-dire l’envie elle-même ; boire pour réguler une émotion en est la fonction, pas le critère. Le corrigé le sentait, puisqu’il ajoutait une glose absente de sa propre grille. Le décompte passe de 5 à 4 critères — la sévérité reste « modérée », qui couvre 4 comme 5 : la conclusion tenait par chance, pas par justesse.</w:t>
      </w:r>
    </w:p>
    <w:p>
      <w:pPr>
        <w:spacing w:after="80"/>
      </w:pPr>
      <w:r>
        <w:rPr>
          <w:rFonts w:ascii="Times New Roman" w:cs="Times New Roman" w:eastAsia="Times New Roman" w:hAnsi="Times New Roman"/>
          <w:color w:val="1F2937"/>
          <w:sz w:val="22"/>
          <w:szCs w:val="22"/>
        </w:rPr>
        <w:t xml:space="preserve">⑤ Challenge, corrigé C — un délai clinique précis sans source. Version d’origine : « la psychose cannabique est souvent transitoire et régresse à l’arrêt de la consommation (délai 4-6 semaines) ». Aucune des six sources de la leçon ne traite de la durée de régression. Ce chiffre servait à départager une psychose cannabique d’une schizophrénie débutante, c’est-à-dire à orienter. Retiré, avec renvoi au psychiatre.</w:t>
      </w:r>
    </w:p>
    <w:p>
      <w:pPr>
        <w:spacing w:after="80"/>
      </w:pPr>
      <w:r>
        <w:rPr>
          <w:rFonts w:ascii="Times New Roman" w:cs="Times New Roman" w:eastAsia="Times New Roman" w:hAnsi="Times New Roman"/>
          <w:color w:val="1F2937"/>
          <w:sz w:val="22"/>
          <w:szCs w:val="22"/>
        </w:rPr>
        <w:t xml:space="preserve">Vérifié lors de la relecture et inchangé : les six URL, toutes en 200 le 06/09/2026, dont la fiche HAS sur le trouble de l’usage d’opioïdes, effectivement validée par le Collège le 10 mars 2022 comme annoncé ; le seuil DSM-5 d’au moins deux critères sur une période de douze mois, littéral sur la page OFDT ; les onze critères, leurs quatre groupes et les trois niveaux de sévérité ; le fait que tolérance et sevrage sous prescription médicale appropriée ne suffisent pas au diagnostic ; le statut du trouble du jeu vidéo, officiel en CIM-11 et en section III du DSM-5 ; et le pont professionnel, qui n’invoque aucune autorité qu’il ne nomme pas.</w:t>
      </w:r>
    </w:p>
    <w:p>
      <w:pPr>
        <w:spacing w:after="80"/>
      </w:pPr>
      <w:r>
        <w:rPr>
          <w:rFonts w:ascii="Times New Roman" w:cs="Times New Roman" w:eastAsia="Times New Roman" w:hAnsi="Times New Roman"/>
          <w:color w:val="1F2937"/>
          <w:sz w:val="22"/>
          <w:szCs w:val="22"/>
        </w:rPr>
        <w:t xml:space="preserve">Ce que ces cinq points ont en commun : aucun ne vient d’une source absente. Les six sources étaient là, ouvertes et accessibles. Ce qui a cédé, c’est la distance entre ce qu’une source dit et ce qu’on lui fait dire — deux fragments soudés en une citation, un article de 2018 promu en description d’une norme de 2022, un seuil de CIM-10 rebaptisé CIM-11, un signe rangé dans une case que la leçon définit autrement, un délai apparu sans page derrière lui.</w:t>
      </w:r>
    </w:p>
    <w:p>
      <w:pPr>
        <w:pBdr>
          <w:top w:val="single" w:color="EEF2F7" w:sz="4"/>
        </w:pBdr>
        <w:spacing w:before="200"/>
        <w:jc w:val="center"/>
      </w:pPr>
      <w:r>
        <w:rPr>
          <w:rFonts w:ascii="Times New Roman" w:cs="Times New Roman" w:eastAsia="Times New Roman" w:hAnsi="Times New Roman"/>
          <w:color w:val="9CA3AF"/>
          <w:sz w:val="18"/>
          <w:szCs w:val="18"/>
        </w:rPr>
        <w:t xml:space="preserve">Parcours Psychopathologie clinique · Leçon 11/20 · Usage strictement personnel · Non destiné à la pose de diagnostic</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_-mjy7eh0ja5uxzugj1q" Type="http://schemas.openxmlformats.org/officeDocument/2006/relationships/hyperlink" Target="https://www.ofdt.fr/glossaire/trouble-de-l-usage" TargetMode="External"/><Relationship Id="rIdzdmhkcgvxsrtdgsybzazo" Type="http://schemas.openxmlformats.org/officeDocument/2006/relationships/hyperlink" Target="https://www.addictaide.fr/quelles-evolutions-a-attendre-pour-les-diagnostics-addictologiques-dans-la-cim-11/" TargetMode="External"/><Relationship Id="rId1i0ndfih0ldmn_g1ziyhj" Type="http://schemas.openxmlformats.org/officeDocument/2006/relationships/hyperlink" Target="https://www.addictaide.fr/presse/addictions-comportementales-addictions-sans-substance-mythe-ou-realite-clinique/" TargetMode="External"/><Relationship Id="rIdojj4nauk3f8wwcpa3libo" Type="http://schemas.openxmlformats.org/officeDocument/2006/relationships/hyperlink" Target="https://www.has-sante.fr/upload/docs/application/pdf/2022-03/diagnostic_du_trouble_de_lusage_dopioides_-_fiche.pdf" TargetMode="External"/><Relationship Id="rIdy_xd-n5byaajrcbw60ysp" Type="http://schemas.openxmlformats.org/officeDocument/2006/relationships/hyperlink" Target="https://www.drogues.gouv.fr/quest-ce-quune-addiction" TargetMode="External"/><Relationship Id="rIdcbiqk0lf6vz2xyjwpnpyg" Type="http://schemas.openxmlformats.org/officeDocument/2006/relationships/hyperlink" Target="https://www.ofdt.fr/addictions-comportementales-synthese-des-connaissances-206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2026-08-17T06:08:12.561Z</dcterms:created>
  <dcterms:modified xsi:type="dcterms:W3CDTF">2026-08-17T06:08:12.562Z</dcterms:modified>
</cp:coreProperties>
</file>

<file path=docProps/custom.xml><?xml version="1.0" encoding="utf-8"?>
<Properties xmlns="http://schemas.openxmlformats.org/officeDocument/2006/custom-properties" xmlns:vt="http://schemas.openxmlformats.org/officeDocument/2006/docPropsVTypes"/>
</file>