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Times New Roman" w:cs="Times New Roman" w:eastAsia="Times New Roman" w:hAnsi="Times New Roman"/>
          <w:b/>
          <w:bCs/>
          <w:color w:val="1B3A6B"/>
          <w:sz w:val="52"/>
          <w:szCs w:val="52"/>
        </w:rPr>
        <w:t xml:space="preserve">Leçon Psychopathologie clinique n°15</w:t>
      </w:r>
    </w:p>
    <w:p>
      <w:pPr>
        <w:spacing w:after="40" w:before="40"/>
        <w:jc w:val="center"/>
      </w:pPr>
      <w:r>
        <w:rPr>
          <w:rFonts w:ascii="Times New Roman" w:cs="Times New Roman" w:eastAsia="Times New Roman" w:hAnsi="Times New Roman"/>
          <w:b/>
          <w:bCs/>
          <w:color w:val="1B3A6B"/>
          <w:sz w:val="36"/>
          <w:szCs w:val="36"/>
        </w:rPr>
        <w:t xml:space="preserve">La crise suicidaire : évaluation du risque et conduite à tenir</w:t>
      </w:r>
    </w:p>
    <w:p>
      <w:pPr>
        <w:spacing w:after="40" w:before="40"/>
        <w:jc w:val="center"/>
      </w:pPr>
      <w:r>
        <w:rPr>
          <w:rFonts w:ascii="Times New Roman" w:cs="Times New Roman" w:eastAsia="Times New Roman" w:hAnsi="Times New Roman"/>
          <w:i/>
          <w:iCs/>
          <w:color w:val="1F2937"/>
          <w:sz w:val="22"/>
          <w:szCs w:val="22"/>
        </w:rPr>
        <w:t xml:space="preserve">Leçon 15 / 20  |  7 septembre 2026</w:t>
      </w:r>
    </w:p>
    <w:p>
      <w:pPr>
        <w:spacing w:after="40" w:before="40"/>
      </w:pPr>
      <w:r>
        <w:t xml:space="preserve"/>
      </w:r>
    </w:p>
    <w:p>
      <w:pPr>
        <w:pStyle w:val="Heading2"/>
        <w:spacing w:after="80" w:before="280"/>
      </w:pPr>
      <w:r>
        <w:rPr>
          <w:rFonts w:ascii="Times New Roman" w:cs="Times New Roman" w:eastAsia="Times New Roman" w:hAnsi="Times New Roman"/>
          <w:b/>
          <w:bCs/>
          <w:color w:val="1B3A6B"/>
          <w:sz w:val="30"/>
          <w:szCs w:val="30"/>
        </w:rPr>
        <w:t xml:space="preserve">🎯 Objectif et continuité</w:t>
      </w:r>
    </w:p>
    <w:p>
      <w:pPr>
        <w:spacing w:after="60" w:before="60"/>
      </w:pPr>
      <w:r>
        <w:rPr>
          <w:rFonts w:ascii="Times New Roman" w:cs="Times New Roman" w:eastAsia="Times New Roman" w:hAnsi="Times New Roman"/>
          <w:b w:val="false"/>
          <w:bCs w:val="false"/>
          <w:i w:val="false"/>
          <w:iCs w:val="false"/>
          <w:color w:val="1F2937"/>
          <w:sz w:val="22"/>
          <w:szCs w:val="22"/>
        </w:rPr>
        <w:t xml:space="preserve">À l'issue de cette leçon, je serai capable de :</w:t>
      </w:r>
    </w:p>
    <w:p>
      <w:pPr>
        <w:spacing w:after="60" w:before="60"/>
      </w:pPr>
      <w:r>
        <w:rPr>
          <w:rFonts w:ascii="Times New Roman" w:cs="Times New Roman" w:eastAsia="Times New Roman" w:hAnsi="Times New Roman"/>
          <w:b w:val="false"/>
          <w:bCs w:val="false"/>
          <w:i w:val="false"/>
          <w:iCs w:val="false"/>
          <w:color w:val="1F2937"/>
          <w:sz w:val="22"/>
          <w:szCs w:val="22"/>
        </w:rPr>
        <w:t xml:space="preserve">• Définir la crise suicidaire comme un processus dynamique et réversible, non comme un état figé.</w:t>
      </w:r>
    </w:p>
    <w:p>
      <w:pPr>
        <w:spacing w:after="60" w:before="60"/>
      </w:pPr>
      <w:r>
        <w:rPr>
          <w:rFonts w:ascii="Times New Roman" w:cs="Times New Roman" w:eastAsia="Times New Roman" w:hAnsi="Times New Roman"/>
          <w:b w:val="false"/>
          <w:bCs w:val="false"/>
          <w:i w:val="false"/>
          <w:iCs w:val="false"/>
          <w:color w:val="1F2937"/>
          <w:sz w:val="22"/>
          <w:szCs w:val="22"/>
        </w:rPr>
        <w:t xml:space="preserve">• Identifier les principaux facteurs de risque et facteurs protecteurs.</w:t>
      </w:r>
    </w:p>
    <w:p>
      <w:pPr>
        <w:spacing w:after="60" w:before="60"/>
      </w:pPr>
      <w:r>
        <w:rPr>
          <w:rFonts w:ascii="Times New Roman" w:cs="Times New Roman" w:eastAsia="Times New Roman" w:hAnsi="Times New Roman"/>
          <w:b w:val="false"/>
          <w:bCs w:val="false"/>
          <w:i w:val="false"/>
          <w:iCs w:val="false"/>
          <w:color w:val="1F2937"/>
          <w:sz w:val="22"/>
          <w:szCs w:val="22"/>
        </w:rPr>
        <w:t xml:space="preserve">• Comprendre la logique de la grille RUD (Risque-Urgence-Dangerosité) et ses trois niveaux d'urgence.</w:t>
      </w:r>
    </w:p>
    <w:p>
      <w:pPr>
        <w:spacing w:after="60" w:before="60"/>
      </w:pPr>
      <w:r>
        <w:rPr>
          <w:rFonts w:ascii="Times New Roman" w:cs="Times New Roman" w:eastAsia="Times New Roman" w:hAnsi="Times New Roman"/>
          <w:b w:val="false"/>
          <w:bCs w:val="false"/>
          <w:i w:val="false"/>
          <w:iCs w:val="false"/>
          <w:color w:val="1F2937"/>
          <w:sz w:val="22"/>
          <w:szCs w:val="22"/>
        </w:rPr>
        <w:t xml:space="preserve">• Distinguer clairement ce qui relève du rôle de l'équipe éducative de ce qui relève de la compétence médicale.</w:t>
      </w:r>
    </w:p>
    <w:p>
      <w:pPr>
        <w:spacing w:after="40" w:before="40"/>
      </w:pPr>
      <w:r>
        <w:t xml:space="preserve"/>
      </w:r>
    </w:p>
    <w:p>
      <w:pPr>
        <w:shd w:fill="F3F4F6" w:val="clear"/>
        <w:spacing w:after="80" w:before="80"/>
        <w:ind w:left="480"/>
      </w:pPr>
      <w:r>
        <w:rPr>
          <w:rFonts w:ascii="Times New Roman" w:cs="Times New Roman" w:eastAsia="Times New Roman" w:hAnsi="Times New Roman"/>
          <w:i/>
          <w:iCs/>
          <w:color w:val="1B3A6B"/>
          <w:sz w:val="22"/>
          <w:szCs w:val="22"/>
        </w:rPr>
        <w:t xml:space="preserve">Lien avec la leçon 14 : les troubles du sommeil et leurs interactions psychiatriques. L'insomnie sévère figure parmi les facteurs de risque suicidaire identifiés dans la littérature clinique — c'est un des fils qui relie cette leçon à la précédente.</w:t>
      </w:r>
    </w:p>
    <w:p>
      <w:pPr>
        <w:spacing w:after="40" w:before="40"/>
      </w:pPr>
      <w:r>
        <w:t xml:space="preserve"/>
      </w:r>
    </w:p>
    <w:p>
      <w:pPr>
        <w:shd w:fill="F3F4F6" w:val="clear"/>
        <w:spacing w:after="80" w:before="80"/>
        <w:ind w:left="480"/>
      </w:pPr>
      <w:r>
        <w:rPr>
          <w:rFonts w:ascii="Times New Roman" w:cs="Times New Roman" w:eastAsia="Times New Roman" w:hAnsi="Times New Roman"/>
          <w:i/>
          <w:iCs/>
          <w:color w:val="1B3A6B"/>
          <w:sz w:val="22"/>
          <w:szCs w:val="22"/>
        </w:rPr>
        <w:t xml:space="preserve">⚠️ Cadre déontologique — Ces leçons visent à COMPRENDRE la psychopathologie pour mieux observer, accompagner et orienter. En aucun cas il ne s'agit de poser un diagnostic, acte réservé aux médecins psychiatres et psychologues cliniciens. Ce cadre s'applique avec une force particulière à cette leçon, qui touche des situations à haut enjeu humain.</w:t>
      </w:r>
    </w:p>
    <w:p>
      <w:pPr>
        <w:pStyle w:val="Heading2"/>
        <w:spacing w:after="80" w:before="280"/>
      </w:pPr>
      <w:r>
        <w:rPr>
          <w:rFonts w:ascii="Times New Roman" w:cs="Times New Roman" w:eastAsia="Times New Roman" w:hAnsi="Times New Roman"/>
          <w:b/>
          <w:bCs/>
          <w:color w:val="1B3A6B"/>
          <w:sz w:val="30"/>
          <w:szCs w:val="30"/>
        </w:rPr>
        <w:t xml:space="preserve">🔬 Théorie (20 %) — La crise suicidaire : comprendre pour mieux repérer</w:t>
      </w:r>
    </w:p>
    <w:p>
      <w:pPr>
        <w:pStyle w:val="Heading3"/>
        <w:spacing w:after="60" w:before="200"/>
      </w:pPr>
      <w:r>
        <w:rPr>
          <w:rFonts w:ascii="Times New Roman" w:cs="Times New Roman" w:eastAsia="Times New Roman" w:hAnsi="Times New Roman"/>
          <w:b/>
          <w:bCs/>
          <w:color w:val="1F2937"/>
          <w:sz w:val="26"/>
          <w:szCs w:val="26"/>
        </w:rPr>
        <w:t xml:space="preserve">1. Un processus temporaire et réversible</w:t>
      </w:r>
    </w:p>
    <w:p>
      <w:pPr>
        <w:spacing w:after="60" w:before="60"/>
      </w:pPr>
      <w:r>
        <w:rPr>
          <w:rFonts w:ascii="Times New Roman" w:cs="Times New Roman" w:eastAsia="Times New Roman" w:hAnsi="Times New Roman"/>
          <w:b w:val="false"/>
          <w:bCs w:val="false"/>
          <w:i w:val="false"/>
          <w:iCs w:val="false"/>
          <w:color w:val="1F2937"/>
          <w:sz w:val="22"/>
          <w:szCs w:val="22"/>
        </w:rPr>
        <w:t xml:space="preserve">La crise suicidaire n'est pas un acte imprévisible survenu de nulle part. Les approches contemporaines la définissent comme un processus temporaire et réversible de détresse psychologique intense, dans lequel la mort apparaît à la personne comme la seule issue possible à une souffrance insupportable.</w:t>
      </w:r>
    </w:p>
    <w:p>
      <w:pPr>
        <w:spacing w:after="60" w:before="60"/>
      </w:pPr>
      <w:r>
        <w:rPr>
          <w:rFonts w:ascii="Times New Roman" w:cs="Times New Roman" w:eastAsia="Times New Roman" w:hAnsi="Times New Roman"/>
          <w:b w:val="false"/>
          <w:bCs w:val="false"/>
          <w:i w:val="false"/>
          <w:iCs w:val="false"/>
          <w:color w:val="1F2937"/>
          <w:sz w:val="22"/>
          <w:szCs w:val="22"/>
        </w:rPr>
        <w:t xml:space="preserve">Quatre caractéristiques essentielles :</w:t>
      </w:r>
    </w:p>
    <w:p>
      <w:pPr>
        <w:spacing w:after="60" w:before="60"/>
      </w:pPr>
      <w:r>
        <w:rPr>
          <w:rFonts w:ascii="Times New Roman" w:cs="Times New Roman" w:eastAsia="Times New Roman" w:hAnsi="Times New Roman"/>
          <w:b w:val="false"/>
          <w:bCs w:val="false"/>
          <w:i w:val="false"/>
          <w:iCs w:val="false"/>
          <w:color w:val="1F2937"/>
          <w:sz w:val="22"/>
          <w:szCs w:val="22"/>
        </w:rPr>
        <w:t xml:space="preserve">• Temporaire — elle a un début, une évolution, une résolution possible.</w:t>
      </w:r>
    </w:p>
    <w:p>
      <w:pPr>
        <w:spacing w:after="60" w:before="60"/>
      </w:pPr>
      <w:r>
        <w:rPr>
          <w:rFonts w:ascii="Times New Roman" w:cs="Times New Roman" w:eastAsia="Times New Roman" w:hAnsi="Times New Roman"/>
          <w:b w:val="false"/>
          <w:bCs w:val="false"/>
          <w:i w:val="false"/>
          <w:iCs w:val="false"/>
          <w:color w:val="1F2937"/>
          <w:sz w:val="22"/>
          <w:szCs w:val="22"/>
        </w:rPr>
        <w:t xml:space="preserve">• Réversible — c'est précisément pourquoi l'intervention est possible et efficace.</w:t>
      </w:r>
    </w:p>
    <w:p>
      <w:pPr>
        <w:spacing w:after="60" w:before="60"/>
      </w:pPr>
      <w:r>
        <w:rPr>
          <w:rFonts w:ascii="Times New Roman" w:cs="Times New Roman" w:eastAsia="Times New Roman" w:hAnsi="Times New Roman"/>
          <w:b w:val="false"/>
          <w:bCs w:val="false"/>
          <w:i w:val="false"/>
          <w:iCs w:val="false"/>
          <w:color w:val="1F2937"/>
          <w:sz w:val="22"/>
          <w:szCs w:val="22"/>
        </w:rPr>
        <w:t xml:space="preserve">• Effet tunnel — la personne en crise perd temporairement la capacité à envisager d'autres solutions.</w:t>
      </w:r>
    </w:p>
    <w:p>
      <w:pPr>
        <w:spacing w:after="60" w:before="60"/>
      </w:pPr>
      <w:r>
        <w:rPr>
          <w:rFonts w:ascii="Times New Roman" w:cs="Times New Roman" w:eastAsia="Times New Roman" w:hAnsi="Times New Roman"/>
          <w:b w:val="false"/>
          <w:bCs w:val="false"/>
          <w:i w:val="false"/>
          <w:iCs w:val="false"/>
          <w:color w:val="1F2937"/>
          <w:sz w:val="22"/>
          <w:szCs w:val="22"/>
        </w:rPr>
        <w:t xml:space="preserve">• Ambivalente — dans la grande majorité des cas, la personne veut à la fois vivre et mettre fin à sa souffrance. Cette ambivalence est le levier de l'intervention.</w:t>
      </w:r>
    </w:p>
    <w:p>
      <w:pPr>
        <w:spacing w:after="40" w:before="40"/>
      </w:pPr>
      <w:r>
        <w:t xml:space="preserve"/>
      </w:r>
    </w:p>
    <w:p>
      <w:pPr>
        <w:pStyle w:val="Heading3"/>
        <w:spacing w:after="60" w:before="200"/>
      </w:pPr>
      <w:r>
        <w:rPr>
          <w:rFonts w:ascii="Times New Roman" w:cs="Times New Roman" w:eastAsia="Times New Roman" w:hAnsi="Times New Roman"/>
          <w:b/>
          <w:bCs/>
          <w:color w:val="1F2937"/>
          <w:sz w:val="26"/>
          <w:szCs w:val="26"/>
        </w:rPr>
        <w:t xml:space="preserve">2. Épidémiologie — chiffres précis et ce qu'ils mesurent</w:t>
      </w:r>
    </w:p>
    <w:p>
      <w:pPr>
        <w:spacing w:after="60" w:before="60"/>
      </w:pPr>
      <w:r>
        <w:rPr>
          <w:rFonts w:ascii="Times New Roman" w:cs="Times New Roman" w:eastAsia="Times New Roman" w:hAnsi="Times New Roman"/>
          <w:b w:val="false"/>
          <w:bCs w:val="false"/>
          <w:i w:val="false"/>
          <w:iCs w:val="false"/>
          <w:color w:val="1F2937"/>
          <w:sz w:val="22"/>
          <w:szCs w:val="22"/>
        </w:rPr>
        <w:t xml:space="preserve">Données mondiales (Merck Manual, mise à jour janvier 2026) :</w:t>
      </w:r>
    </w:p>
    <w:p>
      <w:pPr>
        <w:spacing w:after="60" w:before="60"/>
      </w:pPr>
      <w:r>
        <w:rPr>
          <w:rFonts w:ascii="Times New Roman" w:cs="Times New Roman" w:eastAsia="Times New Roman" w:hAnsi="Times New Roman"/>
          <w:b w:val="false"/>
          <w:bCs w:val="false"/>
          <w:i w:val="false"/>
          <w:iCs w:val="false"/>
          <w:color w:val="1F2937"/>
          <w:sz w:val="22"/>
          <w:szCs w:val="22"/>
        </w:rPr>
        <w:t xml:space="preserve">• Plus de 720 000 personnes décèdent par suicide chaque année dans le monde (valeur plancher, toutes tranches d'âge, données mondiales).</w:t>
      </w:r>
    </w:p>
    <w:p>
      <w:pPr>
        <w:spacing w:after="60" w:before="60"/>
      </w:pPr>
      <w:r>
        <w:rPr>
          <w:rFonts w:ascii="Times New Roman" w:cs="Times New Roman" w:eastAsia="Times New Roman" w:hAnsi="Times New Roman"/>
          <w:b w:val="false"/>
          <w:bCs w:val="false"/>
          <w:i w:val="false"/>
          <w:iCs w:val="false"/>
          <w:color w:val="1F2937"/>
          <w:sz w:val="22"/>
          <w:szCs w:val="22"/>
        </w:rPr>
        <w:t xml:space="preserve">• Le suicide est la troisième cause de décès dans la tranche d'âge 15-29 ans (ensemble : cette tranche d'âge uniquement, données mondiales OMS).</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Liens avec les troubles psychiatriques — ratios de mortalité standardisés (RMS)* :</w:t>
      </w:r>
    </w:p>
    <w:p>
      <w:pPr>
        <w:spacing w:after="60" w:before="60"/>
      </w:pPr>
      <w:r>
        <w:rPr>
          <w:rFonts w:ascii="Times New Roman" w:cs="Times New Roman" w:eastAsia="Times New Roman" w:hAnsi="Times New Roman"/>
          <w:b w:val="false"/>
          <w:bCs w:val="false"/>
          <w:i w:val="false"/>
          <w:iCs w:val="false"/>
          <w:color w:val="1F2937"/>
          <w:sz w:val="22"/>
          <w:szCs w:val="22"/>
        </w:rPr>
        <w:t xml:space="preserve">Selon le Merck Manual (janvier 2026), « dans certaines études, près de 90 % des sujets qui se suicident avaient un trouble psychiatrique diagnostiquable au moment de leur mort ». Le tableau source compte DIX lignes ; voici les sept plus élevées, dans l'ordre décroissant :</w:t>
      </w:r>
    </w:p>
    <w:p>
      <w:pPr>
        <w:spacing w:after="60" w:before="60"/>
      </w:pPr>
      <w:r>
        <w:rPr>
          <w:rFonts w:ascii="Times New Roman" w:cs="Times New Roman" w:eastAsia="Times New Roman" w:hAnsi="Times New Roman"/>
          <w:b w:val="false"/>
          <w:bCs w:val="false"/>
          <w:i w:val="false"/>
          <w:iCs w:val="false"/>
          <w:color w:val="1F2937"/>
          <w:sz w:val="22"/>
          <w:szCs w:val="22"/>
        </w:rPr>
        <w:t xml:space="preserve">• Trouble de la personnalité borderline : risque de décès par suicide multiplié par 45,1</w:t>
      </w:r>
    </w:p>
    <w:p>
      <w:pPr>
        <w:spacing w:after="60" w:before="60"/>
      </w:pPr>
      <w:r>
        <w:rPr>
          <w:rFonts w:ascii="Times New Roman" w:cs="Times New Roman" w:eastAsia="Times New Roman" w:hAnsi="Times New Roman"/>
          <w:b w:val="false"/>
          <w:bCs w:val="false"/>
          <w:i w:val="false"/>
          <w:iCs w:val="false"/>
          <w:color w:val="1F2937"/>
          <w:sz w:val="22"/>
          <w:szCs w:val="22"/>
        </w:rPr>
        <w:t xml:space="preserve">• Anorexie mentale (femmes) : multiplié par 31,0</w:t>
      </w:r>
    </w:p>
    <w:p>
      <w:pPr>
        <w:spacing w:after="60" w:before="60"/>
      </w:pPr>
      <w:r>
        <w:rPr>
          <w:rFonts w:ascii="Times New Roman" w:cs="Times New Roman" w:eastAsia="Times New Roman" w:hAnsi="Times New Roman"/>
          <w:b w:val="false"/>
          <w:bCs w:val="false"/>
          <w:i w:val="false"/>
          <w:iCs w:val="false"/>
          <w:color w:val="1F2937"/>
          <w:sz w:val="22"/>
          <w:szCs w:val="22"/>
        </w:rPr>
        <w:t xml:space="preserve">• Trouble dépressif caractérisé : multiplié par 19,7</w:t>
      </w:r>
    </w:p>
    <w:p>
      <w:pPr>
        <w:spacing w:after="60" w:before="60"/>
      </w:pPr>
      <w:r>
        <w:rPr>
          <w:rFonts w:ascii="Times New Roman" w:cs="Times New Roman" w:eastAsia="Times New Roman" w:hAnsi="Times New Roman"/>
          <w:b w:val="false"/>
          <w:bCs w:val="false"/>
          <w:i w:val="false"/>
          <w:iCs w:val="false"/>
          <w:color w:val="1F2937"/>
          <w:sz w:val="22"/>
          <w:szCs w:val="22"/>
        </w:rPr>
        <w:t xml:space="preserve">• Trouble bipolaire : multiplié par 17,1</w:t>
      </w:r>
    </w:p>
    <w:p>
      <w:pPr>
        <w:spacing w:after="60" w:before="60"/>
      </w:pPr>
      <w:r>
        <w:rPr>
          <w:rFonts w:ascii="Times New Roman" w:cs="Times New Roman" w:eastAsia="Times New Roman" w:hAnsi="Times New Roman"/>
          <w:b w:val="false"/>
          <w:bCs w:val="false"/>
          <w:i w:val="false"/>
          <w:iCs w:val="false"/>
          <w:color w:val="1F2937"/>
          <w:sz w:val="22"/>
          <w:szCs w:val="22"/>
        </w:rPr>
        <w:t xml:space="preserve">• Trouble de l'usage de l'alcool : multiplié par 16,4 chez les femmes, 8,8 chez les hommes</w:t>
      </w:r>
    </w:p>
    <w:p>
      <w:pPr>
        <w:spacing w:after="60" w:before="60"/>
      </w:pPr>
      <w:r>
        <w:rPr>
          <w:rFonts w:ascii="Times New Roman" w:cs="Times New Roman" w:eastAsia="Times New Roman" w:hAnsi="Times New Roman"/>
          <w:b w:val="false"/>
          <w:bCs w:val="false"/>
          <w:i w:val="false"/>
          <w:iCs w:val="false"/>
          <w:color w:val="1F2937"/>
          <w:sz w:val="22"/>
          <w:szCs w:val="22"/>
        </w:rPr>
        <w:t xml:space="preserve">• Usage d'opioïdes : multiplié par 13,5</w:t>
      </w:r>
    </w:p>
    <w:p>
      <w:pPr>
        <w:spacing w:after="60" w:before="60"/>
      </w:pPr>
      <w:r>
        <w:rPr>
          <w:rFonts w:ascii="Times New Roman" w:cs="Times New Roman" w:eastAsia="Times New Roman" w:hAnsi="Times New Roman"/>
          <w:b w:val="false"/>
          <w:bCs w:val="false"/>
          <w:i w:val="false"/>
          <w:iCs w:val="false"/>
          <w:color w:val="1F2937"/>
          <w:sz w:val="22"/>
          <w:szCs w:val="22"/>
        </w:rPr>
        <w:t xml:space="preserve">• Schizophrénie : multiplié par 12,9</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trois lignes restantes du tableau : boulimie nerveuse 7,5 chez les femmes (RMS) ; troubles anxieux 3,3 et trouble de stress post-traumatique 2,5 — ces deux derniers sont des odds ratios, qui ne se comparent pas aux RMS. Tableau adapté par le Merck Manual de Chesney E, Goodwin GM, Fazel S.</w:t>
      </w:r>
    </w:p>
    <w:p>
      <w:pPr>
        <w:spacing w:after="40" w:before="40"/>
      </w:pPr>
      <w:r>
        <w:t xml:space="preserve"/>
      </w:r>
    </w:p>
    <w:p>
      <w:pPr>
        <w:shd w:fill="F3F4F6" w:val="clear"/>
        <w:spacing w:after="80" w:before="80"/>
        <w:ind w:left="480"/>
      </w:pPr>
      <w:r>
        <w:rPr>
          <w:rFonts w:ascii="Times New Roman" w:cs="Times New Roman" w:eastAsia="Times New Roman" w:hAnsi="Times New Roman"/>
          <w:i/>
          <w:iCs/>
          <w:color w:val="1B3A6B"/>
          <w:sz w:val="22"/>
          <w:szCs w:val="22"/>
        </w:rPr>
        <w:t xml:space="preserve">* Un ratio de mortalité standardisé (RMS) indique combien de fois plus élevée est la mortalité par suicide dans ce groupe par rapport à la population générale, à âge et sexe comparables. Ces chiffres ne disent pas que la plupart des personnes souffrant de ces troubles décèdent par suicide — la grande majorité ne passeront jamais à l'acte. Ils disent que le risque est significativement plus élevé que dans la population générale. Source : Manuel Merck Édition Professionnelle, version française canadienne, mise à jour janvier 2026.</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Contexte ESSMS (Le Media Social, 28 janvier 2026, citant une publication du ministère de la Santé) :</w:t>
      </w:r>
    </w:p>
    <w:p>
      <w:pPr>
        <w:spacing w:after="60" w:before="60"/>
      </w:pPr>
      <w:r>
        <w:rPr>
          <w:rFonts w:ascii="Times New Roman" w:cs="Times New Roman" w:eastAsia="Times New Roman" w:hAnsi="Times New Roman"/>
          <w:b w:val="false"/>
          <w:bCs w:val="false"/>
          <w:i w:val="false"/>
          <w:iCs w:val="false"/>
          <w:color w:val="1F2937"/>
          <w:sz w:val="22"/>
          <w:szCs w:val="22"/>
        </w:rPr>
        <w:t xml:space="preserve">• Les actes suicidaires représentent environ un événement indésirable grave lié aux soins (EIGS) sur cinq (ensemble : tous les EIGS, sans restriction au lieu de survenue — données ministérielles françaises). La même source précise séparément que, parmi les actes suicidaires survenus en établissement, 40 % ont lieu à l'hôpital ou en Ehpad.</w:t>
      </w:r>
    </w:p>
    <w:p>
      <w:pPr>
        <w:spacing w:after="40" w:before="40"/>
      </w:pPr>
      <w:r>
        <w:t xml:space="preserve"/>
      </w:r>
    </w:p>
    <w:p>
      <w:pPr>
        <w:pStyle w:val="Heading3"/>
        <w:spacing w:after="60" w:before="200"/>
      </w:pPr>
      <w:r>
        <w:rPr>
          <w:rFonts w:ascii="Times New Roman" w:cs="Times New Roman" w:eastAsia="Times New Roman" w:hAnsi="Times New Roman"/>
          <w:b/>
          <w:bCs/>
          <w:color w:val="1F2937"/>
          <w:sz w:val="26"/>
          <w:szCs w:val="26"/>
        </w:rPr>
        <w:t xml:space="preserve">3. Facteurs de risque et facteurs protecteurs</w:t>
      </w:r>
    </w:p>
    <w:p>
      <w:pPr>
        <w:spacing w:after="60" w:before="60"/>
      </w:pPr>
      <w:r>
        <w:rPr>
          <w:rFonts w:ascii="Times New Roman" w:cs="Times New Roman" w:eastAsia="Times New Roman" w:hAnsi="Times New Roman"/>
          <w:b w:val="false"/>
          <w:bCs w:val="false"/>
          <w:i w:val="false"/>
          <w:iCs w:val="false"/>
          <w:color w:val="1F2937"/>
          <w:sz w:val="22"/>
          <w:szCs w:val="22"/>
        </w:rPr>
        <w:t xml:space="preserve">Facteurs de risque (Merck Manual, janvier 2026, sauf mention contraire ; les situations de vie difficiles listées ci-dessous — rupture, deuil, perte d'emploi, harcèlement, solitude et isolement — sont celles de la page Psycom, consultée le 7 septembre 2026) :</w:t>
      </w:r>
    </w:p>
    <w:p>
      <w:pPr>
        <w:spacing w:after="60" w:before="60"/>
      </w:pPr>
      <w:r>
        <w:rPr>
          <w:rFonts w:ascii="Times New Roman" w:cs="Times New Roman" w:eastAsia="Times New Roman" w:hAnsi="Times New Roman"/>
          <w:b w:val="false"/>
          <w:bCs w:val="false"/>
          <w:i w:val="false"/>
          <w:iCs w:val="false"/>
          <w:color w:val="1F2937"/>
          <w:sz w:val="22"/>
          <w:szCs w:val="22"/>
        </w:rPr>
        <w:t xml:space="preserve">• Antécédents de tentative de suicide — facteur de risque majeur, placé en tête du tableau des facteurs de risque du Merck Manual, qui ne classe toutefois pas les facteurs entre eux</w:t>
      </w:r>
    </w:p>
    <w:p>
      <w:pPr>
        <w:spacing w:after="60" w:before="60"/>
      </w:pPr>
      <w:r>
        <w:rPr>
          <w:rFonts w:ascii="Times New Roman" w:cs="Times New Roman" w:eastAsia="Times New Roman" w:hAnsi="Times New Roman"/>
          <w:b w:val="false"/>
          <w:bCs w:val="false"/>
          <w:i w:val="false"/>
          <w:iCs w:val="false"/>
          <w:color w:val="1F2937"/>
          <w:sz w:val="22"/>
          <w:szCs w:val="22"/>
        </w:rPr>
        <w:t xml:space="preserve">• Trouble psychiatrique connu (dépression, bipolaire, schizophrénie, borderline, anorexie)</w:t>
      </w:r>
    </w:p>
    <w:p>
      <w:pPr>
        <w:spacing w:after="60" w:before="60"/>
      </w:pPr>
      <w:r>
        <w:rPr>
          <w:rFonts w:ascii="Times New Roman" w:cs="Times New Roman" w:eastAsia="Times New Roman" w:hAnsi="Times New Roman"/>
          <w:b w:val="false"/>
          <w:bCs w:val="false"/>
          <w:i w:val="false"/>
          <w:iCs w:val="false"/>
          <w:color w:val="1F2937"/>
          <w:sz w:val="22"/>
          <w:szCs w:val="22"/>
        </w:rPr>
        <w:t xml:space="preserve">• Abus de substances psychoactives</w:t>
      </w:r>
    </w:p>
    <w:p>
      <w:pPr>
        <w:spacing w:after="60" w:before="60"/>
      </w:pPr>
      <w:r>
        <w:rPr>
          <w:rFonts w:ascii="Times New Roman" w:cs="Times New Roman" w:eastAsia="Times New Roman" w:hAnsi="Times New Roman"/>
          <w:b w:val="false"/>
          <w:bCs w:val="false"/>
          <w:i w:val="false"/>
          <w:iCs w:val="false"/>
          <w:color w:val="1F2937"/>
          <w:sz w:val="22"/>
          <w:szCs w:val="22"/>
        </w:rPr>
        <w:t xml:space="preserve">• Traumatismes dans l'enfance (violence physique, abus sexuels)</w:t>
      </w:r>
    </w:p>
    <w:p>
      <w:pPr>
        <w:spacing w:after="60" w:before="60"/>
      </w:pPr>
      <w:r>
        <w:rPr>
          <w:rFonts w:ascii="Times New Roman" w:cs="Times New Roman" w:eastAsia="Times New Roman" w:hAnsi="Times New Roman"/>
          <w:b w:val="false"/>
          <w:bCs w:val="false"/>
          <w:i w:val="false"/>
          <w:iCs w:val="false"/>
          <w:color w:val="1F2937"/>
          <w:sz w:val="22"/>
          <w:szCs w:val="22"/>
        </w:rPr>
        <w:t xml:space="preserve">• Isolement social (lien avec la leçon précédente : retrait, perte de réseau)</w:t>
      </w:r>
    </w:p>
    <w:p>
      <w:pPr>
        <w:spacing w:after="60" w:before="60"/>
      </w:pPr>
      <w:r>
        <w:rPr>
          <w:rFonts w:ascii="Times New Roman" w:cs="Times New Roman" w:eastAsia="Times New Roman" w:hAnsi="Times New Roman"/>
          <w:b w:val="false"/>
          <w:bCs w:val="false"/>
          <w:i w:val="false"/>
          <w:iCs w:val="false"/>
          <w:color w:val="1F2937"/>
          <w:sz w:val="22"/>
          <w:szCs w:val="22"/>
        </w:rPr>
        <w:t xml:space="preserve">• Accès à des moyens létaux (médicaments en grande quantité, armes...)</w:t>
      </w:r>
    </w:p>
    <w:p>
      <w:pPr>
        <w:spacing w:after="60" w:before="60"/>
      </w:pPr>
      <w:r>
        <w:rPr>
          <w:rFonts w:ascii="Times New Roman" w:cs="Times New Roman" w:eastAsia="Times New Roman" w:hAnsi="Times New Roman"/>
          <w:b w:val="false"/>
          <w:bCs w:val="false"/>
          <w:i w:val="false"/>
          <w:iCs w:val="false"/>
          <w:color w:val="1F2937"/>
          <w:sz w:val="22"/>
          <w:szCs w:val="22"/>
        </w:rPr>
        <w:t xml:space="preserve">• Maladies chroniques invalidantes</w:t>
      </w:r>
    </w:p>
    <w:p>
      <w:pPr>
        <w:spacing w:after="60" w:before="60"/>
      </w:pPr>
      <w:r>
        <w:rPr>
          <w:rFonts w:ascii="Times New Roman" w:cs="Times New Roman" w:eastAsia="Times New Roman" w:hAnsi="Times New Roman"/>
          <w:b w:val="false"/>
          <w:bCs w:val="false"/>
          <w:i w:val="false"/>
          <w:iCs w:val="false"/>
          <w:color w:val="1F2937"/>
          <w:sz w:val="22"/>
          <w:szCs w:val="22"/>
        </w:rPr>
        <w:t xml:space="preserve">• Événements précipitants récents : rupture affective, deuil, perte d'emploi, harcèlement, violence</w:t>
      </w:r>
    </w:p>
    <w:p>
      <w:pPr>
        <w:spacing w:after="60" w:before="60"/>
      </w:pPr>
      <w:r>
        <w:rPr>
          <w:rFonts w:ascii="Times New Roman" w:cs="Times New Roman" w:eastAsia="Times New Roman" w:hAnsi="Times New Roman"/>
          <w:b w:val="false"/>
          <w:bCs w:val="false"/>
          <w:i w:val="false"/>
          <w:iCs w:val="false"/>
          <w:color w:val="1F2937"/>
          <w:sz w:val="22"/>
          <w:szCs w:val="22"/>
        </w:rPr>
        <w:t xml:space="preserve">• Insomnie sévère (facteur de risque et signal d'aggravation)</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Facteurs protecteurs — repères de terrain, et non liste tirée d'une source : la page Psycom consultée le 7 septembre 2026 n'emploie pas la notion de facteur protecteur, et aucune des six sources de cette leçon n'en donne de liste. Les repères ci-dessous sont donc énoncés comme tels :</w:t>
      </w:r>
    </w:p>
    <w:p>
      <w:pPr>
        <w:spacing w:after="60" w:before="60"/>
      </w:pPr>
      <w:r>
        <w:rPr>
          <w:rFonts w:ascii="Times New Roman" w:cs="Times New Roman" w:eastAsia="Times New Roman" w:hAnsi="Times New Roman"/>
          <w:b w:val="false"/>
          <w:bCs w:val="false"/>
          <w:i w:val="false"/>
          <w:iCs w:val="false"/>
          <w:color w:val="1F2937"/>
          <w:sz w:val="22"/>
          <w:szCs w:val="22"/>
        </w:rPr>
        <w:t xml:space="preserve">• Présence d'un réseau social et familial de soutien réel</w:t>
      </w:r>
    </w:p>
    <w:p>
      <w:pPr>
        <w:spacing w:after="60" w:before="60"/>
      </w:pPr>
      <w:r>
        <w:rPr>
          <w:rFonts w:ascii="Times New Roman" w:cs="Times New Roman" w:eastAsia="Times New Roman" w:hAnsi="Times New Roman"/>
          <w:b w:val="false"/>
          <w:bCs w:val="false"/>
          <w:i w:val="false"/>
          <w:iCs w:val="false"/>
          <w:color w:val="1F2937"/>
          <w:sz w:val="22"/>
          <w:szCs w:val="22"/>
        </w:rPr>
        <w:t xml:space="preserve">• Accès aux soins et continuité du suivi psychologique ou psychiatrique</w:t>
      </w:r>
    </w:p>
    <w:p>
      <w:pPr>
        <w:spacing w:after="60" w:before="60"/>
      </w:pPr>
      <w:r>
        <w:rPr>
          <w:rFonts w:ascii="Times New Roman" w:cs="Times New Roman" w:eastAsia="Times New Roman" w:hAnsi="Times New Roman"/>
          <w:b w:val="false"/>
          <w:bCs w:val="false"/>
          <w:i w:val="false"/>
          <w:iCs w:val="false"/>
          <w:color w:val="1F2937"/>
          <w:sz w:val="22"/>
          <w:szCs w:val="22"/>
        </w:rPr>
        <w:t xml:space="preserve">• Sentiment d'utilité, projets de vie, sens</w:t>
      </w:r>
    </w:p>
    <w:p>
      <w:pPr>
        <w:spacing w:after="60" w:before="60"/>
      </w:pPr>
      <w:r>
        <w:rPr>
          <w:rFonts w:ascii="Times New Roman" w:cs="Times New Roman" w:eastAsia="Times New Roman" w:hAnsi="Times New Roman"/>
          <w:b w:val="false"/>
          <w:bCs w:val="false"/>
          <w:i w:val="false"/>
          <w:iCs w:val="false"/>
          <w:color w:val="1F2937"/>
          <w:sz w:val="22"/>
          <w:szCs w:val="22"/>
        </w:rPr>
        <w:t xml:space="preserve">• Capacités de régulation émotionnelle</w:t>
      </w:r>
    </w:p>
    <w:p>
      <w:pPr>
        <w:spacing w:after="60" w:before="60"/>
      </w:pPr>
      <w:r>
        <w:rPr>
          <w:rFonts w:ascii="Times New Roman" w:cs="Times New Roman" w:eastAsia="Times New Roman" w:hAnsi="Times New Roman"/>
          <w:b w:val="false"/>
          <w:bCs w:val="false"/>
          <w:i w:val="false"/>
          <w:iCs w:val="false"/>
          <w:color w:val="1F2937"/>
          <w:sz w:val="22"/>
          <w:szCs w:val="22"/>
        </w:rPr>
        <w:t xml:space="preserve">• Restriction de l'accès aux moyens létaux (sécurisation de l'environnement)</w:t>
      </w:r>
    </w:p>
    <w:p>
      <w:pPr>
        <w:spacing w:after="60" w:before="60"/>
      </w:pPr>
      <w:r>
        <w:rPr>
          <w:rFonts w:ascii="Times New Roman" w:cs="Times New Roman" w:eastAsia="Times New Roman" w:hAnsi="Times New Roman"/>
          <w:b w:val="false"/>
          <w:bCs w:val="false"/>
          <w:i w:val="false"/>
          <w:iCs w:val="false"/>
          <w:color w:val="1F2937"/>
          <w:sz w:val="22"/>
          <w:szCs w:val="22"/>
        </w:rPr>
        <w:t xml:space="preserve">• Accès au 3114 — numéro national de prévention du suicide, « accessible 24h/24 et 7j/7, gratuitement, en France entière » (3114.fr, piloté par le ministère de la Santé), avec un espace dédié aux professionnels</w:t>
      </w:r>
    </w:p>
    <w:p>
      <w:pPr>
        <w:spacing w:after="40" w:before="40"/>
      </w:pPr>
      <w:r>
        <w:t xml:space="preserve"/>
      </w:r>
    </w:p>
    <w:p>
      <w:pPr>
        <w:pStyle w:val="Heading3"/>
        <w:spacing w:after="60" w:before="200"/>
      </w:pPr>
      <w:r>
        <w:rPr>
          <w:rFonts w:ascii="Times New Roman" w:cs="Times New Roman" w:eastAsia="Times New Roman" w:hAnsi="Times New Roman"/>
          <w:b/>
          <w:bCs/>
          <w:color w:val="1F2937"/>
          <w:sz w:val="26"/>
          <w:szCs w:val="26"/>
        </w:rPr>
        <w:t xml:space="preserve">4. L'évaluation du potentiel suicidaire : la grille RUD</w:t>
      </w:r>
    </w:p>
    <w:p>
      <w:pPr>
        <w:spacing w:after="60" w:before="60"/>
      </w:pPr>
      <w:r>
        <w:rPr>
          <w:rFonts w:ascii="Times New Roman" w:cs="Times New Roman" w:eastAsia="Times New Roman" w:hAnsi="Times New Roman"/>
          <w:b w:val="false"/>
          <w:bCs w:val="false"/>
          <w:i w:val="false"/>
          <w:iCs w:val="false"/>
          <w:color w:val="1F2937"/>
          <w:sz w:val="22"/>
          <w:szCs w:val="22"/>
        </w:rPr>
        <w:t xml:space="preserve">La grille RUD est la référence française pour l'évaluation structurée du potentiel suicidaire chez l'adulte. Attention à sa filiation : elle n'est PAS issue de la Conférence de consensus sur la crise suicidaire (ANAES, 19-20 octobre 2000 — organisme intégré depuis à la HAS). La page infosuicide.org qui la présente l'attribue à J.L Terra, M.F Berthier, F. Chauvet et W. Boutaleb, à partir d'une source québécoise (crisesuicidaire.ccdmd.qc.ca) ; elle a été formalisée en 2001, un an APRÈS la conférence, dans le cadre du programme national de formation à la prévention du suicide. C'est la conférence de consensus 2000 qui fournit, elle, les six éléments à explorer et les trois niveaux d'urgence repris plus bas.</w:t>
      </w:r>
    </w:p>
    <w:p>
      <w:pPr>
        <w:spacing w:after="60" w:before="60"/>
      </w:pPr>
      <w:r>
        <w:rPr>
          <w:rFonts w:ascii="Times New Roman" w:cs="Times New Roman" w:eastAsia="Times New Roman" w:hAnsi="Times New Roman"/>
          <w:b w:val="false"/>
          <w:bCs w:val="false"/>
          <w:i w:val="false"/>
          <w:iCs w:val="false"/>
          <w:color w:val="1F2937"/>
          <w:sz w:val="22"/>
          <w:szCs w:val="22"/>
        </w:rPr>
        <w:t xml:space="preserve">La HAS recense ses publications sur ce thème sur sa page « Prévention du suicide ». L'une d'elles concerne directement des adultes accompagnés en ESSMS : la RBPP « Prise en compte de la souffrance psychique de la personne âgée : prévention, repérage et accompagnement » (ANESM, validée le 3 mars 2014, mise en ligne le 2 mai 2014, mise à jour le 19 mars 2018), dont la partie IV s'intitule « La gestion des situations de crise suicidaire ».</w:t>
      </w:r>
    </w:p>
    <w:p>
      <w:pPr>
        <w:spacing w:after="60" w:before="60"/>
      </w:pPr>
      <w:r>
        <w:rPr>
          <w:rFonts w:ascii="Times New Roman" w:cs="Times New Roman" w:eastAsia="Times New Roman" w:hAnsi="Times New Roman"/>
          <w:b w:val="false"/>
          <w:bCs w:val="false"/>
          <w:i w:val="false"/>
          <w:iCs w:val="false"/>
          <w:color w:val="1F2937"/>
          <w:sz w:val="22"/>
          <w:szCs w:val="22"/>
        </w:rPr>
        <w:t xml:space="preserve">À noter : la HAS a publié en septembre 2021 une recommandation sur les idées et conduites suicidaires — mais celle-ci cible spécifiquement les enfants et les adolescents (titre exact : « Idées et conduites suicidaires chez l'enfant et l'adolescent : prévention, repérage, évaluation et prise en charge », HAS, validée par le Collège le 9 septembre 2021, mise en ligne le 30 septembre 2021).</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La grille RUD (J.L Terra, M.F Berthier, F. Chauvet, W. Boutaleb, via infosuicide.org) structure l'évaluation en trois dimensions :</w:t>
      </w:r>
    </w:p>
    <w:p>
      <w:pPr>
        <w:spacing w:after="60" w:before="60"/>
      </w:pPr>
      <w:r>
        <w:rPr>
          <w:rFonts w:ascii="Times New Roman" w:cs="Times New Roman" w:eastAsia="Times New Roman" w:hAnsi="Times New Roman"/>
          <w:b w:val="false"/>
          <w:bCs w:val="false"/>
          <w:i w:val="false"/>
          <w:iCs w:val="false"/>
          <w:color w:val="1F2937"/>
          <w:sz w:val="22"/>
          <w:szCs w:val="22"/>
        </w:rPr>
        <w:t xml:space="preserve">R — Risque suicidaire : présence et intensité des facteurs de risque individuels, familiaux, psychosociaux.</w:t>
      </w:r>
    </w:p>
    <w:p>
      <w:pPr>
        <w:spacing w:after="60" w:before="60"/>
      </w:pPr>
      <w:r>
        <w:rPr>
          <w:rFonts w:ascii="Times New Roman" w:cs="Times New Roman" w:eastAsia="Times New Roman" w:hAnsi="Times New Roman"/>
          <w:b w:val="false"/>
          <w:bCs w:val="false"/>
          <w:i w:val="false"/>
          <w:iCs w:val="false"/>
          <w:color w:val="1F2937"/>
          <w:sz w:val="22"/>
          <w:szCs w:val="22"/>
        </w:rPr>
        <w:t xml:space="preserve">U — Urgence : probabilité et imminence du passage à l'acte, degré de planification.</w:t>
      </w:r>
    </w:p>
    <w:p>
      <w:pPr>
        <w:spacing w:after="60" w:before="60"/>
      </w:pPr>
      <w:r>
        <w:rPr>
          <w:rFonts w:ascii="Times New Roman" w:cs="Times New Roman" w:eastAsia="Times New Roman" w:hAnsi="Times New Roman"/>
          <w:b w:val="false"/>
          <w:bCs w:val="false"/>
          <w:i w:val="false"/>
          <w:iCs w:val="false"/>
          <w:color w:val="1F2937"/>
          <w:sz w:val="22"/>
          <w:szCs w:val="22"/>
        </w:rPr>
        <w:t xml:space="preserve">D — Dangerosité : degré d'élaboration du scénario, létalité du moyen envisagé, accessibilité du moyen.</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Les trois niveaux d'urgence — les caractéristiques de la colonne du milieu sont celles de la conférence de consensus 2000 ; la colonne « conduite à tenir » est un usage de terrain, elle ne figure comme telle dans aucune des sources de cette leçon :</w:t>
      </w:r>
    </w:p>
    <w:p>
      <w:pPr>
        <w:spacing w:after="40" w:before="40"/>
      </w:pPr>
      <w:r>
        <w:t xml:space="preserve"/>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3333%"/>
            <w:shd w:fill="1B3A6B" w:val="clear"/>
          </w:tcPr>
          <w:p>
            <w:pPr>
              <w:jc w:val="center"/>
            </w:pPr>
            <w:r>
              <w:rPr>
                <w:rFonts w:ascii="Times New Roman" w:cs="Times New Roman" w:eastAsia="Times New Roman" w:hAnsi="Times New Roman"/>
                <w:b/>
                <w:bCs/>
                <w:color w:val="FFFFFF"/>
                <w:sz w:val="20"/>
                <w:szCs w:val="20"/>
              </w:rPr>
              <w:t xml:space="preserve">Niveau</w:t>
            </w:r>
          </w:p>
        </w:tc>
        <w:tc>
          <w:tcPr>
            <w:tcW w:type="pct" w:w="3333%"/>
            <w:shd w:fill="1B3A6B" w:val="clear"/>
          </w:tcPr>
          <w:p>
            <w:pPr>
              <w:jc w:val="center"/>
            </w:pPr>
            <w:r>
              <w:rPr>
                <w:rFonts w:ascii="Times New Roman" w:cs="Times New Roman" w:eastAsia="Times New Roman" w:hAnsi="Times New Roman"/>
                <w:b/>
                <w:bCs/>
                <w:color w:val="FFFFFF"/>
                <w:sz w:val="20"/>
                <w:szCs w:val="20"/>
              </w:rPr>
              <w:t xml:space="preserve">Caractéristiques principales</w:t>
            </w:r>
          </w:p>
        </w:tc>
        <w:tc>
          <w:tcPr>
            <w:tcW w:type="pct" w:w="3333%"/>
            <w:shd w:fill="1B3A6B" w:val="clear"/>
          </w:tcPr>
          <w:p>
            <w:pPr>
              <w:jc w:val="center"/>
            </w:pPr>
            <w:r>
              <w:rPr>
                <w:rFonts w:ascii="Times New Roman" w:cs="Times New Roman" w:eastAsia="Times New Roman" w:hAnsi="Times New Roman"/>
                <w:b/>
                <w:bCs/>
                <w:color w:val="FFFFFF"/>
                <w:sz w:val="20"/>
                <w:szCs w:val="20"/>
              </w:rPr>
              <w:t xml:space="preserve">Conduite à tenir</w:t>
            </w:r>
          </w:p>
        </w:tc>
      </w:tr>
      <w:tr>
        <w:tc>
          <w:tcPr>
            <w:shd w:fill="FFFFFF" w:val="clear"/>
          </w:tcPr>
          <w:p>
            <w:r>
              <w:rPr>
                <w:rFonts w:ascii="Times New Roman" w:cs="Times New Roman" w:eastAsia="Times New Roman" w:hAnsi="Times New Roman"/>
                <w:color w:val="1F2937"/>
                <w:sz w:val="20"/>
                <w:szCs w:val="20"/>
              </w:rPr>
              <w:t xml:space="preserve">⬛ Faible</w:t>
            </w:r>
          </w:p>
        </w:tc>
        <w:tc>
          <w:tcPr>
            <w:shd w:fill="FFFFFF" w:val="clear"/>
          </w:tcPr>
          <w:p>
            <w:r>
              <w:rPr>
                <w:rFonts w:ascii="Times New Roman" w:cs="Times New Roman" w:eastAsia="Times New Roman" w:hAnsi="Times New Roman"/>
                <w:color w:val="1F2937"/>
                <w:sz w:val="20"/>
                <w:szCs w:val="20"/>
              </w:rPr>
              <w:t xml:space="preserve">Communication maintenue ; pas de plan précis ; exprime la souffrance mais pas d'intention immédiate.</w:t>
            </w:r>
          </w:p>
        </w:tc>
        <w:tc>
          <w:tcPr>
            <w:shd w:fill="FFFFFF" w:val="clear"/>
          </w:tcPr>
          <w:p>
            <w:r>
              <w:rPr>
                <w:rFonts w:ascii="Times New Roman" w:cs="Times New Roman" w:eastAsia="Times New Roman" w:hAnsi="Times New Roman"/>
                <w:color w:val="1F2937"/>
                <w:sz w:val="20"/>
                <w:szCs w:val="20"/>
              </w:rPr>
              <w:t xml:space="preserve">Écouter sans jugement, maintenir le lien ; orienter vers un professionnel de santé.</w:t>
            </w:r>
          </w:p>
        </w:tc>
      </w:tr>
      <w:tr>
        <w:tc>
          <w:tcPr>
            <w:shd w:fill="EEF2F7" w:val="clear"/>
          </w:tcPr>
          <w:p>
            <w:r>
              <w:rPr>
                <w:rFonts w:ascii="Times New Roman" w:cs="Times New Roman" w:eastAsia="Times New Roman" w:hAnsi="Times New Roman"/>
                <w:color w:val="1F2937"/>
                <w:sz w:val="20"/>
                <w:szCs w:val="20"/>
              </w:rPr>
              <w:t xml:space="preserve">🔶 Moyen</w:t>
            </w:r>
          </w:p>
        </w:tc>
        <w:tc>
          <w:tcPr>
            <w:shd w:fill="EEF2F7" w:val="clear"/>
          </w:tcPr>
          <w:p>
            <w:r>
              <w:rPr>
                <w:rFonts w:ascii="Times New Roman" w:cs="Times New Roman" w:eastAsia="Times New Roman" w:hAnsi="Times New Roman"/>
                <w:color w:val="1F2937"/>
                <w:sz w:val="20"/>
                <w:szCs w:val="20"/>
              </w:rPr>
              <w:t xml:space="preserve">Intention claire mais différée ; voit le suicide comme seule issue ; peut avoir un plan flou.</w:t>
            </w:r>
          </w:p>
        </w:tc>
        <w:tc>
          <w:tcPr>
            <w:shd w:fill="EEF2F7" w:val="clear"/>
          </w:tcPr>
          <w:p>
            <w:r>
              <w:rPr>
                <w:rFonts w:ascii="Times New Roman" w:cs="Times New Roman" w:eastAsia="Times New Roman" w:hAnsi="Times New Roman"/>
                <w:color w:val="1F2937"/>
                <w:sz w:val="20"/>
                <w:szCs w:val="20"/>
              </w:rPr>
              <w:t xml:space="preserve">Suivi rapproché ; contacter le médecin ou psychiatre référent ; ne pas laisser seul.</w:t>
            </w:r>
          </w:p>
        </w:tc>
      </w:tr>
      <w:tr>
        <w:tc>
          <w:tcPr>
            <w:shd w:fill="FEE2E2" w:val="clear"/>
          </w:tcPr>
          <w:p>
            <w:r>
              <w:rPr>
                <w:rFonts w:ascii="Times New Roman" w:cs="Times New Roman" w:eastAsia="Times New Roman" w:hAnsi="Times New Roman"/>
                <w:color w:val="1F2937"/>
                <w:sz w:val="20"/>
                <w:szCs w:val="20"/>
              </w:rPr>
              <w:t xml:space="preserve">🔴 Élevé</w:t>
            </w:r>
          </w:p>
        </w:tc>
        <w:tc>
          <w:tcPr>
            <w:shd w:fill="FEE2E2" w:val="clear"/>
          </w:tcPr>
          <w:p>
            <w:r>
              <w:rPr>
                <w:rFonts w:ascii="Times New Roman" w:cs="Times New Roman" w:eastAsia="Times New Roman" w:hAnsi="Times New Roman"/>
                <w:color w:val="1F2937"/>
                <w:sz w:val="20"/>
                <w:szCs w:val="20"/>
              </w:rPr>
              <w:t xml:space="preserve">Plan précis, passage à l'acte prévu pour les jours qui viennent, accès direct et immédiat au moyen, isolement marqué.</w:t>
            </w:r>
          </w:p>
        </w:tc>
        <w:tc>
          <w:tcPr>
            <w:shd w:fill="FEE2E2" w:val="clear"/>
          </w:tcPr>
          <w:p>
            <w:r>
              <w:rPr>
                <w:rFonts w:ascii="Times New Roman" w:cs="Times New Roman" w:eastAsia="Times New Roman" w:hAnsi="Times New Roman"/>
                <w:color w:val="1F2937"/>
                <w:sz w:val="20"/>
                <w:szCs w:val="20"/>
              </w:rPr>
              <w:t xml:space="preserve">Orientation urgente (15 / 3114) ; hospitalisation à évaluer ; sécuriser les moyens.</w:t>
            </w:r>
          </w:p>
        </w:tc>
      </w:tr>
    </w:tbl>
    <w:p>
      <w:pPr>
        <w:spacing w:after="40" w:before="40"/>
      </w:pPr>
      <w:r>
        <w:t xml:space="preserve"/>
      </w:r>
    </w:p>
    <w:p>
      <w:pPr>
        <w:pStyle w:val="Heading3"/>
        <w:spacing w:after="60" w:before="200"/>
      </w:pPr>
      <w:r>
        <w:rPr>
          <w:rFonts w:ascii="Times New Roman" w:cs="Times New Roman" w:eastAsia="Times New Roman" w:hAnsi="Times New Roman"/>
          <w:b/>
          <w:bCs/>
          <w:color w:val="1F2937"/>
          <w:sz w:val="26"/>
          <w:szCs w:val="26"/>
        </w:rPr>
        <w:t xml:space="preserve">5. Les six éléments à explorer en évaluation clinique</w:t>
      </w:r>
    </w:p>
    <w:p>
      <w:pPr>
        <w:spacing w:after="60" w:before="60"/>
      </w:pPr>
      <w:r>
        <w:rPr>
          <w:rFonts w:ascii="Times New Roman" w:cs="Times New Roman" w:eastAsia="Times New Roman" w:hAnsi="Times New Roman"/>
          <w:b w:val="false"/>
          <w:bCs w:val="false"/>
          <w:i w:val="false"/>
          <w:iCs w:val="false"/>
          <w:color w:val="1F2937"/>
          <w:sz w:val="22"/>
          <w:szCs w:val="22"/>
        </w:rPr>
        <w:t xml:space="preserve">La Conférence de consensus ANAES 2000 (via infosuicide.org) identifie six éléments à explorer lors d'un entretien d'évaluation :</w:t>
      </w:r>
    </w:p>
    <w:p>
      <w:pPr>
        <w:spacing w:after="60" w:before="60"/>
      </w:pPr>
      <w:r>
        <w:rPr>
          <w:rFonts w:ascii="Times New Roman" w:cs="Times New Roman" w:eastAsia="Times New Roman" w:hAnsi="Times New Roman"/>
          <w:b w:val="false"/>
          <w:bCs w:val="false"/>
          <w:i w:val="false"/>
          <w:iCs w:val="false"/>
          <w:color w:val="1F2937"/>
          <w:sz w:val="22"/>
          <w:szCs w:val="22"/>
        </w:rPr>
        <w:t xml:space="preserve">1. Niveau de souffrance : désespoir, isolement, culpabilité</w:t>
      </w:r>
    </w:p>
    <w:p>
      <w:pPr>
        <w:spacing w:after="60" w:before="60"/>
      </w:pPr>
      <w:r>
        <w:rPr>
          <w:rFonts w:ascii="Times New Roman" w:cs="Times New Roman" w:eastAsia="Times New Roman" w:hAnsi="Times New Roman"/>
          <w:b w:val="false"/>
          <w:bCs w:val="false"/>
          <w:i w:val="false"/>
          <w:iCs w:val="false"/>
          <w:color w:val="1F2937"/>
          <w:sz w:val="22"/>
          <w:szCs w:val="22"/>
        </w:rPr>
        <w:t xml:space="preserve">2. Degré d'intentionnalité et de planification (a-t-il/elle un plan ? une date ?)</w:t>
      </w:r>
    </w:p>
    <w:p>
      <w:pPr>
        <w:spacing w:after="60" w:before="60"/>
      </w:pPr>
      <w:r>
        <w:rPr>
          <w:rFonts w:ascii="Times New Roman" w:cs="Times New Roman" w:eastAsia="Times New Roman" w:hAnsi="Times New Roman"/>
          <w:b w:val="false"/>
          <w:bCs w:val="false"/>
          <w:i w:val="false"/>
          <w:iCs w:val="false"/>
          <w:color w:val="1F2937"/>
          <w:sz w:val="22"/>
          <w:szCs w:val="22"/>
        </w:rPr>
        <w:t xml:space="preserve">3. Éléments impulsifs et instabilité comportementale</w:t>
      </w:r>
    </w:p>
    <w:p>
      <w:pPr>
        <w:spacing w:after="60" w:before="60"/>
      </w:pPr>
      <w:r>
        <w:rPr>
          <w:rFonts w:ascii="Times New Roman" w:cs="Times New Roman" w:eastAsia="Times New Roman" w:hAnsi="Times New Roman"/>
          <w:b w:val="false"/>
          <w:bCs w:val="false"/>
          <w:i w:val="false"/>
          <w:iCs w:val="false"/>
          <w:color w:val="1F2937"/>
          <w:sz w:val="22"/>
          <w:szCs w:val="22"/>
        </w:rPr>
        <w:t xml:space="preserve">4. Événements précipitants récents (conflit, perte, rupture)</w:t>
      </w:r>
    </w:p>
    <w:p>
      <w:pPr>
        <w:spacing w:after="60" w:before="60"/>
      </w:pPr>
      <w:r>
        <w:rPr>
          <w:rFonts w:ascii="Times New Roman" w:cs="Times New Roman" w:eastAsia="Times New Roman" w:hAnsi="Times New Roman"/>
          <w:b w:val="false"/>
          <w:bCs w:val="false"/>
          <w:i w:val="false"/>
          <w:iCs w:val="false"/>
          <w:color w:val="1F2937"/>
          <w:sz w:val="22"/>
          <w:szCs w:val="22"/>
        </w:rPr>
        <w:t xml:space="preserve">5. Accès aux moyens létaux</w:t>
      </w:r>
    </w:p>
    <w:p>
      <w:pPr>
        <w:spacing w:after="60" w:before="60"/>
      </w:pPr>
      <w:r>
        <w:rPr>
          <w:rFonts w:ascii="Times New Roman" w:cs="Times New Roman" w:eastAsia="Times New Roman" w:hAnsi="Times New Roman"/>
          <w:b w:val="false"/>
          <w:bCs w:val="false"/>
          <w:i w:val="false"/>
          <w:iCs w:val="false"/>
          <w:color w:val="1F2937"/>
          <w:sz w:val="22"/>
          <w:szCs w:val="22"/>
        </w:rPr>
        <w:t xml:space="preserve">6. Qualité du soutien familial et social</w:t>
      </w:r>
    </w:p>
    <w:p>
      <w:pPr>
        <w:spacing w:after="40" w:before="40"/>
      </w:pPr>
      <w:r>
        <w:t xml:space="preserve"/>
      </w:r>
    </w:p>
    <w:p>
      <w:pPr>
        <w:shd w:fill="F3F4F6" w:val="clear"/>
        <w:spacing w:after="80" w:before="80"/>
        <w:ind w:left="480"/>
      </w:pPr>
      <w:r>
        <w:rPr>
          <w:rFonts w:ascii="Times New Roman" w:cs="Times New Roman" w:eastAsia="Times New Roman" w:hAnsi="Times New Roman"/>
          <w:i/>
          <w:iCs/>
          <w:color w:val="1B3A6B"/>
          <w:sz w:val="22"/>
          <w:szCs w:val="22"/>
        </w:rPr>
        <w:t xml:space="preserve">Règle de prudence clinique largement partagée (réaffirmée par la littérature clinique et la Conférence de consensus 2000) : poser directement la question sur les idées suicidaires N'AUGMENTE PAS le risque — au contraire, elle soulage souvent la personne en crise en brisant l'isolement du secret. La question directe est présentée comme un acte de première ligne légitime pour tout professionnel en contact avec la personne.</w:t>
      </w:r>
    </w:p>
    <w:p>
      <w:pPr>
        <w:pStyle w:val="Heading2"/>
        <w:spacing w:after="80" w:before="280"/>
      </w:pPr>
      <w:r>
        <w:rPr>
          <w:rFonts w:ascii="Times New Roman" w:cs="Times New Roman" w:eastAsia="Times New Roman" w:hAnsi="Times New Roman"/>
          <w:b/>
          <w:bCs/>
          <w:color w:val="1B3A6B"/>
          <w:sz w:val="30"/>
          <w:szCs w:val="30"/>
        </w:rPr>
        <w:t xml:space="preserve">🛠️ Pratique (80 %) — Trois exercices progressifs</w:t>
      </w:r>
    </w:p>
    <w:p>
      <w:pPr>
        <w:pStyle w:val="Heading3"/>
        <w:spacing w:after="60" w:before="200"/>
      </w:pPr>
      <w:r>
        <w:rPr>
          <w:rFonts w:ascii="Times New Roman" w:cs="Times New Roman" w:eastAsia="Times New Roman" w:hAnsi="Times New Roman"/>
          <w:b/>
          <w:bCs/>
          <w:color w:val="1F2937"/>
          <w:sz w:val="26"/>
          <w:szCs w:val="26"/>
        </w:rPr>
        <w:t xml:space="preserve">Exercice 1 — Identifier les signaux d'alerte (compréhension active)</w:t>
      </w:r>
    </w:p>
    <w:p>
      <w:pPr>
        <w:spacing w:after="60" w:before="60"/>
      </w:pPr>
      <w:r>
        <w:rPr>
          <w:rFonts w:ascii="Times New Roman" w:cs="Times New Roman" w:eastAsia="Times New Roman" w:hAnsi="Times New Roman"/>
          <w:b w:val="false"/>
          <w:bCs w:val="false"/>
          <w:i w:val="false"/>
          <w:iCs w:val="false"/>
          <w:color w:val="1F2937"/>
          <w:sz w:val="22"/>
          <w:szCs w:val="22"/>
        </w:rPr>
        <w:t xml:space="preserve">Parmi les observations suivantes, identifiez celles qui constituent des signaux d'alerte d'une crise suicidaire potentielle. Distinguez signaux verbaux et signaux comportementaux.</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a) « Je suis tellement fatigué de tout, la vie n'a plus aucun sens pour moi. »</w:t>
      </w:r>
    </w:p>
    <w:p>
      <w:pPr>
        <w:spacing w:after="60" w:before="60"/>
      </w:pPr>
      <w:r>
        <w:rPr>
          <w:rFonts w:ascii="Times New Roman" w:cs="Times New Roman" w:eastAsia="Times New Roman" w:hAnsi="Times New Roman"/>
          <w:b w:val="false"/>
          <w:bCs w:val="false"/>
          <w:i w:val="false"/>
          <w:iCs w:val="false"/>
          <w:color w:val="1F2937"/>
          <w:sz w:val="22"/>
          <w:szCs w:val="22"/>
        </w:rPr>
        <w:t xml:space="preserve">b) Une personne accueillie distribue ses affaires préférées à ses pairs de manière inhabituelle et spontanée.</w:t>
      </w:r>
    </w:p>
    <w:p>
      <w:pPr>
        <w:spacing w:after="60" w:before="60"/>
      </w:pPr>
      <w:r>
        <w:rPr>
          <w:rFonts w:ascii="Times New Roman" w:cs="Times New Roman" w:eastAsia="Times New Roman" w:hAnsi="Times New Roman"/>
          <w:b w:val="false"/>
          <w:bCs w:val="false"/>
          <w:i w:val="false"/>
          <w:iCs w:val="false"/>
          <w:color w:val="1F2937"/>
          <w:sz w:val="22"/>
          <w:szCs w:val="22"/>
        </w:rPr>
        <w:t xml:space="preserve">c) Une personne fait état d'insomnies sévères depuis trois semaines.</w:t>
      </w:r>
    </w:p>
    <w:p>
      <w:pPr>
        <w:spacing w:after="60" w:before="60"/>
      </w:pPr>
      <w:r>
        <w:rPr>
          <w:rFonts w:ascii="Times New Roman" w:cs="Times New Roman" w:eastAsia="Times New Roman" w:hAnsi="Times New Roman"/>
          <w:b w:val="false"/>
          <w:bCs w:val="false"/>
          <w:i w:val="false"/>
          <w:iCs w:val="false"/>
          <w:color w:val="1F2937"/>
          <w:sz w:val="22"/>
          <w:szCs w:val="22"/>
        </w:rPr>
        <w:t xml:space="preserve">d) « Vous verrez, ça ira mieux — mais là, je n'en peux vraiment plus. »</w:t>
      </w:r>
    </w:p>
    <w:p>
      <w:pPr>
        <w:spacing w:after="60" w:before="60"/>
      </w:pPr>
      <w:r>
        <w:rPr>
          <w:rFonts w:ascii="Times New Roman" w:cs="Times New Roman" w:eastAsia="Times New Roman" w:hAnsi="Times New Roman"/>
          <w:b w:val="false"/>
          <w:bCs w:val="false"/>
          <w:i w:val="false"/>
          <w:iCs w:val="false"/>
          <w:color w:val="1F2937"/>
          <w:sz w:val="22"/>
          <w:szCs w:val="22"/>
        </w:rPr>
        <w:t xml:space="preserve">e) Une personne refuse de participer aux activités depuis dix jours et ne répond plus aux sollicitations de l'équipe.</w:t>
      </w:r>
    </w:p>
    <w:p>
      <w:pPr>
        <w:spacing w:after="60" w:before="60"/>
      </w:pPr>
      <w:r>
        <w:rPr>
          <w:rFonts w:ascii="Times New Roman" w:cs="Times New Roman" w:eastAsia="Times New Roman" w:hAnsi="Times New Roman"/>
          <w:b w:val="false"/>
          <w:bCs w:val="false"/>
          <w:i w:val="false"/>
          <w:iCs w:val="false"/>
          <w:color w:val="1F2937"/>
          <w:sz w:val="22"/>
          <w:szCs w:val="22"/>
        </w:rPr>
        <w:t xml:space="preserve">f) « De toute façon, vous n'aurez pas besoin de vous inquiéter pour moi bien longtemps. »</w:t>
      </w:r>
    </w:p>
    <w:p>
      <w:pPr>
        <w:spacing w:after="40" w:before="40"/>
      </w:pPr>
      <w:r>
        <w:t xml:space="preserve"/>
      </w:r>
    </w:p>
    <w:p>
      <w:pPr>
        <w:pStyle w:val="Heading3"/>
        <w:spacing w:after="60" w:before="200"/>
      </w:pPr>
      <w:r>
        <w:rPr>
          <w:rFonts w:ascii="Times New Roman" w:cs="Times New Roman" w:eastAsia="Times New Roman" w:hAnsi="Times New Roman"/>
          <w:b/>
          <w:bCs/>
          <w:color w:val="1F2937"/>
          <w:sz w:val="26"/>
          <w:szCs w:val="26"/>
        </w:rPr>
        <w:t xml:space="preserve">Corrigé exercice 1</w:t>
      </w:r>
    </w:p>
    <w:p>
      <w:pPr>
        <w:spacing w:after="60" w:before="60"/>
      </w:pPr>
      <w:r>
        <w:rPr>
          <w:rFonts w:ascii="Times New Roman" w:cs="Times New Roman" w:eastAsia="Times New Roman" w:hAnsi="Times New Roman"/>
          <w:b w:val="false"/>
          <w:bCs w:val="false"/>
          <w:i w:val="false"/>
          <w:iCs w:val="false"/>
          <w:color w:val="1F2937"/>
          <w:sz w:val="22"/>
          <w:szCs w:val="22"/>
        </w:rPr>
        <w:t xml:space="preserve">Signaux verbaux d'alerte :</w:t>
      </w:r>
    </w:p>
    <w:p>
      <w:pPr>
        <w:spacing w:after="60" w:before="60"/>
      </w:pPr>
      <w:r>
        <w:rPr>
          <w:rFonts w:ascii="Times New Roman" w:cs="Times New Roman" w:eastAsia="Times New Roman" w:hAnsi="Times New Roman"/>
          <w:b w:val="false"/>
          <w:bCs w:val="false"/>
          <w:i w:val="false"/>
          <w:iCs w:val="false"/>
          <w:color w:val="1F2937"/>
          <w:sz w:val="22"/>
          <w:szCs w:val="22"/>
        </w:rPr>
        <w:t xml:space="preserve">(a) — expression directe du désespoir et de la perte de sens. Signal verbal fort.</w:t>
      </w:r>
    </w:p>
    <w:p>
      <w:pPr>
        <w:spacing w:after="60" w:before="60"/>
      </w:pPr>
      <w:r>
        <w:rPr>
          <w:rFonts w:ascii="Times New Roman" w:cs="Times New Roman" w:eastAsia="Times New Roman" w:hAnsi="Times New Roman"/>
          <w:b w:val="false"/>
          <w:bCs w:val="false"/>
          <w:i w:val="false"/>
          <w:iCs w:val="false"/>
          <w:color w:val="1F2937"/>
          <w:sz w:val="22"/>
          <w:szCs w:val="22"/>
        </w:rPr>
        <w:t xml:space="preserve">(d) — ambivalence exprimée : « ça ira mieux » et « je n'en peux plus ». La minimisation n'efface pas le signal — elle peut même le renforcer.</w:t>
      </w:r>
    </w:p>
    <w:p>
      <w:pPr>
        <w:spacing w:after="60" w:before="60"/>
      </w:pPr>
      <w:r>
        <w:rPr>
          <w:rFonts w:ascii="Times New Roman" w:cs="Times New Roman" w:eastAsia="Times New Roman" w:hAnsi="Times New Roman"/>
          <w:b w:val="false"/>
          <w:bCs w:val="false"/>
          <w:i w:val="false"/>
          <w:iCs w:val="false"/>
          <w:color w:val="1F2937"/>
          <w:sz w:val="22"/>
          <w:szCs w:val="22"/>
        </w:rPr>
        <w:t xml:space="preserve">(f) — formulation à double sens (« bien longtemps »). Signal indirect, mais significatif : à ne pas laisser passer sans une question directe de suivi.</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Signaux comportementaux d'alerte :</w:t>
      </w:r>
    </w:p>
    <w:p>
      <w:pPr>
        <w:spacing w:after="60" w:before="60"/>
      </w:pPr>
      <w:r>
        <w:rPr>
          <w:rFonts w:ascii="Times New Roman" w:cs="Times New Roman" w:eastAsia="Times New Roman" w:hAnsi="Times New Roman"/>
          <w:b w:val="false"/>
          <w:bCs w:val="false"/>
          <w:i w:val="false"/>
          <w:iCs w:val="false"/>
          <w:color w:val="1F2937"/>
          <w:sz w:val="22"/>
          <w:szCs w:val="22"/>
        </w:rPr>
        <w:t xml:space="preserve">(b) — don d'objets personnels : comportement classiquement associé à une préparation. Signal comportemental fort.</w:t>
      </w:r>
    </w:p>
    <w:p>
      <w:pPr>
        <w:spacing w:after="60" w:before="60"/>
      </w:pPr>
      <w:r>
        <w:rPr>
          <w:rFonts w:ascii="Times New Roman" w:cs="Times New Roman" w:eastAsia="Times New Roman" w:hAnsi="Times New Roman"/>
          <w:b w:val="false"/>
          <w:bCs w:val="false"/>
          <w:i w:val="false"/>
          <w:iCs w:val="false"/>
          <w:color w:val="1F2937"/>
          <w:sz w:val="22"/>
          <w:szCs w:val="22"/>
        </w:rPr>
        <w:t xml:space="preserve">(e) — retrait social massif et rupture comportementale (dix jours sans participation). Signal comportemental à évaluer.</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Point particulier — (c) : l'insomnie sévère est un facteur de risque connu (voir section théorique), non un signal d'alerte direct de passage à l'acte imminent. Elle doit conduire à une vigilance accrue et à une orientation vers le médecin, mais ne constitue pas en elle-même un signal d'urgence suicidaire.</w:t>
      </w:r>
    </w:p>
    <w:p>
      <w:pPr>
        <w:shd w:fill="F3F4F6" w:val="clear"/>
        <w:spacing w:after="80" w:before="80"/>
        <w:ind w:left="480"/>
      </w:pPr>
      <w:r>
        <w:rPr>
          <w:rFonts w:ascii="Times New Roman" w:cs="Times New Roman" w:eastAsia="Times New Roman" w:hAnsi="Times New Roman"/>
          <w:i/>
          <w:iCs/>
          <w:color w:val="1B3A6B"/>
          <w:sz w:val="22"/>
          <w:szCs w:val="22"/>
        </w:rPr>
        <w:t xml:space="preserve">Vérification C1 (théorie → corrigé) : la théorie liste l'insomnie comme facteur de risque et l'isolement social comme signal d'alerte comportemental. Le corrigé les distingue exactement dans ce sens. ✅</w:t>
      </w:r>
    </w:p>
    <w:p>
      <w:pPr>
        <w:spacing w:after="40" w:before="40"/>
      </w:pPr>
      <w:r>
        <w:t xml:space="preserve"/>
      </w:r>
    </w:p>
    <w:p>
      <w:pPr>
        <w:pStyle w:val="Heading3"/>
        <w:spacing w:after="60" w:before="200"/>
      </w:pPr>
      <w:r>
        <w:rPr>
          <w:rFonts w:ascii="Times New Roman" w:cs="Times New Roman" w:eastAsia="Times New Roman" w:hAnsi="Times New Roman"/>
          <w:b/>
          <w:bCs/>
          <w:color w:val="1F2937"/>
          <w:sz w:val="26"/>
          <w:szCs w:val="26"/>
        </w:rPr>
        <w:t xml:space="preserve">Exercice 2 — Appliquer la grille RUD à une vignette clinique</w:t>
      </w:r>
    </w:p>
    <w:p>
      <w:pPr>
        <w:spacing w:after="60" w:before="60"/>
      </w:pPr>
      <w:r>
        <w:rPr>
          <w:rFonts w:ascii="Times New Roman" w:cs="Times New Roman" w:eastAsia="Times New Roman" w:hAnsi="Times New Roman"/>
          <w:b w:val="false"/>
          <w:bCs w:val="false"/>
          <w:i w:val="false"/>
          <w:iCs w:val="false"/>
          <w:color w:val="1F2937"/>
          <w:sz w:val="22"/>
          <w:szCs w:val="22"/>
        </w:rPr>
        <w:t xml:space="preserve">Vignette — M. A., 38 ans, accompagné dans votre foyer d'hébergement depuis 5 ans. Depuis deux semaines, retrait social important. Il a dit à un éducateur : « Je pense souvent que tout serait plus simple si j'avais un accident. J'ai des comprimés chez moi que j'ai mis de côté depuis deux mois. » Il dit ne pas avoir encore de date précise. Antécédents : une tentative de suicide il y a 4 ans.</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w:t>
      </w:r>
    </w:p>
    <w:p>
      <w:pPr>
        <w:spacing w:after="60" w:before="60"/>
      </w:pPr>
      <w:r>
        <w:rPr>
          <w:rFonts w:ascii="Times New Roman" w:cs="Times New Roman" w:eastAsia="Times New Roman" w:hAnsi="Times New Roman"/>
          <w:b w:val="false"/>
          <w:bCs w:val="false"/>
          <w:i w:val="false"/>
          <w:iCs w:val="false"/>
          <w:color w:val="1F2937"/>
          <w:sz w:val="22"/>
          <w:szCs w:val="22"/>
        </w:rPr>
        <w:t xml:space="preserve">• Quel est le niveau de Risque (R) ? Justifiez.</w:t>
      </w:r>
    </w:p>
    <w:p>
      <w:pPr>
        <w:spacing w:after="60" w:before="60"/>
      </w:pPr>
      <w:r>
        <w:rPr>
          <w:rFonts w:ascii="Times New Roman" w:cs="Times New Roman" w:eastAsia="Times New Roman" w:hAnsi="Times New Roman"/>
          <w:b w:val="false"/>
          <w:bCs w:val="false"/>
          <w:i w:val="false"/>
          <w:iCs w:val="false"/>
          <w:color w:val="1F2937"/>
          <w:sz w:val="22"/>
          <w:szCs w:val="22"/>
        </w:rPr>
        <w:t xml:space="preserve">• Quel est le niveau d'Urgence (U) ? Justifiez.</w:t>
      </w:r>
    </w:p>
    <w:p>
      <w:pPr>
        <w:spacing w:after="60" w:before="60"/>
      </w:pPr>
      <w:r>
        <w:rPr>
          <w:rFonts w:ascii="Times New Roman" w:cs="Times New Roman" w:eastAsia="Times New Roman" w:hAnsi="Times New Roman"/>
          <w:b w:val="false"/>
          <w:bCs w:val="false"/>
          <w:i w:val="false"/>
          <w:iCs w:val="false"/>
          <w:color w:val="1F2937"/>
          <w:sz w:val="22"/>
          <w:szCs w:val="22"/>
        </w:rPr>
        <w:t xml:space="preserve">• Quel est le niveau de Dangerosité (D) ? Justifiez.</w:t>
      </w:r>
    </w:p>
    <w:p>
      <w:pPr>
        <w:spacing w:after="60" w:before="60"/>
      </w:pPr>
      <w:r>
        <w:rPr>
          <w:rFonts w:ascii="Times New Roman" w:cs="Times New Roman" w:eastAsia="Times New Roman" w:hAnsi="Times New Roman"/>
          <w:b w:val="false"/>
          <w:bCs w:val="false"/>
          <w:i w:val="false"/>
          <w:iCs w:val="false"/>
          <w:color w:val="1F2937"/>
          <w:sz w:val="22"/>
          <w:szCs w:val="22"/>
        </w:rPr>
        <w:t xml:space="preserve">• Quelle conduite à tenir recommanderiez-vous à l'équipe éducative ?</w:t>
      </w:r>
    </w:p>
    <w:p>
      <w:pPr>
        <w:spacing w:after="40" w:before="40"/>
      </w:pPr>
      <w:r>
        <w:t xml:space="preserve"/>
      </w:r>
    </w:p>
    <w:p>
      <w:pPr>
        <w:pStyle w:val="Heading3"/>
        <w:spacing w:after="60" w:before="200"/>
      </w:pPr>
      <w:r>
        <w:rPr>
          <w:rFonts w:ascii="Times New Roman" w:cs="Times New Roman" w:eastAsia="Times New Roman" w:hAnsi="Times New Roman"/>
          <w:b/>
          <w:bCs/>
          <w:color w:val="1F2937"/>
          <w:sz w:val="26"/>
          <w:szCs w:val="26"/>
        </w:rPr>
        <w:t xml:space="preserve">Corrigé exercice 2</w:t>
      </w:r>
    </w:p>
    <w:p>
      <w:pPr>
        <w:spacing w:after="60" w:before="60"/>
      </w:pPr>
      <w:r>
        <w:rPr>
          <w:rFonts w:ascii="Times New Roman" w:cs="Times New Roman" w:eastAsia="Times New Roman" w:hAnsi="Times New Roman"/>
          <w:b w:val="false"/>
          <w:bCs w:val="false"/>
          <w:i w:val="false"/>
          <w:iCs w:val="false"/>
          <w:color w:val="1F2937"/>
          <w:sz w:val="22"/>
          <w:szCs w:val="22"/>
        </w:rPr>
        <w:t xml:space="preserve">R — Risque (élevé) :</w:t>
      </w:r>
    </w:p>
    <w:p>
      <w:pPr>
        <w:spacing w:after="60" w:before="60"/>
      </w:pPr>
      <w:r>
        <w:rPr>
          <w:rFonts w:ascii="Times New Roman" w:cs="Times New Roman" w:eastAsia="Times New Roman" w:hAnsi="Times New Roman"/>
          <w:b w:val="false"/>
          <w:bCs w:val="false"/>
          <w:i w:val="false"/>
          <w:iCs w:val="false"/>
          <w:color w:val="1F2937"/>
          <w:sz w:val="22"/>
          <w:szCs w:val="22"/>
        </w:rPr>
        <w:t xml:space="preserve">Facteurs présents et cumulés : antécédent de tentative de suicide (facteur de risque majeur) + retrait social + désespoir exprimé + stockage préventif de moyens létaux. L'accumulation de ces facteurs justifie un niveau de risque élevé.</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U — Urgence (moyen à élevé) :</w:t>
      </w:r>
    </w:p>
    <w:p>
      <w:pPr>
        <w:spacing w:after="60" w:before="60"/>
      </w:pPr>
      <w:r>
        <w:rPr>
          <w:rFonts w:ascii="Times New Roman" w:cs="Times New Roman" w:eastAsia="Times New Roman" w:hAnsi="Times New Roman"/>
          <w:b w:val="false"/>
          <w:bCs w:val="false"/>
          <w:i w:val="false"/>
          <w:iCs w:val="false"/>
          <w:color w:val="1F2937"/>
          <w:sz w:val="22"/>
          <w:szCs w:val="22"/>
        </w:rPr>
        <w:t xml:space="preserve">Intention exprimée de manière indirecte (« si j'avais un accident ») mais réelle. Absence de date précise annoncée — ce qui écarte l'urgence maximale immédiate — mais l'absence de date ne signifie pas l'absence d'intention. La préparation (comprimés mis de côté) dépasse la pensée et passe à l'acte de préparation.</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D — Dangerosité (élevée) :</w:t>
      </w:r>
    </w:p>
    <w:p>
      <w:pPr>
        <w:spacing w:after="60" w:before="60"/>
      </w:pPr>
      <w:r>
        <w:rPr>
          <w:rFonts w:ascii="Times New Roman" w:cs="Times New Roman" w:eastAsia="Times New Roman" w:hAnsi="Times New Roman"/>
          <w:b w:val="false"/>
          <w:bCs w:val="false"/>
          <w:i w:val="false"/>
          <w:iCs w:val="false"/>
          <w:color w:val="1F2937"/>
          <w:sz w:val="22"/>
          <w:szCs w:val="22"/>
        </w:rPr>
        <w:t xml:space="preserve">Scénario avec moyens réels disponibles et préparés depuis deux mois. Le stockage de médicaments constitue une planification, même sans date fixe. La létalité dépend du type de médicament, mais l'accès aux moyens est le critère central de la dangerosité.</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Conduite à tenir (usage de terrain, règle de prudence professionnelle) :</w:t>
      </w:r>
    </w:p>
    <w:p>
      <w:pPr>
        <w:spacing w:after="60" w:before="60"/>
      </w:pPr>
      <w:r>
        <w:rPr>
          <w:rFonts w:ascii="Times New Roman" w:cs="Times New Roman" w:eastAsia="Times New Roman" w:hAnsi="Times New Roman"/>
          <w:b w:val="false"/>
          <w:bCs w:val="false"/>
          <w:i w:val="false"/>
          <w:iCs w:val="false"/>
          <w:color w:val="1F2937"/>
          <w:sz w:val="22"/>
          <w:szCs w:val="22"/>
        </w:rPr>
        <w:t xml:space="preserve">1. Maintenir le contact : écouter sans minimiser, rester présent.</w:t>
      </w:r>
    </w:p>
    <w:p>
      <w:pPr>
        <w:spacing w:after="60" w:before="60"/>
      </w:pPr>
      <w:r>
        <w:rPr>
          <w:rFonts w:ascii="Times New Roman" w:cs="Times New Roman" w:eastAsia="Times New Roman" w:hAnsi="Times New Roman"/>
          <w:b w:val="false"/>
          <w:bCs w:val="false"/>
          <w:i w:val="false"/>
          <w:iCs w:val="false"/>
          <w:color w:val="1F2937"/>
          <w:sz w:val="22"/>
          <w:szCs w:val="22"/>
        </w:rPr>
        <w:t xml:space="preserve">2. Alerter immédiatement : responsable de service → médecin référent ou psychiatre.</w:t>
      </w:r>
    </w:p>
    <w:p>
      <w:pPr>
        <w:spacing w:after="60" w:before="60"/>
      </w:pPr>
      <w:r>
        <w:rPr>
          <w:rFonts w:ascii="Times New Roman" w:cs="Times New Roman" w:eastAsia="Times New Roman" w:hAnsi="Times New Roman"/>
          <w:b w:val="false"/>
          <w:bCs w:val="false"/>
          <w:i w:val="false"/>
          <w:iCs w:val="false"/>
          <w:color w:val="1F2937"/>
          <w:sz w:val="22"/>
          <w:szCs w:val="22"/>
        </w:rPr>
        <w:t xml:space="preserve">3. Sécuriser les moyens : demander (ou faire demander par le médecin) le retrait des médicaments stockés.</w:t>
      </w:r>
    </w:p>
    <w:p>
      <w:pPr>
        <w:spacing w:after="60" w:before="60"/>
      </w:pPr>
      <w:r>
        <w:rPr>
          <w:rFonts w:ascii="Times New Roman" w:cs="Times New Roman" w:eastAsia="Times New Roman" w:hAnsi="Times New Roman"/>
          <w:b w:val="false"/>
          <w:bCs w:val="false"/>
          <w:i w:val="false"/>
          <w:iCs w:val="false"/>
          <w:color w:val="1F2937"/>
          <w:sz w:val="22"/>
          <w:szCs w:val="22"/>
        </w:rPr>
        <w:t xml:space="preserve">4. Contacter le 3114 si aucun professionnel de santé n'est joignable rapidement.</w:t>
      </w:r>
    </w:p>
    <w:p>
      <w:pPr>
        <w:spacing w:after="60" w:before="60"/>
      </w:pPr>
      <w:r>
        <w:rPr>
          <w:rFonts w:ascii="Times New Roman" w:cs="Times New Roman" w:eastAsia="Times New Roman" w:hAnsi="Times New Roman"/>
          <w:b w:val="false"/>
          <w:bCs w:val="false"/>
          <w:i w:val="false"/>
          <w:iCs w:val="false"/>
          <w:color w:val="1F2937"/>
          <w:sz w:val="22"/>
          <w:szCs w:val="22"/>
        </w:rPr>
        <w:t xml:space="preserve">5. Ne pas laisser M. A. seul le temps que la prise en charge se mette en place.</w:t>
      </w:r>
    </w:p>
    <w:p>
      <w:pPr>
        <w:spacing w:after="60" w:before="60"/>
      </w:pPr>
      <w:r>
        <w:rPr>
          <w:rFonts w:ascii="Times New Roman" w:cs="Times New Roman" w:eastAsia="Times New Roman" w:hAnsi="Times New Roman"/>
          <w:b w:val="false"/>
          <w:bCs w:val="false"/>
          <w:i w:val="false"/>
          <w:iCs w:val="false"/>
          <w:color w:val="1F2937"/>
          <w:sz w:val="22"/>
          <w:szCs w:val="22"/>
        </w:rPr>
        <w:t xml:space="preserve">6. Documenter factuellement : heure, mots exacts, comportements observés.</w:t>
      </w:r>
    </w:p>
    <w:p>
      <w:pPr>
        <w:shd w:fill="F3F4F6" w:val="clear"/>
        <w:spacing w:after="80" w:before="80"/>
        <w:ind w:left="480"/>
      </w:pPr>
      <w:r>
        <w:rPr>
          <w:rFonts w:ascii="Times New Roman" w:cs="Times New Roman" w:eastAsia="Times New Roman" w:hAnsi="Times New Roman"/>
          <w:i/>
          <w:iCs/>
          <w:color w:val="1B3A6B"/>
          <w:sz w:val="22"/>
          <w:szCs w:val="22"/>
        </w:rPr>
        <w:t xml:space="preserve">⚠️ L'équipe éducative n'évalue pas le potentiel suicidaire — elle observe, sécurise, alerte et accompagne. La grille RUD est présentée ici pour comprendre comment pense le professionnel de santé que vous appelez, non pour s'y substituer.</w:t>
      </w:r>
    </w:p>
    <w:p>
      <w:pPr>
        <w:shd w:fill="F3F4F6" w:val="clear"/>
        <w:spacing w:after="80" w:before="80"/>
        <w:ind w:left="480"/>
      </w:pPr>
      <w:r>
        <w:rPr>
          <w:rFonts w:ascii="Times New Roman" w:cs="Times New Roman" w:eastAsia="Times New Roman" w:hAnsi="Times New Roman"/>
          <w:i/>
          <w:iCs/>
          <w:color w:val="1B3A6B"/>
          <w:sz w:val="22"/>
          <w:szCs w:val="22"/>
        </w:rPr>
        <w:t xml:space="preserve">Vérification C1 : le corrigé utilise exactement les catégories R/U/D définies en section 4, avec les mêmes critères. ✅
Vérification C2 (sens inverse) : le corrigé dit « antécédent de tentative = facteur le plus prédictif » — la théorie section 3 l'énonce en tête de liste. ✅</w:t>
      </w:r>
    </w:p>
    <w:p>
      <w:pPr>
        <w:spacing w:after="40" w:before="40"/>
      </w:pPr>
      <w:r>
        <w:t xml:space="preserve"/>
      </w:r>
    </w:p>
    <w:p>
      <w:pPr>
        <w:pStyle w:val="Heading3"/>
        <w:spacing w:after="60" w:before="200"/>
      </w:pPr>
      <w:r>
        <w:rPr>
          <w:rFonts w:ascii="Times New Roman" w:cs="Times New Roman" w:eastAsia="Times New Roman" w:hAnsi="Times New Roman"/>
          <w:b/>
          <w:bCs/>
          <w:color w:val="1F2937"/>
          <w:sz w:val="26"/>
          <w:szCs w:val="26"/>
        </w:rPr>
        <w:t xml:space="preserve">Exercice 3 — Rôles : équipe éducative vs professionnel de santé</w:t>
      </w:r>
    </w:p>
    <w:p>
      <w:pPr>
        <w:spacing w:after="60" w:before="60"/>
      </w:pPr>
      <w:r>
        <w:rPr>
          <w:rFonts w:ascii="Times New Roman" w:cs="Times New Roman" w:eastAsia="Times New Roman" w:hAnsi="Times New Roman"/>
          <w:b w:val="false"/>
          <w:bCs w:val="false"/>
          <w:i w:val="false"/>
          <w:iCs w:val="false"/>
          <w:color w:val="1F2937"/>
          <w:sz w:val="22"/>
          <w:szCs w:val="22"/>
        </w:rPr>
        <w:t xml:space="preserve">Pour chacune des actions suivantes, indiquez si elle relève de l'équipe éducative (EE), du professionnel de santé (PS), ou des deux. Justifiez.</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a) Évaluer formellement le niveau d'urgence suicidaire via la grille RUD</w:t>
      </w:r>
    </w:p>
    <w:p>
      <w:pPr>
        <w:spacing w:after="60" w:before="60"/>
      </w:pPr>
      <w:r>
        <w:rPr>
          <w:rFonts w:ascii="Times New Roman" w:cs="Times New Roman" w:eastAsia="Times New Roman" w:hAnsi="Times New Roman"/>
          <w:b w:val="false"/>
          <w:bCs w:val="false"/>
          <w:i w:val="false"/>
          <w:iCs w:val="false"/>
          <w:color w:val="1F2937"/>
          <w:sz w:val="22"/>
          <w:szCs w:val="22"/>
        </w:rPr>
        <w:t xml:space="preserve">b) Écouter sans jugement et maintenir le lien avec la personne</w:t>
      </w:r>
    </w:p>
    <w:p>
      <w:pPr>
        <w:spacing w:after="60" w:before="60"/>
      </w:pPr>
      <w:r>
        <w:rPr>
          <w:rFonts w:ascii="Times New Roman" w:cs="Times New Roman" w:eastAsia="Times New Roman" w:hAnsi="Times New Roman"/>
          <w:b w:val="false"/>
          <w:bCs w:val="false"/>
          <w:i w:val="false"/>
          <w:iCs w:val="false"/>
          <w:color w:val="1F2937"/>
          <w:sz w:val="22"/>
          <w:szCs w:val="22"/>
        </w:rPr>
        <w:t xml:space="preserve">c) Contacter le 3114</w:t>
      </w:r>
    </w:p>
    <w:p>
      <w:pPr>
        <w:spacing w:after="60" w:before="60"/>
      </w:pPr>
      <w:r>
        <w:rPr>
          <w:rFonts w:ascii="Times New Roman" w:cs="Times New Roman" w:eastAsia="Times New Roman" w:hAnsi="Times New Roman"/>
          <w:b w:val="false"/>
          <w:bCs w:val="false"/>
          <w:i w:val="false"/>
          <w:iCs w:val="false"/>
          <w:color w:val="1F2937"/>
          <w:sz w:val="22"/>
          <w:szCs w:val="22"/>
        </w:rPr>
        <w:t xml:space="preserve">d) Prescrire ou modifier un traitement médicamenteux</w:t>
      </w:r>
    </w:p>
    <w:p>
      <w:pPr>
        <w:spacing w:after="60" w:before="60"/>
      </w:pPr>
      <w:r>
        <w:rPr>
          <w:rFonts w:ascii="Times New Roman" w:cs="Times New Roman" w:eastAsia="Times New Roman" w:hAnsi="Times New Roman"/>
          <w:b w:val="false"/>
          <w:bCs w:val="false"/>
          <w:i w:val="false"/>
          <w:iCs w:val="false"/>
          <w:color w:val="1F2937"/>
          <w:sz w:val="22"/>
          <w:szCs w:val="22"/>
        </w:rPr>
        <w:t xml:space="preserve">e) Observer et noter des changements comportementaux inhabituels</w:t>
      </w:r>
    </w:p>
    <w:p>
      <w:pPr>
        <w:spacing w:after="60" w:before="60"/>
      </w:pPr>
      <w:r>
        <w:rPr>
          <w:rFonts w:ascii="Times New Roman" w:cs="Times New Roman" w:eastAsia="Times New Roman" w:hAnsi="Times New Roman"/>
          <w:b w:val="false"/>
          <w:bCs w:val="false"/>
          <w:i w:val="false"/>
          <w:iCs w:val="false"/>
          <w:color w:val="1F2937"/>
          <w:sz w:val="22"/>
          <w:szCs w:val="22"/>
        </w:rPr>
        <w:t xml:space="preserve">f) Demander la sécurisation de l'accès aux moyens létaux</w:t>
      </w:r>
    </w:p>
    <w:p>
      <w:pPr>
        <w:spacing w:after="60" w:before="60"/>
      </w:pPr>
      <w:r>
        <w:rPr>
          <w:rFonts w:ascii="Times New Roman" w:cs="Times New Roman" w:eastAsia="Times New Roman" w:hAnsi="Times New Roman"/>
          <w:b w:val="false"/>
          <w:bCs w:val="false"/>
          <w:i w:val="false"/>
          <w:iCs w:val="false"/>
          <w:color w:val="1F2937"/>
          <w:sz w:val="22"/>
          <w:szCs w:val="22"/>
        </w:rPr>
        <w:t xml:space="preserve">g) Poser directement la question : « Est-ce que tu as des idées de te faire du mal ? »</w:t>
      </w:r>
    </w:p>
    <w:p>
      <w:pPr>
        <w:spacing w:after="40" w:before="40"/>
      </w:pPr>
      <w:r>
        <w:t xml:space="preserve"/>
      </w:r>
    </w:p>
    <w:p>
      <w:pPr>
        <w:pStyle w:val="Heading3"/>
        <w:spacing w:after="60" w:before="200"/>
      </w:pPr>
      <w:r>
        <w:rPr>
          <w:rFonts w:ascii="Times New Roman" w:cs="Times New Roman" w:eastAsia="Times New Roman" w:hAnsi="Times New Roman"/>
          <w:b/>
          <w:bCs/>
          <w:color w:val="1F2937"/>
          <w:sz w:val="26"/>
          <w:szCs w:val="26"/>
        </w:rPr>
        <w:t xml:space="preserve">Corrigé exercice 3</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0%"/>
            <w:shd w:fill="1B3A6B" w:val="clear"/>
          </w:tcPr>
          <w:p>
            <w:pPr>
              <w:jc w:val="center"/>
            </w:pPr>
            <w:r>
              <w:rPr>
                <w:rFonts w:ascii="Times New Roman" w:cs="Times New Roman" w:eastAsia="Times New Roman" w:hAnsi="Times New Roman"/>
                <w:b/>
                <w:bCs/>
                <w:color w:val="FFFFFF"/>
                <w:sz w:val="20"/>
                <w:szCs w:val="20"/>
              </w:rPr>
              <w:t xml:space="preserve">Action</w:t>
            </w:r>
          </w:p>
        </w:tc>
        <w:tc>
          <w:tcPr>
            <w:tcW w:type="pct" w:w="20%"/>
            <w:shd w:fill="1B3A6B" w:val="clear"/>
          </w:tcPr>
          <w:p>
            <w:pPr>
              <w:jc w:val="center"/>
            </w:pPr>
            <w:r>
              <w:rPr>
                <w:rFonts w:ascii="Times New Roman" w:cs="Times New Roman" w:eastAsia="Times New Roman" w:hAnsi="Times New Roman"/>
                <w:b/>
                <w:bCs/>
                <w:color w:val="FFFFFF"/>
                <w:sz w:val="20"/>
                <w:szCs w:val="20"/>
              </w:rPr>
              <w:t xml:space="preserve">Rôle</w:t>
            </w:r>
          </w:p>
        </w:tc>
        <w:tc>
          <w:tcPr>
            <w:tcW w:type="pct" w:w="40%"/>
            <w:shd w:fill="1B3A6B" w:val="clear"/>
          </w:tcPr>
          <w:p>
            <w:pPr>
              <w:jc w:val="center"/>
            </w:pPr>
            <w:r>
              <w:rPr>
                <w:rFonts w:ascii="Times New Roman" w:cs="Times New Roman" w:eastAsia="Times New Roman" w:hAnsi="Times New Roman"/>
                <w:b/>
                <w:bCs/>
                <w:color w:val="FFFFFF"/>
                <w:sz w:val="20"/>
                <w:szCs w:val="20"/>
              </w:rPr>
              <w:t xml:space="preserve">Justification</w:t>
            </w:r>
          </w:p>
        </w:tc>
      </w:tr>
      <w:tr>
        <w:tc>
          <w:tcPr>
            <w:shd w:fill="FFFFFF" w:val="clear"/>
          </w:tcPr>
          <w:p>
            <w:r>
              <w:rPr>
                <w:rFonts w:ascii="Times New Roman" w:cs="Times New Roman" w:eastAsia="Times New Roman" w:hAnsi="Times New Roman"/>
                <w:color w:val="1F2937"/>
                <w:sz w:val="20"/>
                <w:szCs w:val="20"/>
              </w:rPr>
              <w:t xml:space="preserve">a) Évaluer via la grille RUD</w:t>
            </w:r>
          </w:p>
        </w:tc>
        <w:tc>
          <w:tcPr>
            <w:shd w:fill="FFFFFF" w:val="clear"/>
          </w:tcPr>
          <w:p>
            <w:r>
              <w:rPr>
                <w:rFonts w:ascii="Times New Roman" w:cs="Times New Roman" w:eastAsia="Times New Roman" w:hAnsi="Times New Roman"/>
                <w:color w:val="1F2937"/>
                <w:sz w:val="20"/>
                <w:szCs w:val="20"/>
              </w:rPr>
              <w:t xml:space="preserve">PS uniquement</w:t>
            </w:r>
          </w:p>
        </w:tc>
        <w:tc>
          <w:tcPr>
            <w:shd w:fill="FFFFFF" w:val="clear"/>
          </w:tcPr>
          <w:p>
            <w:r>
              <w:rPr>
                <w:rFonts w:ascii="Times New Roman" w:cs="Times New Roman" w:eastAsia="Times New Roman" w:hAnsi="Times New Roman"/>
                <w:color w:val="1F2937"/>
                <w:sz w:val="20"/>
                <w:szCs w:val="20"/>
              </w:rPr>
              <w:t xml:space="preserve">Évaluation clinique formelle : psychiatre ou médecin formé</w:t>
            </w:r>
          </w:p>
        </w:tc>
      </w:tr>
      <w:tr>
        <w:tc>
          <w:tcPr>
            <w:shd w:fill="EEF2F7" w:val="clear"/>
          </w:tcPr>
          <w:p>
            <w:r>
              <w:rPr>
                <w:rFonts w:ascii="Times New Roman" w:cs="Times New Roman" w:eastAsia="Times New Roman" w:hAnsi="Times New Roman"/>
                <w:color w:val="1F2937"/>
                <w:sz w:val="20"/>
                <w:szCs w:val="20"/>
              </w:rPr>
              <w:t xml:space="preserve">b) Écoute sans jugement</w:t>
            </w:r>
          </w:p>
        </w:tc>
        <w:tc>
          <w:tcPr>
            <w:shd w:fill="EEF2F7" w:val="clear"/>
          </w:tcPr>
          <w:p>
            <w:r>
              <w:rPr>
                <w:rFonts w:ascii="Times New Roman" w:cs="Times New Roman" w:eastAsia="Times New Roman" w:hAnsi="Times New Roman"/>
                <w:color w:val="1F2937"/>
                <w:sz w:val="20"/>
                <w:szCs w:val="20"/>
              </w:rPr>
              <w:t xml:space="preserve">EE</w:t>
            </w:r>
          </w:p>
        </w:tc>
        <w:tc>
          <w:tcPr>
            <w:shd w:fill="EEF2F7" w:val="clear"/>
          </w:tcPr>
          <w:p>
            <w:r>
              <w:rPr>
                <w:rFonts w:ascii="Times New Roman" w:cs="Times New Roman" w:eastAsia="Times New Roman" w:hAnsi="Times New Roman"/>
                <w:color w:val="1F2937"/>
                <w:sz w:val="20"/>
                <w:szCs w:val="20"/>
              </w:rPr>
              <w:t xml:space="preserve">Compétence relationnelle de l'équipe éducative</w:t>
            </w:r>
          </w:p>
        </w:tc>
      </w:tr>
      <w:tr>
        <w:tc>
          <w:tcPr>
            <w:shd w:fill="FFFFFF" w:val="clear"/>
          </w:tcPr>
          <w:p>
            <w:r>
              <w:rPr>
                <w:rFonts w:ascii="Times New Roman" w:cs="Times New Roman" w:eastAsia="Times New Roman" w:hAnsi="Times New Roman"/>
                <w:color w:val="1F2937"/>
                <w:sz w:val="20"/>
                <w:szCs w:val="20"/>
              </w:rPr>
              <w:t xml:space="preserve">c) Contacter le 3114</w:t>
            </w:r>
          </w:p>
        </w:tc>
        <w:tc>
          <w:tcPr>
            <w:shd w:fill="FFFFFF" w:val="clear"/>
          </w:tcPr>
          <w:p>
            <w:r>
              <w:rPr>
                <w:rFonts w:ascii="Times New Roman" w:cs="Times New Roman" w:eastAsia="Times New Roman" w:hAnsi="Times New Roman"/>
                <w:color w:val="1F2937"/>
                <w:sz w:val="20"/>
                <w:szCs w:val="20"/>
              </w:rPr>
              <w:t xml:space="preserve">EE + PS</w:t>
            </w:r>
          </w:p>
        </w:tc>
        <w:tc>
          <w:tcPr>
            <w:shd w:fill="FFFFFF" w:val="clear"/>
          </w:tcPr>
          <w:p>
            <w:r>
              <w:rPr>
                <w:rFonts w:ascii="Times New Roman" w:cs="Times New Roman" w:eastAsia="Times New Roman" w:hAnsi="Times New Roman"/>
                <w:color w:val="1F2937"/>
                <w:sz w:val="20"/>
                <w:szCs w:val="20"/>
              </w:rPr>
              <w:t xml:space="preserve">Ligne accessible à tous les professionnels</w:t>
            </w:r>
          </w:p>
        </w:tc>
      </w:tr>
      <w:tr>
        <w:tc>
          <w:tcPr>
            <w:shd w:fill="EEF2F7" w:val="clear"/>
          </w:tcPr>
          <w:p>
            <w:r>
              <w:rPr>
                <w:rFonts w:ascii="Times New Roman" w:cs="Times New Roman" w:eastAsia="Times New Roman" w:hAnsi="Times New Roman"/>
                <w:color w:val="1F2937"/>
                <w:sz w:val="20"/>
                <w:szCs w:val="20"/>
              </w:rPr>
              <w:t xml:space="preserve">d) Modifier un traitement</w:t>
            </w:r>
          </w:p>
        </w:tc>
        <w:tc>
          <w:tcPr>
            <w:shd w:fill="EEF2F7" w:val="clear"/>
          </w:tcPr>
          <w:p>
            <w:r>
              <w:rPr>
                <w:rFonts w:ascii="Times New Roman" w:cs="Times New Roman" w:eastAsia="Times New Roman" w:hAnsi="Times New Roman"/>
                <w:color w:val="1F2937"/>
                <w:sz w:val="20"/>
                <w:szCs w:val="20"/>
              </w:rPr>
              <w:t xml:space="preserve">PS uniquement</w:t>
            </w:r>
          </w:p>
        </w:tc>
        <w:tc>
          <w:tcPr>
            <w:shd w:fill="EEF2F7" w:val="clear"/>
          </w:tcPr>
          <w:p>
            <w:r>
              <w:rPr>
                <w:rFonts w:ascii="Times New Roman" w:cs="Times New Roman" w:eastAsia="Times New Roman" w:hAnsi="Times New Roman"/>
                <w:color w:val="1F2937"/>
                <w:sz w:val="20"/>
                <w:szCs w:val="20"/>
              </w:rPr>
              <w:t xml:space="preserve">Acte médical exclusif</w:t>
            </w:r>
          </w:p>
        </w:tc>
      </w:tr>
      <w:tr>
        <w:tc>
          <w:tcPr>
            <w:shd w:fill="FFFFFF" w:val="clear"/>
          </w:tcPr>
          <w:p>
            <w:r>
              <w:rPr>
                <w:rFonts w:ascii="Times New Roman" w:cs="Times New Roman" w:eastAsia="Times New Roman" w:hAnsi="Times New Roman"/>
                <w:color w:val="1F2937"/>
                <w:sz w:val="20"/>
                <w:szCs w:val="20"/>
              </w:rPr>
              <w:t xml:space="preserve">e) Observer et noter</w:t>
            </w:r>
          </w:p>
        </w:tc>
        <w:tc>
          <w:tcPr>
            <w:shd w:fill="FFFFFF" w:val="clear"/>
          </w:tcPr>
          <w:p>
            <w:r>
              <w:rPr>
                <w:rFonts w:ascii="Times New Roman" w:cs="Times New Roman" w:eastAsia="Times New Roman" w:hAnsi="Times New Roman"/>
                <w:color w:val="1F2937"/>
                <w:sz w:val="20"/>
                <w:szCs w:val="20"/>
              </w:rPr>
              <w:t xml:space="preserve">EE</w:t>
            </w:r>
          </w:p>
        </w:tc>
        <w:tc>
          <w:tcPr>
            <w:shd w:fill="FFFFFF" w:val="clear"/>
          </w:tcPr>
          <w:p>
            <w:r>
              <w:rPr>
                <w:rFonts w:ascii="Times New Roman" w:cs="Times New Roman" w:eastAsia="Times New Roman" w:hAnsi="Times New Roman"/>
                <w:color w:val="1F2937"/>
                <w:sz w:val="20"/>
                <w:szCs w:val="20"/>
              </w:rPr>
              <w:t xml:space="preserve">Premier maillon de la chaîne d'alerte</w:t>
            </w:r>
          </w:p>
        </w:tc>
      </w:tr>
      <w:tr>
        <w:tc>
          <w:tcPr>
            <w:shd w:fill="EEF2F7" w:val="clear"/>
          </w:tcPr>
          <w:p>
            <w:r>
              <w:rPr>
                <w:rFonts w:ascii="Times New Roman" w:cs="Times New Roman" w:eastAsia="Times New Roman" w:hAnsi="Times New Roman"/>
                <w:color w:val="1F2937"/>
                <w:sz w:val="20"/>
                <w:szCs w:val="20"/>
              </w:rPr>
              <w:t xml:space="preserve">f) Sécuriser les moyens</w:t>
            </w:r>
          </w:p>
        </w:tc>
        <w:tc>
          <w:tcPr>
            <w:shd w:fill="EEF2F7" w:val="clear"/>
          </w:tcPr>
          <w:p>
            <w:r>
              <w:rPr>
                <w:rFonts w:ascii="Times New Roman" w:cs="Times New Roman" w:eastAsia="Times New Roman" w:hAnsi="Times New Roman"/>
                <w:color w:val="1F2937"/>
                <w:sz w:val="20"/>
                <w:szCs w:val="20"/>
              </w:rPr>
              <w:t xml:space="preserve">EE + PS</w:t>
            </w:r>
          </w:p>
        </w:tc>
        <w:tc>
          <w:tcPr>
            <w:shd w:fill="EEF2F7" w:val="clear"/>
          </w:tcPr>
          <w:p>
            <w:r>
              <w:rPr>
                <w:rFonts w:ascii="Times New Roman" w:cs="Times New Roman" w:eastAsia="Times New Roman" w:hAnsi="Times New Roman"/>
                <w:color w:val="1F2937"/>
                <w:sz w:val="20"/>
                <w:szCs w:val="20"/>
              </w:rPr>
              <w:t xml:space="preserve">L'équipe demande le retrait ; l'évaluation revient au médecin</w:t>
            </w:r>
          </w:p>
        </w:tc>
      </w:tr>
      <w:tr>
        <w:tc>
          <w:tcPr>
            <w:shd w:fill="FFFFFF" w:val="clear"/>
          </w:tcPr>
          <w:p>
            <w:r>
              <w:rPr>
                <w:rFonts w:ascii="Times New Roman" w:cs="Times New Roman" w:eastAsia="Times New Roman" w:hAnsi="Times New Roman"/>
                <w:color w:val="1F2937"/>
                <w:sz w:val="20"/>
                <w:szCs w:val="20"/>
              </w:rPr>
              <w:t xml:space="preserve">g) Poser la question directement</w:t>
            </w:r>
          </w:p>
        </w:tc>
        <w:tc>
          <w:tcPr>
            <w:shd w:fill="FFFFFF" w:val="clear"/>
          </w:tcPr>
          <w:p>
            <w:r>
              <w:rPr>
                <w:rFonts w:ascii="Times New Roman" w:cs="Times New Roman" w:eastAsia="Times New Roman" w:hAnsi="Times New Roman"/>
                <w:color w:val="1F2937"/>
                <w:sz w:val="20"/>
                <w:szCs w:val="20"/>
              </w:rPr>
              <w:t xml:space="preserve">EE (1re ligne)</w:t>
            </w:r>
          </w:p>
        </w:tc>
        <w:tc>
          <w:tcPr>
            <w:shd w:fill="FFFFFF" w:val="clear"/>
          </w:tcPr>
          <w:p>
            <w:r>
              <w:rPr>
                <w:rFonts w:ascii="Times New Roman" w:cs="Times New Roman" w:eastAsia="Times New Roman" w:hAnsi="Times New Roman"/>
                <w:color w:val="1F2937"/>
                <w:sz w:val="20"/>
                <w:szCs w:val="20"/>
              </w:rPr>
              <w:t xml:space="preserve">Règle de prudence : la question n'augmente pas le risque</w:t>
            </w:r>
          </w:p>
        </w:tc>
      </w:tr>
    </w:tbl>
    <w:p>
      <w:pPr>
        <w:shd w:fill="F3F4F6" w:val="clear"/>
        <w:spacing w:after="80" w:before="80"/>
        <w:ind w:left="480"/>
      </w:pPr>
      <w:r>
        <w:rPr>
          <w:rFonts w:ascii="Times New Roman" w:cs="Times New Roman" w:eastAsia="Times New Roman" w:hAnsi="Times New Roman"/>
          <w:i/>
          <w:iCs/>
          <w:color w:val="1B3A6B"/>
          <w:sz w:val="22"/>
          <w:szCs w:val="22"/>
        </w:rPr>
        <w:t xml:space="preserve">Vérification C1 : le tableau est cohérent avec la note déontologique (observer/alerter/orienter, pas diagnostiquer) et avec la section 4 (grille RUD = outil clinique, pas outil éducatif). ✅</w:t>
      </w:r>
    </w:p>
    <w:p>
      <w:pPr>
        <w:spacing w:after="40" w:before="40"/>
      </w:pPr>
      <w:r>
        <w:t xml:space="preserve"/>
      </w:r>
    </w:p>
    <w:p>
      <w:pPr>
        <w:pStyle w:val="Heading2"/>
        <w:spacing w:after="80" w:before="280"/>
      </w:pPr>
      <w:r>
        <w:rPr>
          <w:rFonts w:ascii="Times New Roman" w:cs="Times New Roman" w:eastAsia="Times New Roman" w:hAnsi="Times New Roman"/>
          <w:b/>
          <w:bCs/>
          <w:color w:val="1B3A6B"/>
          <w:sz w:val="30"/>
          <w:szCs w:val="30"/>
        </w:rPr>
        <w:t xml:space="preserve">🎯 Challenge — Vignette complexe</w:t>
      </w:r>
    </w:p>
    <w:p>
      <w:pPr>
        <w:spacing w:after="60" w:before="60"/>
      </w:pPr>
      <w:r>
        <w:rPr>
          <w:rFonts w:ascii="Times New Roman" w:cs="Times New Roman" w:eastAsia="Times New Roman" w:hAnsi="Times New Roman"/>
          <w:b w:val="false"/>
          <w:bCs w:val="false"/>
          <w:i w:val="false"/>
          <w:iCs w:val="false"/>
          <w:color w:val="1F2937"/>
          <w:sz w:val="22"/>
          <w:szCs w:val="22"/>
        </w:rPr>
        <w:t xml:space="preserve">Mme B., 45 ans, accompagnée depuis 8 ans dans votre foyer. Elle souffre d'un trouble bipolaire stabilisé depuis 3 ans. Depuis deux semaines, l'équipe note un retrait progressif, un arrêt des activités, l'absence de sourire. Elle n'a rien dit verbalement. Ce matin, une éducatrice la trouve immobile depuis 30 minutes, debout à sa fenêtre de chambre au 3e étage. Elle dit « laissez-moi » quand on s'approche. Aucun antécédent de tentative.</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w:t>
      </w:r>
    </w:p>
    <w:p>
      <w:pPr>
        <w:spacing w:after="60" w:before="60"/>
      </w:pPr>
      <w:r>
        <w:rPr>
          <w:rFonts w:ascii="Times New Roman" w:cs="Times New Roman" w:eastAsia="Times New Roman" w:hAnsi="Times New Roman"/>
          <w:b w:val="false"/>
          <w:bCs w:val="false"/>
          <w:i w:val="false"/>
          <w:iCs w:val="false"/>
          <w:color w:val="1F2937"/>
          <w:sz w:val="22"/>
          <w:szCs w:val="22"/>
        </w:rPr>
        <w:t xml:space="preserve">1. Quels signaux d'alerte identifiez-vous ? Classez-les (verbaux / comportementaux).</w:t>
      </w:r>
    </w:p>
    <w:p>
      <w:pPr>
        <w:spacing w:after="60" w:before="60"/>
      </w:pPr>
      <w:r>
        <w:rPr>
          <w:rFonts w:ascii="Times New Roman" w:cs="Times New Roman" w:eastAsia="Times New Roman" w:hAnsi="Times New Roman"/>
          <w:b w:val="false"/>
          <w:bCs w:val="false"/>
          <w:i w:val="false"/>
          <w:iCs w:val="false"/>
          <w:color w:val="1F2937"/>
          <w:sz w:val="22"/>
          <w:szCs w:val="22"/>
        </w:rPr>
        <w:t xml:space="preserve">2. Dans la grille RUD, que pouvez-vous observer en tant qu'EE ? Que ne pouvez-vous pas évaluer, et pourquoi ?</w:t>
      </w:r>
    </w:p>
    <w:p>
      <w:pPr>
        <w:spacing w:after="60" w:before="60"/>
      </w:pPr>
      <w:r>
        <w:rPr>
          <w:rFonts w:ascii="Times New Roman" w:cs="Times New Roman" w:eastAsia="Times New Roman" w:hAnsi="Times New Roman"/>
          <w:b w:val="false"/>
          <w:bCs w:val="false"/>
          <w:i w:val="false"/>
          <w:iCs w:val="false"/>
          <w:color w:val="1F2937"/>
          <w:sz w:val="22"/>
          <w:szCs w:val="22"/>
        </w:rPr>
        <w:t xml:space="preserve">3. Quelle conduite à tenir, étape par étape ?</w:t>
      </w:r>
    </w:p>
    <w:p>
      <w:pPr>
        <w:spacing w:after="40" w:before="40"/>
      </w:pPr>
      <w:r>
        <w:t xml:space="preserve"/>
      </w:r>
    </w:p>
    <w:p>
      <w:pPr>
        <w:pStyle w:val="Heading3"/>
        <w:spacing w:after="60" w:before="200"/>
      </w:pPr>
      <w:r>
        <w:rPr>
          <w:rFonts w:ascii="Times New Roman" w:cs="Times New Roman" w:eastAsia="Times New Roman" w:hAnsi="Times New Roman"/>
          <w:b/>
          <w:bCs/>
          <w:color w:val="1F2937"/>
          <w:sz w:val="26"/>
          <w:szCs w:val="26"/>
        </w:rPr>
        <w:t xml:space="preserve">Corrigé du Challenge</w:t>
      </w:r>
    </w:p>
    <w:p>
      <w:pPr>
        <w:spacing w:after="60" w:before="60"/>
      </w:pPr>
      <w:r>
        <w:rPr>
          <w:rFonts w:ascii="Times New Roman" w:cs="Times New Roman" w:eastAsia="Times New Roman" w:hAnsi="Times New Roman"/>
          <w:b w:val="false"/>
          <w:bCs w:val="false"/>
          <w:i w:val="false"/>
          <w:iCs w:val="false"/>
          <w:color w:val="1F2937"/>
          <w:sz w:val="22"/>
          <w:szCs w:val="22"/>
        </w:rPr>
        <w:t xml:space="preserve">1. Signaux d'alerte identifiés :</w:t>
      </w:r>
    </w:p>
    <w:p>
      <w:pPr>
        <w:spacing w:after="60" w:before="60"/>
      </w:pPr>
      <w:r>
        <w:rPr>
          <w:rFonts w:ascii="Times New Roman" w:cs="Times New Roman" w:eastAsia="Times New Roman" w:hAnsi="Times New Roman"/>
          <w:b w:val="false"/>
          <w:bCs w:val="false"/>
          <w:i w:val="false"/>
          <w:iCs w:val="false"/>
          <w:color w:val="1F2937"/>
          <w:sz w:val="22"/>
          <w:szCs w:val="22"/>
        </w:rPr>
        <w:t xml:space="preserve">• Comportementaux : retrait social progressif sur deux semaines ; rupture avec les habitudes habituelles (arrêt des activités, plus de sourire) ; position à la fenêtre d'un 3e étage, immobile depuis 30 minutes ; refus du contact (« laissez-moi »).</w:t>
      </w:r>
    </w:p>
    <w:p>
      <w:pPr>
        <w:spacing w:after="60" w:before="60"/>
      </w:pPr>
      <w:r>
        <w:rPr>
          <w:rFonts w:ascii="Times New Roman" w:cs="Times New Roman" w:eastAsia="Times New Roman" w:hAnsi="Times New Roman"/>
          <w:b w:val="false"/>
          <w:bCs w:val="false"/>
          <w:i w:val="false"/>
          <w:iCs w:val="false"/>
          <w:color w:val="1F2937"/>
          <w:sz w:val="22"/>
          <w:szCs w:val="22"/>
        </w:rPr>
        <w:t xml:space="preserve">• Verbal : « laissez-moi » — énoncé à double sens selon le contexte. À ne pas lire comme un simple refus banal.</w:t>
      </w:r>
    </w:p>
    <w:p>
      <w:pPr>
        <w:spacing w:after="60" w:before="60"/>
      </w:pPr>
      <w:r>
        <w:rPr>
          <w:rFonts w:ascii="Times New Roman" w:cs="Times New Roman" w:eastAsia="Times New Roman" w:hAnsi="Times New Roman"/>
          <w:b w:val="false"/>
          <w:bCs w:val="false"/>
          <w:i w:val="false"/>
          <w:iCs w:val="false"/>
          <w:color w:val="1F2937"/>
          <w:sz w:val="22"/>
          <w:szCs w:val="22"/>
        </w:rPr>
        <w:t xml:space="preserve">• Facteur de vulnérabilité sous-jacent : trouble bipolaire (risque de décès par suicide multiplié par 17,1, selon le Merck Manual — le quatrième ratio le plus élevé des dix lignes du tableau source). Ce n'est pas un signal du moment, c'est une vulnérabilité de fond qui amplifie la portée des autres signaux.</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Point crucial — L'ABSENCE D'EXPRESSION VERBALE N'EST PAS UNE PREUVE D'ABSENCE DE CRISE. Mme B. ne dit rien de suicidaire : cela ne signifie pas qu'elle ne l'est pas. Le silence peut être le contraire de la sécurité.</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2. Ce que l'EE peut observer / ne peut pas évaluer :</w:t>
      </w:r>
    </w:p>
    <w:p>
      <w:pPr>
        <w:spacing w:after="60" w:before="60"/>
      </w:pPr>
      <w:r>
        <w:rPr>
          <w:rFonts w:ascii="Times New Roman" w:cs="Times New Roman" w:eastAsia="Times New Roman" w:hAnsi="Times New Roman"/>
          <w:b w:val="false"/>
          <w:bCs w:val="false"/>
          <w:i w:val="false"/>
          <w:iCs w:val="false"/>
          <w:color w:val="1F2937"/>
          <w:sz w:val="22"/>
          <w:szCs w:val="22"/>
        </w:rPr>
        <w:t xml:space="preserve">• Ce qu'elle peut observer : les signaux comportementaux listés ci-dessus, le contexte clinique connu (trouble bipolaire), la rupture par rapport au comportement habituel.</w:t>
      </w:r>
    </w:p>
    <w:p>
      <w:pPr>
        <w:spacing w:after="60" w:before="60"/>
      </w:pPr>
      <w:r>
        <w:rPr>
          <w:rFonts w:ascii="Times New Roman" w:cs="Times New Roman" w:eastAsia="Times New Roman" w:hAnsi="Times New Roman"/>
          <w:b w:val="false"/>
          <w:bCs w:val="false"/>
          <w:i w:val="false"/>
          <w:iCs w:val="false"/>
          <w:color w:val="1F2937"/>
          <w:sz w:val="22"/>
          <w:szCs w:val="22"/>
        </w:rPr>
        <w:t xml:space="preserve">• Ce qu'elle ne peut pas évaluer : le niveau d'urgence formelle (U), la dangerosité du scénario interne (D, puisque Mme B. ne communique pas), l'intention réelle. L'EE n'a pas accès à la pensée interne de Mme B., et Mme B. ne parle pas. Seul un clinicien formé, dans un entretien adapté, peut tenter cette évaluation.</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L'absence d'antécédents ne neutralise pas la situation. C'est une erreur fréquente de raisonnement : « Elle n'a jamais fait ça » n'est pas un argument de sécurité — c'est un argument d'historique, pas d'état actuel.</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3. Conduite à tenir, dans l'ordre :</w:t>
      </w:r>
    </w:p>
    <w:p>
      <w:pPr>
        <w:spacing w:after="60" w:before="60"/>
      </w:pPr>
      <w:r>
        <w:rPr>
          <w:rFonts w:ascii="Times New Roman" w:cs="Times New Roman" w:eastAsia="Times New Roman" w:hAnsi="Times New Roman"/>
          <w:b w:val="false"/>
          <w:bCs w:val="false"/>
          <w:i w:val="false"/>
          <w:iCs w:val="false"/>
          <w:color w:val="1F2937"/>
          <w:sz w:val="22"/>
          <w:szCs w:val="22"/>
        </w:rPr>
        <w:t xml:space="preserve">a) Ne pas laisser Mme B. seule — maintenir une présence physique discrète et calme, sans forcer le contact.</w:t>
      </w:r>
    </w:p>
    <w:p>
      <w:pPr>
        <w:spacing w:after="60" w:before="60"/>
      </w:pPr>
      <w:r>
        <w:rPr>
          <w:rFonts w:ascii="Times New Roman" w:cs="Times New Roman" w:eastAsia="Times New Roman" w:hAnsi="Times New Roman"/>
          <w:b w:val="false"/>
          <w:bCs w:val="false"/>
          <w:i w:val="false"/>
          <w:iCs w:val="false"/>
          <w:color w:val="1F2937"/>
          <w:sz w:val="22"/>
          <w:szCs w:val="22"/>
        </w:rPr>
        <w:t xml:space="preserve">b) Alerter immédiatement le responsable de service.</w:t>
      </w:r>
    </w:p>
    <w:p>
      <w:pPr>
        <w:spacing w:after="60" w:before="60"/>
      </w:pPr>
      <w:r>
        <w:rPr>
          <w:rFonts w:ascii="Times New Roman" w:cs="Times New Roman" w:eastAsia="Times New Roman" w:hAnsi="Times New Roman"/>
          <w:b w:val="false"/>
          <w:bCs w:val="false"/>
          <w:i w:val="false"/>
          <w:iCs w:val="false"/>
          <w:color w:val="1F2937"/>
          <w:sz w:val="22"/>
          <w:szCs w:val="22"/>
        </w:rPr>
        <w:t xml:space="preserve">c) Contacter sans délai le médecin référent ou le psychiatre — expliquer les signaux observés (comportement à la fenêtre, durée, refus du contact, contexte bipolaire).</w:t>
      </w:r>
    </w:p>
    <w:p>
      <w:pPr>
        <w:spacing w:after="60" w:before="60"/>
      </w:pPr>
      <w:r>
        <w:rPr>
          <w:rFonts w:ascii="Times New Roman" w:cs="Times New Roman" w:eastAsia="Times New Roman" w:hAnsi="Times New Roman"/>
          <w:b w:val="false"/>
          <w:bCs w:val="false"/>
          <w:i w:val="false"/>
          <w:iCs w:val="false"/>
          <w:color w:val="1F2937"/>
          <w:sz w:val="22"/>
          <w:szCs w:val="22"/>
        </w:rPr>
        <w:t xml:space="preserve">d) Si aucun professionnel de santé n'est joignable rapidement : composer le 3114 pour obtenir un conseil professionnel immédiat.</w:t>
      </w:r>
    </w:p>
    <w:p>
      <w:pPr>
        <w:spacing w:after="60" w:before="60"/>
      </w:pPr>
      <w:r>
        <w:rPr>
          <w:rFonts w:ascii="Times New Roman" w:cs="Times New Roman" w:eastAsia="Times New Roman" w:hAnsi="Times New Roman"/>
          <w:b w:val="false"/>
          <w:bCs w:val="false"/>
          <w:i w:val="false"/>
          <w:iCs w:val="false"/>
          <w:color w:val="1F2937"/>
          <w:sz w:val="22"/>
          <w:szCs w:val="22"/>
        </w:rPr>
        <w:t xml:space="preserve">e) Si la situation évolue vers un geste imminent : composer le 15.</w:t>
      </w:r>
    </w:p>
    <w:p>
      <w:pPr>
        <w:spacing w:after="60" w:before="60"/>
      </w:pPr>
      <w:r>
        <w:rPr>
          <w:rFonts w:ascii="Times New Roman" w:cs="Times New Roman" w:eastAsia="Times New Roman" w:hAnsi="Times New Roman"/>
          <w:b w:val="false"/>
          <w:bCs w:val="false"/>
          <w:i w:val="false"/>
          <w:iCs w:val="false"/>
          <w:color w:val="1F2937"/>
          <w:sz w:val="22"/>
          <w:szCs w:val="22"/>
        </w:rPr>
        <w:t xml:space="preserve">f) Documenter factuellement : heure exacte, description du comportement, mots prononcés, durée.</w:t>
      </w:r>
    </w:p>
    <w:p>
      <w:pPr>
        <w:shd w:fill="F3F4F6" w:val="clear"/>
        <w:spacing w:after="80" w:before="80"/>
        <w:ind w:left="480"/>
      </w:pPr>
      <w:r>
        <w:rPr>
          <w:rFonts w:ascii="Times New Roman" w:cs="Times New Roman" w:eastAsia="Times New Roman" w:hAnsi="Times New Roman"/>
          <w:i/>
          <w:iCs/>
          <w:color w:val="1B3A6B"/>
          <w:sz w:val="22"/>
          <w:szCs w:val="22"/>
        </w:rPr>
        <w:t xml:space="preserve">Vérification C2 (sens inverse, grille → théorie) : le challenge classe le trouble bipolaire comme facteur de vulnérabilité de fond (pas un signal d'alerte du moment) — la section théorique 3 le liste parmi les facteurs de risque, et non parmi les signaux d'alerte. Cohérence ✅.
Le corrigé n'attribue pas à l'absence d'antécédents un rôle protecteur — la théorie ne le fait pas non plus ✅.</w:t>
      </w:r>
    </w:p>
    <w:p>
      <w:pPr>
        <w:pStyle w:val="Heading2"/>
        <w:spacing w:after="80" w:before="280"/>
      </w:pPr>
      <w:r>
        <w:rPr>
          <w:rFonts w:ascii="Times New Roman" w:cs="Times New Roman" w:eastAsia="Times New Roman" w:hAnsi="Times New Roman"/>
          <w:b/>
          <w:bCs/>
          <w:color w:val="1B3A6B"/>
          <w:sz w:val="30"/>
          <w:szCs w:val="30"/>
        </w:rPr>
        <w:t xml:space="preserve">🌉 Pont pro — Repères pour le cadre de service en ESSMS</w:t>
      </w:r>
    </w:p>
    <w:p>
      <w:pPr>
        <w:shd w:fill="F3F4F6" w:val="clear"/>
        <w:spacing w:after="80" w:before="80"/>
        <w:ind w:left="480"/>
      </w:pPr>
      <w:r>
        <w:rPr>
          <w:rFonts w:ascii="Times New Roman" w:cs="Times New Roman" w:eastAsia="Times New Roman" w:hAnsi="Times New Roman"/>
          <w:i/>
          <w:iCs/>
          <w:color w:val="1B3A6B"/>
          <w:sz w:val="22"/>
          <w:szCs w:val="22"/>
        </w:rPr>
        <w:t xml:space="preserve">Ce paragraphe reflète des observations professionnelles et des usages de terrain. Il ne constitue pas une recommandation HAS et ne doit pas être présenté comme tel dans un document institutionnel.</w:t>
      </w:r>
    </w:p>
    <w:p>
      <w:pPr>
        <w:spacing w:after="60" w:before="60"/>
      </w:pPr>
      <w:r>
        <w:rPr>
          <w:rFonts w:ascii="Times New Roman" w:cs="Times New Roman" w:eastAsia="Times New Roman" w:hAnsi="Times New Roman"/>
          <w:b w:val="false"/>
          <w:bCs w:val="false"/>
          <w:i w:val="false"/>
          <w:iCs w:val="false"/>
          <w:color w:val="1F2937"/>
          <w:sz w:val="22"/>
          <w:szCs w:val="22"/>
        </w:rPr>
        <w:t xml:space="preserve">En foyer d'hébergement accueillant des personnes en situation de handicap psychique, la crise suicidaire est une réalité que les équipes peuvent rencontrer. L'équipe éducative constitue souvent le lien de confiance le plus stable et le plus quotidien avec la personne. Son rôle est d'observer, de signaler et de sécuriser — pas d'évaluer ni de traiter.</w:t>
      </w:r>
    </w:p>
    <w:p>
      <w:pPr>
        <w:spacing w:after="60" w:before="60"/>
      </w:pPr>
      <w:r>
        <w:rPr>
          <w:rFonts w:ascii="Times New Roman" w:cs="Times New Roman" w:eastAsia="Times New Roman" w:hAnsi="Times New Roman"/>
          <w:b w:val="false"/>
          <w:bCs w:val="false"/>
          <w:i w:val="false"/>
          <w:iCs w:val="false"/>
          <w:color w:val="1F2937"/>
          <w:sz w:val="22"/>
          <w:szCs w:val="22"/>
        </w:rPr>
        <w:t xml:space="preserve">Quelques repères pratiques (usage de terrain) :</w:t>
      </w:r>
    </w:p>
    <w:p>
      <w:pPr>
        <w:spacing w:after="60" w:before="60"/>
      </w:pPr>
      <w:r>
        <w:rPr>
          <w:rFonts w:ascii="Times New Roman" w:cs="Times New Roman" w:eastAsia="Times New Roman" w:hAnsi="Times New Roman"/>
          <w:b w:val="false"/>
          <w:bCs w:val="false"/>
          <w:i w:val="false"/>
          <w:iCs w:val="false"/>
          <w:color w:val="1F2937"/>
          <w:sz w:val="22"/>
          <w:szCs w:val="22"/>
        </w:rPr>
        <w:t xml:space="preserve">• Former les équipes à reconnaître les signaux d'alerte. Des formations à l'évaluation et à l'intervention de crise suicidaire existent dans le cadre du programme national de prévention du suicide (ministère de la Santé).</w:t>
      </w:r>
    </w:p>
    <w:p>
      <w:pPr>
        <w:spacing w:after="60" w:before="60"/>
      </w:pPr>
      <w:r>
        <w:rPr>
          <w:rFonts w:ascii="Times New Roman" w:cs="Times New Roman" w:eastAsia="Times New Roman" w:hAnsi="Times New Roman"/>
          <w:b w:val="false"/>
          <w:bCs w:val="false"/>
          <w:i w:val="false"/>
          <w:iCs w:val="false"/>
          <w:color w:val="1F2937"/>
          <w:sz w:val="22"/>
          <w:szCs w:val="22"/>
        </w:rPr>
        <w:t xml:space="preserve">• Disposer d'une procédure claire et connue de tous : qui appelle qui, dans quel ordre, avec quelles informations à transmettre.</w:t>
      </w:r>
    </w:p>
    <w:p>
      <w:pPr>
        <w:spacing w:after="60" w:before="60"/>
      </w:pPr>
      <w:r>
        <w:rPr>
          <w:rFonts w:ascii="Times New Roman" w:cs="Times New Roman" w:eastAsia="Times New Roman" w:hAnsi="Times New Roman"/>
          <w:b w:val="false"/>
          <w:bCs w:val="false"/>
          <w:i w:val="false"/>
          <w:iCs w:val="false"/>
          <w:color w:val="1F2937"/>
          <w:sz w:val="22"/>
          <w:szCs w:val="22"/>
        </w:rPr>
        <w:t xml:space="preserve">• Le 3114 est accessible aux professionnels comme aux particuliers — son site porte une rubrique « Je suis professionnel » — et l'équipe peut l'appeler pour obtenir un conseil immédiat dans une situation incertaine.</w:t>
      </w:r>
    </w:p>
    <w:p>
      <w:pPr>
        <w:spacing w:after="60" w:before="60"/>
      </w:pPr>
      <w:r>
        <w:rPr>
          <w:rFonts w:ascii="Times New Roman" w:cs="Times New Roman" w:eastAsia="Times New Roman" w:hAnsi="Times New Roman"/>
          <w:b w:val="false"/>
          <w:bCs w:val="false"/>
          <w:i w:val="false"/>
          <w:iCs w:val="false"/>
          <w:color w:val="1F2937"/>
          <w:sz w:val="22"/>
          <w:szCs w:val="22"/>
        </w:rPr>
        <w:t xml:space="preserve">• En matière de prévention environnementale : le ministère de la Santé a diffusé en janvier 2026 un outil d'auto-évaluation permettant aux équipes d'identifier et cartographier les risques liés à l'environnement physique. Cet outil constitue un point d'entrée pour un diagnostic structuré de l'établissement (source : Le Media Social, 28 janvier 2026).</w:t>
      </w:r>
    </w:p>
    <w:p>
      <w:pPr>
        <w:spacing w:after="60" w:before="60"/>
      </w:pPr>
      <w:r>
        <w:rPr>
          <w:rFonts w:ascii="Times New Roman" w:cs="Times New Roman" w:eastAsia="Times New Roman" w:hAnsi="Times New Roman"/>
          <w:b w:val="false"/>
          <w:bCs w:val="false"/>
          <w:i w:val="false"/>
          <w:iCs w:val="false"/>
          <w:color w:val="1F2937"/>
          <w:sz w:val="22"/>
          <w:szCs w:val="22"/>
        </w:rPr>
        <w:t xml:space="preserve">• Le programme pluriannuel « santé mentale et psychiatrie » 2025-2030 de la HAS (validé par le Collège le 20 novembre 2024, mis à jour en mars 2026) fixe le cadre des travaux de la HAS sur ce champ ; il ne porte pas sur la prévention du suicide en tant que telle. La référence directement mobilisable en ESSMS est la RBPP « Prise en compte de la souffrance psychique de la personne âgée : prévention, repérage et accompagnement » (ANESM 2014, mise à jour 2018), dont la partie IV traite de la gestion des situations de crise suicidaire.</w:t>
      </w:r>
    </w:p>
    <w:p>
      <w:pPr>
        <w:pStyle w:val="Heading2"/>
        <w:spacing w:after="80" w:before="280"/>
      </w:pPr>
      <w:r>
        <w:rPr>
          <w:rFonts w:ascii="Times New Roman" w:cs="Times New Roman" w:eastAsia="Times New Roman" w:hAnsi="Times New Roman"/>
          <w:b/>
          <w:bCs/>
          <w:color w:val="1B3A6B"/>
          <w:sz w:val="30"/>
          <w:szCs w:val="30"/>
        </w:rPr>
        <w:t xml:space="preserve">📚 Ressources cliquables — Approfondir ce thème</w:t>
      </w:r>
    </w:p>
    <w:p>
      <w:pPr>
        <w:spacing w:after="40" w:before="40"/>
      </w:pPr>
      <w:r>
        <w:t xml:space="preserve"/>
      </w:r>
    </w:p>
    <w:p>
      <w:pPr>
        <w:spacing w:after="60" w:before="60"/>
      </w:pPr>
      <w:r>
        <w:rPr>
          <w:rFonts w:ascii="Times New Roman" w:cs="Times New Roman" w:eastAsia="Times New Roman" w:hAnsi="Times New Roman"/>
          <w:color w:val="1F2937"/>
          <w:sz w:val="22"/>
          <w:szCs w:val="22"/>
        </w:rPr>
        <w:t xml:space="preserve">1. Psycom — </w:t>
      </w:r>
      <w:hyperlink w:history="1" r:id="rIdd4hbblcusgggtj1tq6zyl">
        <w:r>
          <w:rPr>
            <w:rFonts w:ascii="Times New Roman" w:cs="Times New Roman" w:eastAsia="Times New Roman" w:hAnsi="Times New Roman"/>
            <w:color w:val="1155CC"/>
            <w:sz w:val="22"/>
            <w:szCs w:val="22"/>
            <w:u w:val="single"/>
          </w:rPr>
          <w:t xml:space="preserve">Quand on a des pensées suicidaires</w:t>
        </w:r>
      </w:hyperlink>
      <w:r>
        <w:rPr>
          <w:rFonts w:ascii="Times New Roman" w:cs="Times New Roman" w:eastAsia="Times New Roman" w:hAnsi="Times New Roman"/>
          <w:color w:val="1F2937"/>
          <w:sz w:val="22"/>
          <w:szCs w:val="22"/>
        </w:rPr>
        <w:t xml:space="preserve"> — Information accessible, facteurs de risque, facteurs protecteurs, ressources (3114).</w:t>
      </w:r>
    </w:p>
    <w:p>
      <w:pPr>
        <w:spacing w:after="60" w:before="60"/>
      </w:pPr>
      <w:r>
        <w:rPr>
          <w:rFonts w:ascii="Times New Roman" w:cs="Times New Roman" w:eastAsia="Times New Roman" w:hAnsi="Times New Roman"/>
          <w:color w:val="1F2937"/>
          <w:sz w:val="22"/>
          <w:szCs w:val="22"/>
        </w:rPr>
        <w:t xml:space="preserve">2. Infosuicide.org — </w:t>
      </w:r>
      <w:hyperlink w:history="1" r:id="rIdtln97fngbmm3gxtlu_y2g">
        <w:r>
          <w:rPr>
            <w:rFonts w:ascii="Times New Roman" w:cs="Times New Roman" w:eastAsia="Times New Roman" w:hAnsi="Times New Roman"/>
            <w:color w:val="1155CC"/>
            <w:sz w:val="22"/>
            <w:szCs w:val="22"/>
            <w:u w:val="single"/>
          </w:rPr>
          <w:t xml:space="preserve">L'évaluation du potentiel suicidaire</w:t>
        </w:r>
      </w:hyperlink>
      <w:r>
        <w:rPr>
          <w:rFonts w:ascii="Times New Roman" w:cs="Times New Roman" w:eastAsia="Times New Roman" w:hAnsi="Times New Roman"/>
          <w:color w:val="1F2937"/>
          <w:sz w:val="22"/>
          <w:szCs w:val="22"/>
        </w:rPr>
        <w:t xml:space="preserve"> — Conférence de consensus ANAES 2000 : les six éléments à explorer, niveaux d'urgence.</w:t>
      </w:r>
    </w:p>
    <w:p>
      <w:pPr>
        <w:spacing w:after="60" w:before="60"/>
      </w:pPr>
      <w:r>
        <w:rPr>
          <w:rFonts w:ascii="Times New Roman" w:cs="Times New Roman" w:eastAsia="Times New Roman" w:hAnsi="Times New Roman"/>
          <w:color w:val="1F2937"/>
          <w:sz w:val="22"/>
          <w:szCs w:val="22"/>
        </w:rPr>
        <w:t xml:space="preserve">3. Infosuicide.org — </w:t>
      </w:r>
      <w:hyperlink w:history="1" r:id="rIdr96wqgju4sq_9ptv78qqh">
        <w:r>
          <w:rPr>
            <w:rFonts w:ascii="Times New Roman" w:cs="Times New Roman" w:eastAsia="Times New Roman" w:hAnsi="Times New Roman"/>
            <w:color w:val="1155CC"/>
            <w:sz w:val="22"/>
            <w:szCs w:val="22"/>
            <w:u w:val="single"/>
          </w:rPr>
          <w:t xml:space="preserve">Grille RUD (Risque-Urgence-Dangerosité)</w:t>
        </w:r>
      </w:hyperlink>
      <w:r>
        <w:rPr>
          <w:rFonts w:ascii="Times New Roman" w:cs="Times New Roman" w:eastAsia="Times New Roman" w:hAnsi="Times New Roman"/>
          <w:color w:val="1F2937"/>
          <w:sz w:val="22"/>
          <w:szCs w:val="22"/>
        </w:rPr>
        <w:t xml:space="preserve"> — Grille de J.L Terra, M.F Berthier, F. Chauvet et W. Boutaleb (source citée : crisesuicidaire.ccdmd.qc.ca), outil central de l'évaluation clinique en France.</w:t>
      </w:r>
    </w:p>
    <w:p>
      <w:pPr>
        <w:spacing w:after="60" w:before="60"/>
      </w:pPr>
      <w:r>
        <w:rPr>
          <w:rFonts w:ascii="Times New Roman" w:cs="Times New Roman" w:eastAsia="Times New Roman" w:hAnsi="Times New Roman"/>
          <w:color w:val="1F2937"/>
          <w:sz w:val="22"/>
          <w:szCs w:val="22"/>
        </w:rPr>
        <w:t xml:space="preserve">4. Merck Manual Édition Professionnelle (FR) — </w:t>
      </w:r>
      <w:hyperlink w:history="1" r:id="rIdpkpsn0nnz16nf9rtsmeo7">
        <w:r>
          <w:rPr>
            <w:rFonts w:ascii="Times New Roman" w:cs="Times New Roman" w:eastAsia="Times New Roman" w:hAnsi="Times New Roman"/>
            <w:color w:val="1155CC"/>
            <w:sz w:val="22"/>
            <w:szCs w:val="22"/>
            <w:u w:val="single"/>
          </w:rPr>
          <w:t xml:space="preserve">Comportement suicidaire</w:t>
        </w:r>
      </w:hyperlink>
      <w:r>
        <w:rPr>
          <w:rFonts w:ascii="Times New Roman" w:cs="Times New Roman" w:eastAsia="Times New Roman" w:hAnsi="Times New Roman"/>
          <w:color w:val="1F2937"/>
          <w:sz w:val="22"/>
          <w:szCs w:val="22"/>
        </w:rPr>
        <w:t xml:space="preserve"> — Épidémiologie, facteurs de risque, évaluation, traitements. Mise à jour janvier 2026.</w:t>
      </w:r>
    </w:p>
    <w:p>
      <w:pPr>
        <w:spacing w:after="60" w:before="60"/>
      </w:pPr>
      <w:r>
        <w:rPr>
          <w:rFonts w:ascii="Times New Roman" w:cs="Times New Roman" w:eastAsia="Times New Roman" w:hAnsi="Times New Roman"/>
          <w:color w:val="1F2937"/>
          <w:sz w:val="22"/>
          <w:szCs w:val="22"/>
        </w:rPr>
        <w:t xml:space="preserve">5. HAS (validée le 9 septembre 2021, mise en ligne le 30 septembre 2021, PDF) — </w:t>
      </w:r>
      <w:hyperlink w:history="1" r:id="rIdaoxnbmgpzzebf5iciln_v">
        <w:r>
          <w:rPr>
            <w:rFonts w:ascii="Times New Roman" w:cs="Times New Roman" w:eastAsia="Times New Roman" w:hAnsi="Times New Roman"/>
            <w:color w:val="1155CC"/>
            <w:sz w:val="22"/>
            <w:szCs w:val="22"/>
            <w:u w:val="single"/>
          </w:rPr>
          <w:t xml:space="preserve">Idées et conduites suicidaires chez l'enfant et l'adolescent (synthèse)</w:t>
        </w:r>
      </w:hyperlink>
      <w:r>
        <w:rPr>
          <w:rFonts w:ascii="Times New Roman" w:cs="Times New Roman" w:eastAsia="Times New Roman" w:hAnsi="Times New Roman"/>
          <w:color w:val="1F2937"/>
          <w:sz w:val="22"/>
          <w:szCs w:val="22"/>
        </w:rPr>
        <w:t xml:space="preserve"> — Recommandation HAS la plus récente ; ciblée sur les enfants et adolescents.</w:t>
      </w:r>
    </w:p>
    <w:p>
      <w:pPr>
        <w:spacing w:after="60" w:before="60"/>
      </w:pPr>
      <w:r>
        <w:rPr>
          <w:rFonts w:ascii="Times New Roman" w:cs="Times New Roman" w:eastAsia="Times New Roman" w:hAnsi="Times New Roman"/>
          <w:color w:val="1F2937"/>
          <w:sz w:val="22"/>
          <w:szCs w:val="22"/>
        </w:rPr>
        <w:t xml:space="preserve">6. Le Media Social (28 janvier 2026) — </w:t>
      </w:r>
      <w:hyperlink w:history="1" r:id="rId1y38hn78vvy0ts5mt8gan">
        <w:r>
          <w:rPr>
            <w:rFonts w:ascii="Times New Roman" w:cs="Times New Roman" w:eastAsia="Times New Roman" w:hAnsi="Times New Roman"/>
            <w:color w:val="1155CC"/>
            <w:sz w:val="22"/>
            <w:szCs w:val="22"/>
            <w:u w:val="single"/>
          </w:rPr>
          <w:t xml:space="preserve">Prévention du suicide en ESMS : un outil pour évaluer les risques dans sa structure</w:t>
        </w:r>
      </w:hyperlink>
      <w:r>
        <w:rPr>
          <w:rFonts w:ascii="Times New Roman" w:cs="Times New Roman" w:eastAsia="Times New Roman" w:hAnsi="Times New Roman"/>
          <w:color w:val="1F2937"/>
          <w:sz w:val="22"/>
          <w:szCs w:val="22"/>
        </w:rPr>
        <w:t xml:space="preserve"> — Outil ministériel d'auto-évaluation environnementale pour ESSMS.</w:t>
      </w:r>
    </w:p>
    <w:p>
      <w:pPr>
        <w:spacing w:after="60" w:before="60"/>
      </w:pPr>
      <w:r>
        <w:rPr>
          <w:rFonts w:ascii="Times New Roman" w:cs="Times New Roman" w:eastAsia="Times New Roman" w:hAnsi="Times New Roman"/>
          <w:color w:val="1F2937"/>
          <w:sz w:val="22"/>
          <w:szCs w:val="22"/>
        </w:rPr>
        <w:t xml:space="preserve">7. HAS / ANESM (2014, mise à jour 2018) — </w:t>
      </w:r>
      <w:hyperlink w:history="1" r:id="rIdanesmpa2014crisesuic">
        <w:r>
          <w:rPr>
            <w:rFonts w:ascii="Times New Roman" w:cs="Times New Roman" w:eastAsia="Times New Roman" w:hAnsi="Times New Roman"/>
            <w:color w:val="1155CC"/>
            <w:sz w:val="22"/>
            <w:szCs w:val="22"/>
            <w:u w:val="single"/>
          </w:rPr>
          <w:t xml:space="preserve">Prise en compte de la souffrance psychique de la personne âgée : prévention, repérage et accompagnement</w:t>
        </w:r>
      </w:hyperlink>
      <w:r>
        <w:rPr>
          <w:rFonts w:ascii="Times New Roman" w:cs="Times New Roman" w:eastAsia="Times New Roman" w:hAnsi="Times New Roman"/>
          <w:color w:val="1F2937"/>
          <w:sz w:val="22"/>
          <w:szCs w:val="22"/>
        </w:rPr>
        <w:t xml:space="preserve"> — RBPP destinée aux professionnels d'ESSMS ; partie IV : « La gestion des situations de crise suicidaire ».</w:t>
      </w:r>
    </w:p>
    <w:p>
      <w:pPr>
        <w:spacing w:after="60" w:before="60"/>
      </w:pPr>
      <w:r>
        <w:rPr>
          <w:rFonts w:ascii="Times New Roman" w:cs="Times New Roman" w:eastAsia="Times New Roman" w:hAnsi="Times New Roman"/>
          <w:color w:val="1F2937"/>
          <w:sz w:val="22"/>
          <w:szCs w:val="22"/>
        </w:rPr>
        <w:t xml:space="preserve">   </w:t>
      </w:r>
      <w:hyperlink w:history="1" r:id="rIdPdfSouffSynth">
        <w:r>
          <w:rPr>
            <w:rFonts w:ascii="Times New Roman" w:cs="Times New Roman" w:eastAsia="Times New Roman" w:hAnsi="Times New Roman"/>
            <w:color w:val="1155CC"/>
            <w:sz w:val="22"/>
            <w:szCs w:val="22"/>
            <w:u w:val="single"/>
          </w:rPr>
          <w:t xml:space="preserve">Le document — synthèse de la RBPP (PDF, 5 pages, Anesm, Mai 2014)</w:t>
        </w:r>
      </w:hyperlink>
      <w:r>
        <w:rPr>
          <w:rFonts w:ascii="Times New Roman" w:cs="Times New Roman" w:eastAsia="Times New Roman" w:hAnsi="Times New Roman"/>
          <w:i/>
          <w:iCs/>
          <w:color w:val="6B7280"/>
          <w:sz w:val="20"/>
          <w:szCs w:val="20"/>
        </w:rPr>
        <w:t xml:space="preserve"> [Corrigé le 21/09/2026 : la ligne 7 est la notice HAS ; la synthèse, lue ce jour, annonce « 5 parties » dont « 4. La gestion des situations de crise suicidaire » — la partie IV de la leçon.]</w:t>
      </w:r>
    </w:p>
    <w:p>
      <w:pPr>
        <w:spacing w:after="60" w:before="60"/>
      </w:pPr>
      <w:r>
        <w:rPr>
          <w:rFonts w:ascii="Times New Roman" w:cs="Times New Roman" w:eastAsia="Times New Roman" w:hAnsi="Times New Roman"/>
          <w:color w:val="1F2937"/>
          <w:sz w:val="22"/>
          <w:szCs w:val="22"/>
        </w:rPr>
        <w:t xml:space="preserve">   </w:t>
      </w:r>
      <w:hyperlink w:history="1" r:id="rIdPdfSouffChap4">
        <w:r>
          <w:rPr>
            <w:rFonts w:ascii="Times New Roman" w:cs="Times New Roman" w:eastAsia="Times New Roman" w:hAnsi="Times New Roman"/>
            <w:color w:val="1155CC"/>
            <w:sz w:val="22"/>
            <w:szCs w:val="22"/>
            <w:u w:val="single"/>
          </w:rPr>
          <w:t xml:space="preserve">Le chapitre 4 de la RBPP — « La gestion des situations de crise suicidaire » (PDF, 11 pages)</w:t>
        </w:r>
      </w:hyperlink>
      <w:r>
        <w:rPr>
          <w:rFonts w:ascii="Times New Roman" w:cs="Times New Roman" w:eastAsia="Times New Roman" w:hAnsi="Times New Roman"/>
          <w:i/>
          <w:iCs/>
          <w:color w:val="6B7280"/>
          <w:sz w:val="20"/>
          <w:szCs w:val="20"/>
        </w:rPr>
        <w:t xml:space="preserve"> [Corrigé le 21/09/2026 : le chapitre nommé par la leçon, lu ce jour ; il définit la crise suicidaire comme une crise psychique déclenchée par un facteur précipitant, avec des idées suicidaires de plus en plus envahissantes face à un sentiment d'impasse.]</w:t>
      </w:r>
    </w:p>
    <w:p>
      <w:pPr>
        <w:spacing w:after="60" w:before="60"/>
      </w:pPr>
      <w:r>
        <w:rPr>
          <w:rFonts w:ascii="Times New Roman" w:cs="Times New Roman" w:eastAsia="Times New Roman" w:hAnsi="Times New Roman"/>
          <w:color w:val="1F2937"/>
          <w:sz w:val="22"/>
          <w:szCs w:val="22"/>
        </w:rPr>
        <w:t xml:space="preserve">8. 3114 — </w:t>
      </w:r>
      <w:hyperlink w:history="1" r:id="rId3114ndprevsuicidefr">
        <w:r>
          <w:rPr>
            <w:rFonts w:ascii="Times New Roman" w:cs="Times New Roman" w:eastAsia="Times New Roman" w:hAnsi="Times New Roman"/>
            <w:color w:val="1155CC"/>
            <w:sz w:val="22"/>
            <w:szCs w:val="22"/>
            <w:u w:val="single"/>
          </w:rPr>
          <w:t xml:space="preserve">Numéro national de prévention du suicide</w:t>
        </w:r>
      </w:hyperlink>
      <w:r>
        <w:rPr>
          <w:rFonts w:ascii="Times New Roman" w:cs="Times New Roman" w:eastAsia="Times New Roman" w:hAnsi="Times New Roman"/>
          <w:color w:val="1F2937"/>
          <w:sz w:val="22"/>
          <w:szCs w:val="22"/>
        </w:rPr>
        <w:t xml:space="preserve"> — 24h/24, 7j/7, gratuit ; rubrique « Je suis professionnel ».</w:t>
      </w:r>
    </w:p>
    <w:p>
      <w:pPr>
        <w:spacing w:after="40" w:before="40"/>
      </w:pPr>
      <w:r>
        <w:t xml:space="preserve"/>
      </w:r>
    </w:p>
    <w:p>
      <w:pPr>
        <w:pStyle w:val="Heading2"/>
        <w:spacing w:after="80" w:before="280"/>
      </w:pPr>
      <w:r>
        <w:rPr>
          <w:rFonts w:ascii="Times New Roman" w:cs="Times New Roman" w:eastAsia="Times New Roman" w:hAnsi="Times New Roman"/>
          <w:b/>
          <w:bCs/>
          <w:color w:val="1B3A6B"/>
          <w:sz w:val="30"/>
          <w:szCs w:val="30"/>
        </w:rPr>
        <w:t xml:space="preserve">🔜 Prochaine leçon</w:t>
      </w:r>
    </w:p>
    <w:p>
      <w:pPr>
        <w:spacing w:after="60" w:before="60"/>
      </w:pPr>
      <w:r>
        <w:rPr>
          <w:rFonts w:ascii="Times New Roman" w:cs="Times New Roman" w:eastAsia="Times New Roman" w:hAnsi="Times New Roman"/>
          <w:b w:val="false"/>
          <w:bCs w:val="false"/>
          <w:i w:val="false"/>
          <w:iCs w:val="false"/>
          <w:color w:val="1F2937"/>
          <w:sz w:val="22"/>
          <w:szCs w:val="22"/>
        </w:rPr>
        <w:t xml:space="preserve">Leçon 16 / 20 — Handicap psychique et déficience intellectuelle : comorbidités, diagnostic différentiel, surhandicap</w:t>
      </w:r>
    </w:p>
    <w:p>
      <w:pPr>
        <w:spacing w:after="60" w:before="60"/>
      </w:pPr>
      <w:r>
        <w:rPr>
          <w:rFonts w:ascii="Times New Roman" w:cs="Times New Roman" w:eastAsia="Times New Roman" w:hAnsi="Times New Roman"/>
          <w:b w:val="false"/>
          <w:bCs w:val="false"/>
          <w:i w:val="false"/>
          <w:iCs w:val="false"/>
          <w:color w:val="1F2937"/>
          <w:sz w:val="22"/>
          <w:szCs w:val="22"/>
        </w:rPr>
        <w:t xml:space="preserve">Nous aborderons la coexistence entre troubles psychiatriques et déficience intellectuelle, les enjeux de diagnostic différentiel (symptômes qui se ressemblent mais n'ont pas la même origine), le concept de surhandicap, et les repères pour l'équipe éducative en ESSMS.</w:t>
      </w:r>
    </w:p>
    <w:p>
      <w:pPr>
        <w:spacing w:after="40" w:before="40"/>
      </w:pPr>
      <w:r>
        <w:t xml:space="preserve"/>
      </w:r>
    </w:p>
    <w:p>
      <w:pPr>
        <w:spacing w:after="40" w:before="40"/>
      </w:pPr>
      <w:r>
        <w:t xml:space="preserve"/>
      </w:r>
    </w:p>
    <w:p>
      <w:pPr>
        <w:spacing w:after="60" w:before="120"/>
      </w:pPr>
      <w:r>
        <w:rPr>
          <w:rFonts w:ascii="Times New Roman" w:cs="Times New Roman" w:eastAsia="Times New Roman" w:hAnsi="Times New Roman"/>
          <w:b/>
          <w:bCs/>
          <w:i w:val="false"/>
          <w:iCs w:val="false"/>
          <w:color w:val="1F2937"/>
          <w:sz w:val="26"/>
          <w:szCs w:val="26"/>
        </w:rPr>
        <w:t xml:space="preserve">📝 Journal des corrections — 7 septembre 2026</w:t>
      </w:r>
    </w:p>
    <w:p>
      <w:pPr>
        <w:spacing w:after="60" w:before="60"/>
      </w:pPr>
      <w:r>
        <w:rPr>
          <w:rFonts w:ascii="Times New Roman" w:cs="Times New Roman" w:eastAsia="Times New Roman" w:hAnsi="Times New Roman"/>
          <w:b w:val="false"/>
          <w:bCs w:val="false"/>
          <w:i w:val="false"/>
          <w:iCs w:val="false"/>
          <w:color w:val="1F2937"/>
          <w:sz w:val="22"/>
          <w:szCs w:val="22"/>
        </w:rPr>
        <w:t xml:space="preserve">Leçon produite le 07/09/2026 à 8h14 par le job automatique, relue le jour même au protocole complet (6/6 URL testées, chiffres refaits, sources rouvertes). Second passage du parcours sous les huit règles du 06/09. QUATRE corrections principales, plus cinq points de précision. Les huit règles ont tenu là où elles nomment un geste : dénominateur déclaré sur chaque chiffre, régime des énoncés marqué, contrôles C1/C2 écrits dans les corrigés, rendez-vous et total justes, aucune citation fabriquée, aucune source morte. Tout ce qui suit relève de l'attribution — la distance entre ce qu'une source dit et ce qu'on lui fait dire.</w:t>
      </w:r>
    </w:p>
    <w:p>
      <w:pPr>
        <w:spacing w:after="60" w:before="120"/>
      </w:pPr>
      <w:r>
        <w:rPr>
          <w:rFonts w:ascii="Times New Roman" w:cs="Times New Roman" w:eastAsia="Times New Roman" w:hAnsi="Times New Roman"/>
          <w:b/>
          <w:bCs/>
          <w:i w:val="false"/>
          <w:iCs w:val="false"/>
          <w:color w:val="1F2937"/>
          <w:sz w:val="22"/>
          <w:szCs w:val="22"/>
        </w:rPr>
        <w:t xml:space="preserve">① Pont pro — un document HAS nommé, daté et caractérisé sans avoir été ouvert.</w:t>
      </w:r>
    </w:p>
    <w:p>
      <w:pPr>
        <w:spacing w:after="60" w:before="60"/>
      </w:pPr>
      <w:r>
        <w:rPr>
          <w:rFonts w:ascii="Times New Roman" w:cs="Times New Roman" w:eastAsia="Times New Roman" w:hAnsi="Times New Roman"/>
          <w:b w:val="false"/>
          <w:bCs w:val="false"/>
          <w:i w:val="false"/>
          <w:iCs w:val="false"/>
          <w:color w:val="1F2937"/>
          <w:sz w:val="22"/>
          <w:szCs w:val="22"/>
        </w:rPr>
        <w:t xml:space="preserve">La leçon écrivait : « La feuille de route nationale santé mentale et psychiatrie 2025-2030, publiée par la HAS en mars 2026, intègre la formation des équipes comme levier prioritaire de prévention. » Le document existe, mais ce n'est ni son nom, ni sa nature, ni sa date, ni son contenu : c'est le « Programme pluriannuel santé mentale et psychiatrie 2025-2030 », validé par le Collège le 20 novembre 2024 et mis à jour en mars 2026 — la feuille de route est le document annuel qui en découle, et celle de 2025 date de janvier 2025. Sur les 74 pages du programme, la formation n'apparaît qu'à propos de la désescalade de la violence et de la VIAS, jamais comme levier de prévention du suicide ; dans la feuille de route 2025, « suicid » compte ZÉRO occurrence. Surtout : ce document ne figurait dans aucune des six URL de la leçon. Il était nommé sans avoir été consulté — dans le paragraphe même qui s'ouvre sur « ce paragraphe ne constitue pas une recommandation HAS et ne doit pas être présenté comme tel ».</w:t>
      </w:r>
    </w:p>
    <w:p>
      <w:pPr>
        <w:spacing w:after="60" w:before="120"/>
      </w:pPr>
      <w:r>
        <w:rPr>
          <w:rFonts w:ascii="Times New Roman" w:cs="Times New Roman" w:eastAsia="Times New Roman" w:hAnsi="Times New Roman"/>
          <w:b/>
          <w:bCs/>
          <w:i w:val="false"/>
          <w:iCs w:val="false"/>
          <w:color w:val="1F2937"/>
          <w:sz w:val="22"/>
          <w:szCs w:val="22"/>
        </w:rPr>
        <w:t xml:space="preserve">② Théorie §4 — une affirmation négative posée sans recherche, qui fermait la porte la plus utile.</w:t>
      </w:r>
    </w:p>
    <w:p>
      <w:pPr>
        <w:spacing w:after="60" w:before="60"/>
      </w:pPr>
      <w:r>
        <w:rPr>
          <w:rFonts w:ascii="Times New Roman" w:cs="Times New Roman" w:eastAsia="Times New Roman" w:hAnsi="Times New Roman"/>
          <w:b w:val="false"/>
          <w:bCs w:val="false"/>
          <w:i w:val="false"/>
          <w:iCs w:val="false"/>
          <w:color w:val="1F2937"/>
          <w:sz w:val="22"/>
          <w:szCs w:val="22"/>
        </w:rPr>
        <w:t xml:space="preserve">La leçon écrivait : « Il n'existe pas, à la date de cette leçon, de recommandation HAS spécifique aux adultes plus récente que cette conférence de consensus pour ce sujet. » C'est faux. La page « Prévention du suicide » de la HAS recense la RBPP « Prise en compte de la souffrance psychique de la personne âgée : prévention, repérage et accompagnement » (ANESM, validée le 3 mars 2014, mise en ligne le 2 mai 2014, mise à jour le 19 mars 2018), dont la partie IV s'intitule « La gestion des situations de crise suicidaire » — une recommandation portant sur des adultes, postérieure de quatorze ans à la conférence de consensus, et adressée aux professionnels d'ESSMS. C'était exactement la source que le pont pro cherchait. Elle est ajoutée au texte et aux ressources.</w:t>
      </w:r>
    </w:p>
    <w:p>
      <w:pPr>
        <w:spacing w:after="60" w:before="120"/>
      </w:pPr>
      <w:r>
        <w:rPr>
          <w:rFonts w:ascii="Times New Roman" w:cs="Times New Roman" w:eastAsia="Times New Roman" w:hAnsi="Times New Roman"/>
          <w:b/>
          <w:bCs/>
          <w:i w:val="false"/>
          <w:iCs w:val="false"/>
          <w:color w:val="1F2937"/>
          <w:sz w:val="22"/>
          <w:szCs w:val="22"/>
        </w:rPr>
        <w:t xml:space="preserve">③ Théorie §4 — la grille RUD attribuée à la conférence de consensus, dont elle n'est pas issue.</w:t>
      </w:r>
    </w:p>
    <w:p>
      <w:pPr>
        <w:spacing w:after="60" w:before="60"/>
      </w:pPr>
      <w:r>
        <w:rPr>
          <w:rFonts w:ascii="Times New Roman" w:cs="Times New Roman" w:eastAsia="Times New Roman" w:hAnsi="Times New Roman"/>
          <w:b w:val="false"/>
          <w:bCs w:val="false"/>
          <w:i w:val="false"/>
          <w:iCs w:val="false"/>
          <w:color w:val="1F2937"/>
          <w:sz w:val="22"/>
          <w:szCs w:val="22"/>
        </w:rPr>
        <w:t xml:space="preserve">La leçon écrivait « Développée dans le cadre de la Conférence de consensus sur la crise suicidaire (ANAES, 2000) » et « grille RUD (J.L. Terra et al., ANAES 2000) ». La page infosuicide.org citée en ressource n°3 l'attribue à J.L Terra, M.F Berthier, F. Chauvet et W. Boutaleb, avec pour source crisesuicidaire.ccdmd.qc.ca — un outil québécois formalisé en 2001, un an après la conférence et hors de son cadre. Le sigle « ANAES » n'apparaît sur aucune des deux pages infosuicide citées. Deux sources distinctes avaient été soudées en une seule filiation : la conférence de consensus 2000 fournit les six éléments et les trois niveaux d'urgence, le RUD vient d'ailleurs. Le texte distingue désormais les deux.</w:t>
      </w:r>
    </w:p>
    <w:p>
      <w:pPr>
        <w:spacing w:after="60" w:before="120"/>
      </w:pPr>
      <w:r>
        <w:rPr>
          <w:rFonts w:ascii="Times New Roman" w:cs="Times New Roman" w:eastAsia="Times New Roman" w:hAnsi="Times New Roman"/>
          <w:b/>
          <w:bCs/>
          <w:i w:val="false"/>
          <w:iCs w:val="false"/>
          <w:color w:val="1F2937"/>
          <w:sz w:val="22"/>
          <w:szCs w:val="22"/>
        </w:rPr>
        <w:t xml:space="preserve">④ Théorie §2 — le tableau des ratios de mortalité standardisés était amputé de deux lignes, et couronné d'un « les plus élevés » que ces deux lignes démentaient.</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cinq ratios donnés (45,1 / 31,0 / 19,7 / 17,1 / 12,9) sont exacts au dixième. Mais le tableau du Merck Manual compte DIX lignes, et deux d'entre elles s'intercalaient au-dessus de la dernière retenue : trouble de l'usage de l'alcool 16,4 chez les femmes (8,8 chez les hommes) et usage d'opioïdes 13,5, tous deux supérieurs à la schizophrénie 12,9 conservée. Les deux lignes omises portaient sur les substances, dans une leçon qui liste « abus de substances psychoactives » parmi ses facteurs de risque. Une table exacte sur ce qu'elle montre, fausse par ce qu'elle omet. Les deux lignes sont réintégrées, les trois dernières lignes du tableau sont nommées avec leur nature (deux sont des odds ratios, non comparables aux RMS), et la source primaire que le Merck Manual indique — Chesney E, Goodwin GM, Fazel S — est désormais citée.</w:t>
      </w:r>
    </w:p>
    <w:p>
      <w:pPr>
        <w:spacing w:after="60" w:before="120"/>
      </w:pPr>
      <w:r>
        <w:rPr>
          <w:rFonts w:ascii="Times New Roman" w:cs="Times New Roman" w:eastAsia="Times New Roman" w:hAnsi="Times New Roman"/>
          <w:b/>
          <w:bCs/>
          <w:i w:val="false"/>
          <w:iCs w:val="false"/>
          <w:color w:val="1F2937"/>
          <w:sz w:val="22"/>
          <w:szCs w:val="22"/>
        </w:rPr>
        <w:t xml:space="preserve">⑤ Cinq points de précision, corrigés au passage.</w:t>
      </w:r>
    </w:p>
    <w:p>
      <w:pPr>
        <w:spacing w:after="60" w:before="60"/>
      </w:pPr>
      <w:r>
        <w:rPr>
          <w:rFonts w:ascii="Times New Roman" w:cs="Times New Roman" w:eastAsia="Times New Roman" w:hAnsi="Times New Roman"/>
          <w:b w:val="false"/>
          <w:bCs w:val="false"/>
          <w:i w:val="false"/>
          <w:iCs w:val="false"/>
          <w:color w:val="1F2937"/>
          <w:sz w:val="22"/>
          <w:szCs w:val="22"/>
        </w:rPr>
        <w:t xml:space="preserve">(a) Les facteurs de risque ET les facteurs protecteurs étaient attribués à Psycom : sur la page consultée, « facteurs de risque » compte 0 occurrence, « protec- » 0 et « moyens létaux » 0 — c'est un texte d'information à la première personne, pas une référence clinique. L'attribution est corrigée pour ne porter que sur ce que la page contient réellement, et les facteurs protecteurs sont désormais énoncés comme des repères de terrain, aucune des six sources n'en donnant de liste. (b) « C'est le facteur le plus prédictif d'un futur passage à l'acte » (répété dans le corrigé de l'exercice 2) est un superlatif absent des deux sources : le Merck Manual place bien les antécédents en tête de son tableau mais ne classe pas les facteurs entre eux. (c) Le chiffre « un EIGS sur cinq » était requalifié « en établissement » alors que la source réserve ce cadre aux 40 % qui suivent. (d) « Peut avoir dit au revoir » (niveau d'urgence élevé) ne figure pas dans la conférence de consensus ; la ligne reprend désormais ses termes. (e) « Le 3114 accessible aux professionnels » était juste mais absent de la page citée : la mention est désormais sourcée sur 3114.fr, ajouté en ressource n°8. Enfin, la colonne « conduite à tenir » du tableau des trois niveaux porte maintenant son régime — c'est un usage de terrain, il ne vient d'aucune source de la leçon.</w:t>
      </w:r>
    </w:p>
    <w:p>
      <w:pPr>
        <w:spacing w:after="60" w:before="120"/>
      </w:pPr>
      <w:r>
        <w:rPr>
          <w:rFonts w:ascii="Times New Roman" w:cs="Times New Roman" w:eastAsia="Times New Roman" w:hAnsi="Times New Roman"/>
          <w:b/>
          <w:bCs/>
          <w:i w:val="false"/>
          <w:iCs w:val="false"/>
          <w:color w:val="1F2937"/>
          <w:sz w:val="22"/>
          <w:szCs w:val="22"/>
        </w:rPr>
        <w:t xml:space="preserve">Ce que cette relecture apprend au parcours.</w:t>
      </w:r>
    </w:p>
    <w:p>
      <w:pPr>
        <w:spacing w:after="60" w:before="60"/>
      </w:pPr>
      <w:r>
        <w:rPr>
          <w:rFonts w:ascii="Times New Roman" w:cs="Times New Roman" w:eastAsia="Times New Roman" w:hAnsi="Times New Roman"/>
          <w:b w:val="false"/>
          <w:bCs w:val="false"/>
          <w:i w:val="false"/>
          <w:iCs w:val="false"/>
          <w:color w:val="1F2937"/>
          <w:sz w:val="22"/>
          <w:szCs w:val="22"/>
        </w:rPr>
        <w:t xml:space="preserve">Aucune citation n'a été fabriquée, aucun chiffre n'a été inventé, aucune source n'était morte, aucun dénominateur ne manquait : les huit règles écrites le 06/09 ont tenu partout où elles nomment un geste précis. Les quatre défauts sont tous des défauts d'ATTRIBUTION — un document caractérisé sans être ouvert, une absence affirmée sans être cherchée, deux sources soudées en une, un tableau réduit puis présenté comme complet. Un garde-fou ne protège que le geste qu'il nomme : le pont pro portait son avertissement, qui protégeait la prose du paragraphe et pas la citation à l'intérieur.</w:t>
      </w:r>
    </w:p>
    <w:p>
      <w:pPr>
        <w:spacing w:after="40" w:before="200"/>
        <w:jc w:val="center"/>
      </w:pPr>
      <w:r>
        <w:rPr>
          <w:rFonts w:ascii="Times New Roman" w:cs="Times New Roman" w:eastAsia="Times New Roman" w:hAnsi="Times New Roman"/>
          <w:i/>
          <w:iCs/>
          <w:color w:val="888888"/>
          <w:sz w:val="18"/>
          <w:szCs w:val="18"/>
        </w:rPr>
        <w:t xml:space="preserve">Parcours Psychopathologie clinique — Leçon 15 / 20 — Usage personnel — Non destiné à un usage médical ou de diagnostic</w:t>
      </w:r>
    </w:p>
    <w:p>
      <w:pPr>
        <w:pStyle w:val="Heading2"/>
        <w:spacing w:after="100" w:before="280"/>
      </w:pPr>
      <w:r>
        <w:rPr>
          <w:rFonts w:ascii="Times New Roman" w:cs="Times New Roman" w:eastAsia="Times New Roman" w:hAnsi="Times New Roman"/>
          <w:b/>
          <w:bCs/>
          <w:color w:val="1B3A6B"/>
          <w:sz w:val="28"/>
          <w:szCs w:val="28"/>
        </w:rPr>
        <w:t xml:space="preserve">📝 Journal des corrections — 21 septembre 2026</w:t>
      </w:r>
    </w:p>
    <w:p>
      <w:pPr>
        <w:spacing w:after="60" w:before="60"/>
      </w:pPr>
      <w:r>
        <w:rPr>
          <w:rFonts w:ascii="Times New Roman" w:cs="Times New Roman" w:eastAsia="Times New Roman" w:hAnsi="Times New Roman"/>
          <w:i/>
          <w:iCs/>
          <w:color w:val="6B7280"/>
          <w:sz w:val="20"/>
          <w:szCs w:val="20"/>
        </w:rPr>
        <w:t xml:space="preserve">Relecture du 21/09/2026 : la synthèse de la RBPP (5 pages, Mai 2014) et son chapitre 4 (11 pages) sont lus et liés à côté de la notice HAS. La partie IV « La gestion des situations de crise suicidaire » que la leçon nomme existe bien, sous le numéro 4 du document. Aucune formulation ne change.</w:t>
      </w:r>
    </w:p>
    <w:p>
      <w:pPr>
        <w:pStyle w:val="ListParagraph"/>
        <w:numPr>
          <w:ilvl w:val="0"/>
          <w:numId w:val="1"/>
        </w:numPr>
        <w:spacing w:after="40" w:before="40"/>
      </w:pPr>
      <w:r>
        <w:rPr>
          <w:rFonts w:ascii="Times New Roman" w:cs="Times New Roman" w:eastAsia="Times New Roman" w:hAnsi="Times New Roman"/>
          <w:i/>
          <w:iCs/>
          <w:color w:val="6B7280"/>
          <w:sz w:val="20"/>
          <w:szCs w:val="20"/>
        </w:rPr>
        <w:t xml:space="preserve">Ressources : seule la notice HAS de la recommandation était liée ; ni la synthèse ni le chapitre 4 (PDF) ne l'étaient, ni n'avaient été lus.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4hbblcusgggtj1tq6zyl" Type="http://schemas.openxmlformats.org/officeDocument/2006/relationships/hyperlink" Target="https://www.psycom.org/sinformer/la-sante-mentale/quand-on-a-des-pensees-suicidaires/" TargetMode="External"/><Relationship Id="rIdtln97fngbmm3gxtlu_y2g" Type="http://schemas.openxmlformats.org/officeDocument/2006/relationships/hyperlink" Target="https://www.infosuicide.org/guide/la-crise-suicidaire/levaluation-du-potentiel-suicidaire/" TargetMode="External"/><Relationship Id="rIdr96wqgju4sq_9ptv78qqh" Type="http://schemas.openxmlformats.org/officeDocument/2006/relationships/hyperlink" Target="https://www.infosuicide.org/guide/grille-devaluation/" TargetMode="External"/><Relationship Id="rIdpkpsn0nnz16nf9rtsmeo7" Type="http://schemas.openxmlformats.org/officeDocument/2006/relationships/hyperlink" Target="https://www.merckmanuals.com/fr-ca/professional/troubles-psychiatriques/comportement-suicidaire-et-automutilation/comportement-suicidaire" TargetMode="External"/><Relationship Id="rIdaoxnbmgpzzebf5iciln_v" Type="http://schemas.openxmlformats.org/officeDocument/2006/relationships/hyperlink" Target="https://www.has-sante.fr/upload/docs/application/pdf/2021-09/reco348_synthese__idees_conduites_suicidaires_1re_ligne_2021_09_29_v3.pdf" TargetMode="External"/><Relationship Id="rId1y38hn78vvy0ts5mt8gan" Type="http://schemas.openxmlformats.org/officeDocument/2006/relationships/hyperlink" Target="https://www.lemediasocial.fr/prevention-du-suicide-en-esms-un-outil-pour-evaluer-les-risques-dans-sa-structure_M5eha6" TargetMode="External"/><Relationship Id="rId13" Type="http://schemas.openxmlformats.org/officeDocument/2006/relationships/fontTable" Target="fontTable.xml"/><Relationship Id="rIdanesmpa2014crisesuic" Type="http://schemas.openxmlformats.org/officeDocument/2006/relationships/hyperlink" Target="https://www.has-sante.fr/jcms/c_2836216/fr/prise-en-compte-de-la-souffrance-psychique-de-la-personne-agee-prevention-reperage-et-accompagnement" TargetMode="External"/><Relationship Id="rId3114ndprevsuicidefr" Type="http://schemas.openxmlformats.org/officeDocument/2006/relationships/hyperlink" Target="https://3114.fr/" TargetMode="External"/><Relationship Id="rIdPdfSouffSynth" Type="http://schemas.openxmlformats.org/officeDocument/2006/relationships/hyperlink" Target="https://www.has-sante.fr/upload/docs/application/pdf/2018-03/anesm-souffrance_psychique_de_la_personne_agee-mai_2014.pdf" TargetMode="External"/><Relationship Id="rIdPdfSouffChap4" Type="http://schemas.openxmlformats.org/officeDocument/2006/relationships/hyperlink" Target="https://www.has-sante.fr/upload/docs/application/pdf/2018-03/anesm-agees-souffrance_physique_chapitre_4.pdf"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15 — La crise suicidaire : évaluation du risque et conduite à tenir</dc:title>
  <dc:creator>Claude — Parcours Psychopathologie clinique</dc:creator>
  <dc:description>Parcours Psychopathologie clinique, leçon 15/20, 7 septembre 2026</dc:description>
  <cp:lastModifiedBy>Un-named</cp:lastModifiedBy>
  <cp:revision>1</cp:revision>
  <dcterms:created xsi:type="dcterms:W3CDTF">2026-09-07T06:14:03.635Z</dcterms:created>
  <dcterms:modified xsi:type="dcterms:W3CDTF">2026-09-07T06:14:03.655Z</dcterms:modified>
</cp:coreProperties>
</file>

<file path=docProps/custom.xml><?xml version="1.0" encoding="utf-8"?>
<Properties xmlns="http://schemas.openxmlformats.org/officeDocument/2006/custom-properties" xmlns:vt="http://schemas.openxmlformats.org/officeDocument/2006/docPropsVTypes"/>
</file>