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color w:val="1B3A6B"/>
          <w:sz w:val="52"/>
          <w:szCs w:val="52"/>
        </w:rPr>
        <w:t xml:space="preserve">Leçon Psychopathologie clinique n°17</w:t>
      </w:r>
    </w:p>
    <w:p>
      <w:pPr>
        <w:spacing w:after="80" w:before="0"/>
        <w:jc w:val="center"/>
      </w:pPr>
      <w:r>
        <w:rPr>
          <w:rFonts w:ascii="Times New Roman" w:cs="Times New Roman" w:eastAsia="Times New Roman" w:hAnsi="Times New Roman"/>
          <w:b/>
          <w:bCs/>
          <w:color w:val="1B3A6B"/>
          <w:sz w:val="44"/>
          <w:szCs w:val="44"/>
        </w:rPr>
        <w:t xml:space="preserve">Les psychotropes : classes, effets attendus, effets indésirables, surveillance</w:t>
      </w:r>
    </w:p>
    <w:p>
      <w:pPr>
        <w:spacing w:after="60" w:before="0"/>
        <w:jc w:val="center"/>
      </w:pPr>
      <w:r>
        <w:rPr>
          <w:rFonts w:ascii="Times New Roman" w:cs="Times New Roman" w:eastAsia="Times New Roman" w:hAnsi="Times New Roman"/>
          <w:i/>
          <w:iCs/>
          <w:color w:val="1F2937"/>
          <w:sz w:val="22"/>
          <w:szCs w:val="22"/>
        </w:rPr>
        <w:t xml:space="preserve">21 septembre 2026  ·  Leçon 17 / 20</w:t>
      </w:r>
    </w:p>
    <w:p>
      <w:pPr>
        <w:spacing w:after="80" w:before="80"/>
      </w:pPr>
    </w:p>
    <w:p>
      <w:pPr>
        <w:spacing w:after="120" w:before="300"/>
      </w:pPr>
      <w:r>
        <w:rPr>
          <w:rFonts w:ascii="Times New Roman" w:cs="Times New Roman" w:eastAsia="Times New Roman" w:hAnsi="Times New Roman"/>
          <w:b/>
          <w:bCs/>
          <w:color w:val="1B3A6B"/>
          <w:sz w:val="30"/>
          <w:szCs w:val="30"/>
        </w:rPr>
        <w:t xml:space="preserve">🎯 Objectif &amp; continuité</w:t>
      </w:r>
    </w:p>
    <w:p>
      <w:pPr>
        <w:spacing w:after="60" w:before="60"/>
      </w:pPr>
      <w:r>
        <w:rPr>
          <w:rFonts w:ascii="Times New Roman" w:cs="Times New Roman" w:eastAsia="Times New Roman" w:hAnsi="Times New Roman"/>
          <w:color w:val="1F2937"/>
          <w:sz w:val="22"/>
          <w:szCs w:val="22"/>
        </w:rPr>
        <w:t xml:space="preserve">À l'issue de cette leçon, tu sauras identifier les cinq grandes classes de psychotropes, reconnaître leurs effets attendus et leurs effets indésirables principaux, et adopter une posture de surveillance adaptée — sans jamais empiéter sur le rôle du médecin ou de l'infirmier.</w:t>
      </w:r>
    </w:p>
    <w:p>
      <w:pPr>
        <w:spacing w:after="60" w:before="60"/>
      </w:pPr>
      <w:r>
        <w:rPr>
          <w:rFonts w:ascii="Times New Roman" w:cs="Times New Roman" w:eastAsia="Times New Roman" w:hAnsi="Times New Roman"/>
          <w:color w:val="1F2937"/>
          <w:sz w:val="22"/>
          <w:szCs w:val="22"/>
        </w:rPr>
        <w:t xml:space="preserve">Lien avec la leçon précédente : la leçon 16 a examiné le handicap psychique et la déficience intellectuelle — deux situations dans lesquelles les personnes accompagnées sont fréquemment sous traitement psychotrope, parfois depuis des années. Comprendre ces médicaments permet de mieux interpréter certains signes observés au quotidien.</w:t>
      </w:r>
    </w:p>
    <w:p>
      <w:pPr>
        <w:spacing w:after="80" w:before="80"/>
      </w:pPr>
    </w:p>
    <w:p>
      <w:pPr>
        <w:spacing w:after="120" w:before="300"/>
      </w:pPr>
      <w:r>
        <w:rPr>
          <w:rFonts w:ascii="Times New Roman" w:cs="Times New Roman" w:eastAsia="Times New Roman" w:hAnsi="Times New Roman"/>
          <w:b/>
          <w:bCs/>
          <w:color w:val="1B3A6B"/>
          <w:sz w:val="30"/>
          <w:szCs w:val="30"/>
        </w:rPr>
        <w:t xml:space="preserve">🔬 Théorie (20 %) — Les grandes classes de psychotropes</w:t>
      </w:r>
    </w:p>
    <w:p>
      <w:pPr>
        <w:spacing w:after="60" w:before="60"/>
      </w:pPr>
      <w:r>
        <w:rPr>
          <w:rFonts w:ascii="Times New Roman" w:cs="Times New Roman" w:eastAsia="Times New Roman" w:hAnsi="Times New Roman"/>
          <w:color w:val="1F2937"/>
          <w:sz w:val="22"/>
          <w:szCs w:val="22"/>
        </w:rPr>
        <w:t xml:space="preserve">Un psychotrope est un médicament agissant sur le système nerveux central et influençant l'état psychique. La classification clinique retient habituellement cinq familles, chacune disposant d'indications distinctes.</w:t>
      </w:r>
    </w:p>
    <w:p>
      <w:pPr>
        <w:shd w:fill="F3F4F6" w:color="auto" w:val="clear"/>
        <w:spacing w:after="80" w:before="80"/>
      </w:pPr>
      <w:r>
        <w:rPr>
          <w:rFonts w:ascii="Times New Roman" w:cs="Times New Roman" w:eastAsia="Times New Roman" w:hAnsi="Times New Roman"/>
          <w:i/>
          <w:iCs/>
          <w:color w:val="1F2937"/>
          <w:sz w:val="20"/>
          <w:szCs w:val="20"/>
        </w:rPr>
        <w:t xml:space="preserve">⚠️ Cadre déontologique : la connaissance des psychotropes vise à mieux observer et à mieux accompagner, non à émettre un avis sur le traitement ni à le modifier. Toute question sur la médication est adressée au médecin traitant ou psychiatre, et toute observation préoccupante est transmise à l'infirmier de référence.</w:t>
      </w:r>
    </w:p>
    <w:p>
      <w:pPr>
        <w:spacing w:after="80" w:before="80"/>
      </w:pPr>
    </w:p>
    <w:p>
      <w:pPr>
        <w:spacing w:after="80" w:before="200"/>
      </w:pPr>
      <w:r>
        <w:rPr>
          <w:rFonts w:ascii="Times New Roman" w:cs="Times New Roman" w:eastAsia="Times New Roman" w:hAnsi="Times New Roman"/>
          <w:b/>
          <w:bCs/>
          <w:color w:val="1F2937"/>
          <w:sz w:val="26"/>
          <w:szCs w:val="26"/>
        </w:rPr>
        <w:t xml:space="preserve">1. Les antidépresseurs</w:t>
      </w:r>
    </w:p>
    <w:p>
      <w:pPr>
        <w:spacing w:after="60" w:before="60"/>
      </w:pPr>
      <w:r>
        <w:rPr>
          <w:rFonts w:ascii="Times New Roman" w:cs="Times New Roman" w:eastAsia="Times New Roman" w:hAnsi="Times New Roman"/>
          <w:color w:val="1F2937"/>
          <w:sz w:val="22"/>
          <w:szCs w:val="22"/>
        </w:rPr>
        <w:t xml:space="preserve">Indication principale : dépression caractérisée et certains troubles anxieux. Le traitement doit inclure un suivi psychothérapeutique.</w:t>
      </w:r>
    </w:p>
    <w:p>
      <w:pPr>
        <w:spacing w:after="60" w:before="60"/>
      </w:pPr>
      <w:r>
        <w:rPr>
          <w:rFonts w:ascii="Times New Roman" w:cs="Times New Roman" w:eastAsia="Times New Roman" w:hAnsi="Times New Roman"/>
          <w:color w:val="1F2937"/>
          <w:sz w:val="22"/>
          <w:szCs w:val="22"/>
        </w:rPr>
        <w:t xml:space="preserve">Cinq groupes sont décrits par l'ANSM (page mise à jour le 18/09/2026) :</w:t>
      </w:r>
      <w:r>
        <w:rPr>
          <w:rFonts w:ascii="Times New Roman" w:cs="Times New Roman" w:eastAsia="Times New Roman" w:hAnsi="Times New Roman"/>
          <w:i/>
          <w:iCs/>
          <w:color w:val="6B7280"/>
          <w:sz w:val="20"/>
          <w:szCs w:val="20"/>
        </w:rPr>
        <w:t xml:space="preserve"> [Corrigé le 21/09/2026 : l'ANSM décrit cinq groupes ; la leçon en présentait quatre sous « quatre sous-classes sont reconnues (ANSM) ». Ligne ajoutée au tableau.]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B3A6B" w:color="auto" w:val="clear"/>
          </w:tcPr>
          <w:p>
            <w:r>
              <w:rPr>
                <w:rFonts w:ascii="Times New Roman" w:cs="Times New Roman" w:eastAsia="Times New Roman" w:hAnsi="Times New Roman"/>
                <w:b/>
                <w:bCs/>
                <w:color w:val="FFFFFF"/>
                <w:sz w:val="20"/>
                <w:szCs w:val="20"/>
              </w:rPr>
              <w:t xml:space="preserve">Sous-classe</w:t>
            </w:r>
          </w:p>
        </w:tc>
        <w:tc>
          <w:tcPr>
            <w:shd w:fill="1B3A6B" w:color="auto" w:val="clear"/>
          </w:tcPr>
          <w:p>
            <w:r>
              <w:rPr>
                <w:rFonts w:ascii="Times New Roman" w:cs="Times New Roman" w:eastAsia="Times New Roman" w:hAnsi="Times New Roman"/>
                <w:b/>
                <w:bCs/>
                <w:color w:val="FFFFFF"/>
                <w:sz w:val="20"/>
                <w:szCs w:val="20"/>
              </w:rPr>
              <w:t xml:space="preserve">Exemples (DCI) — mécanisme simplifié</w:t>
            </w:r>
          </w:p>
        </w:tc>
      </w:tr>
      <w:tr>
        <w:tc>
          <w:tcPr>
            <w:shd w:fill="EEF2F7" w:color="auto" w:val="clear"/>
          </w:tcPr>
          <w:p>
            <w:r>
              <w:rPr>
                <w:rFonts w:ascii="Times New Roman" w:cs="Times New Roman" w:eastAsia="Times New Roman" w:hAnsi="Times New Roman"/>
                <w:color w:val="1F2937"/>
                <w:sz w:val="20"/>
                <w:szCs w:val="20"/>
              </w:rPr>
              <w:t xml:space="preserve">ISRS (inhibiteurs sélectifs de la recapture de la sérotonine)</w:t>
            </w:r>
          </w:p>
        </w:tc>
        <w:tc>
          <w:tcPr>
            <w:shd w:fill="EEF2F7" w:color="auto" w:val="clear"/>
          </w:tcPr>
          <w:p>
            <w:r>
              <w:rPr>
                <w:rFonts w:ascii="Times New Roman" w:cs="Times New Roman" w:eastAsia="Times New Roman" w:hAnsi="Times New Roman"/>
                <w:color w:val="1F2937"/>
                <w:sz w:val="20"/>
                <w:szCs w:val="20"/>
              </w:rPr>
              <w:t xml:space="preserve">Citalopram, Escitalopram, Fluoxétine, Paroxétine, Sertraline — augmentent la sérotonine disponible en bloquant sa recapture</w:t>
            </w:r>
          </w:p>
        </w:tc>
      </w:tr>
      <w:tr>
        <w:tc>
          <w:tcPr>
            <w:shd w:fill="FFFFFF" w:color="auto" w:val="clear"/>
          </w:tcPr>
          <w:p>
            <w:r>
              <w:rPr>
                <w:rFonts w:ascii="Times New Roman" w:cs="Times New Roman" w:eastAsia="Times New Roman" w:hAnsi="Times New Roman"/>
                <w:color w:val="1F2937"/>
                <w:sz w:val="20"/>
                <w:szCs w:val="20"/>
              </w:rPr>
              <w:t xml:space="preserve">IRSNa (sérotonine + noradrénaline)</w:t>
            </w:r>
          </w:p>
        </w:tc>
        <w:tc>
          <w:tcPr>
            <w:shd w:fill="FFFFFF" w:color="auto" w:val="clear"/>
          </w:tcPr>
          <w:p>
            <w:r>
              <w:rPr>
                <w:rFonts w:ascii="Times New Roman" w:cs="Times New Roman" w:eastAsia="Times New Roman" w:hAnsi="Times New Roman"/>
                <w:color w:val="1F2937"/>
                <w:sz w:val="20"/>
                <w:szCs w:val="20"/>
              </w:rPr>
              <w:t xml:space="preserve">Duloxétine, Venlafaxine, Milnacipran — agissent sur sérotonine et noradrénaline</w:t>
            </w:r>
          </w:p>
        </w:tc>
      </w:tr>
      <w:tr>
        <w:tc>
          <w:tcPr>
            <w:shd w:fill="EEF2F7" w:color="auto" w:val="clear"/>
          </w:tcPr>
          <w:p>
            <w:r>
              <w:rPr>
                <w:rFonts w:ascii="Times New Roman" w:cs="Times New Roman" w:eastAsia="Times New Roman" w:hAnsi="Times New Roman"/>
                <w:color w:val="1F2937"/>
                <w:sz w:val="20"/>
                <w:szCs w:val="20"/>
              </w:rPr>
              <w:t xml:space="preserve">Tricycliques</w:t>
            </w:r>
          </w:p>
        </w:tc>
        <w:tc>
          <w:tcPr>
            <w:shd w:fill="EEF2F7" w:color="auto" w:val="clear"/>
          </w:tcPr>
          <w:p>
            <w:r>
              <w:rPr>
                <w:rFonts w:ascii="Times New Roman" w:cs="Times New Roman" w:eastAsia="Times New Roman" w:hAnsi="Times New Roman"/>
                <w:color w:val="1F2937"/>
                <w:sz w:val="20"/>
                <w:szCs w:val="20"/>
              </w:rPr>
              <w:t xml:space="preserve">Amitriptyline, Clomipramine, Imipramine — bloquent la recapture de sérotonine et noradrénaline ; profil d'effets indésirables plus chargé que les ISRS</w:t>
            </w:r>
          </w:p>
        </w:tc>
      </w:tr>
      <w:tr>
        <w:tc>
          <w:tcPr>
            <w:shd w:fill="FFFFFF" w:color="auto" w:val="clear"/>
          </w:tcPr>
          <w:p>
            <w:r>
              <w:rPr>
                <w:rFonts w:ascii="Times New Roman" w:cs="Times New Roman" w:eastAsia="Times New Roman" w:hAnsi="Times New Roman"/>
                <w:color w:val="1F2937"/>
                <w:sz w:val="20"/>
                <w:szCs w:val="20"/>
              </w:rPr>
              <w:t xml:space="preserve">IMAO (inhibiteurs de la monoamine oxydase)</w:t>
            </w:r>
          </w:p>
        </w:tc>
        <w:tc>
          <w:tcPr>
            <w:shd w:fill="FFFFFF" w:color="auto" w:val="clear"/>
          </w:tcPr>
          <w:p>
            <w:r>
              <w:rPr>
                <w:rFonts w:ascii="Times New Roman" w:cs="Times New Roman" w:eastAsia="Times New Roman" w:hAnsi="Times New Roman"/>
                <w:color w:val="1F2937"/>
                <w:sz w:val="20"/>
                <w:szCs w:val="20"/>
              </w:rPr>
              <w:t xml:space="preserve">Moclobémide, Iproniazide — préviennent la dégradation de plusieurs neurotransmetteurs</w:t>
            </w:r>
          </w:p>
        </w:tc>
      </w:tr>
      <w:tr>
        <w:tc>
          <w:tcPr>
            <w:shd w:fill="FFFFFF" w:color="auto" w:val="clear"/>
          </w:tcPr>
          <w:p>
            <w:r>
              <w:rPr>
                <w:rFonts w:ascii="Times New Roman" w:cs="Times New Roman" w:eastAsia="Times New Roman" w:hAnsi="Times New Roman"/>
                <w:color w:val="1F2937"/>
                <w:sz w:val="20"/>
                <w:szCs w:val="20"/>
              </w:rPr>
              <w:t xml:space="preserve">Autres antidépresseurs</w:t>
            </w:r>
          </w:p>
        </w:tc>
        <w:tc>
          <w:tcPr>
            <w:shd w:fill="FFFFFF" w:color="auto" w:val="clear"/>
          </w:tcPr>
          <w:p>
            <w:r>
              <w:rPr>
                <w:rFonts w:ascii="Times New Roman" w:cs="Times New Roman" w:eastAsia="Times New Roman" w:hAnsi="Times New Roman"/>
                <w:color w:val="1F2937"/>
                <w:sz w:val="20"/>
                <w:szCs w:val="20"/>
              </w:rPr>
              <w:t xml:space="preserve">Agomélatine, Eskétamine, Miansérine, Mirtazapine, Tianeptine, Vortioxétine — mécanismes variés, utilisés en cas de résistance ou d'intolérance aux autres traitements (ANSM)</w:t>
            </w:r>
          </w:p>
        </w:tc>
      </w:tr>
    </w:tbl>
    <w:p>
      <w:pPr>
        <w:spacing w:after="80" w:before="80"/>
      </w:pPr>
    </w:p>
    <w:p>
      <w:pPr>
        <w:spacing w:after="60" w:before="60"/>
      </w:pPr>
      <w:r>
        <w:rPr>
          <w:rFonts w:ascii="Times New Roman" w:cs="Times New Roman" w:eastAsia="Times New Roman" w:hAnsi="Times New Roman"/>
          <w:color w:val="1F2937"/>
          <w:sz w:val="22"/>
          <w:szCs w:val="22"/>
        </w:rPr>
        <w:t xml:space="preserve">Délai d'action : 2 à 4 semaines pour une amélioration des symptômes (ANSM, 18/09/2026). Durée minimale : 6 mois après l'obtention de l'effet thérapeutique, pour prévenir la rechute.</w:t>
      </w:r>
    </w:p>
    <w:p>
      <w:pPr>
        <w:spacing w:after="60" w:before="60"/>
      </w:pPr>
      <w:r>
        <w:rPr>
          <w:rFonts w:ascii="Times New Roman" w:cs="Times New Roman" w:eastAsia="Times New Roman" w:hAnsi="Times New Roman"/>
          <w:color w:val="1F2937"/>
          <w:sz w:val="22"/>
          <w:szCs w:val="22"/>
        </w:rPr>
        <w:t xml:space="preserve">Effets indésirables à connaître : un syndrome de sevrage peut survenir en cas d'arrêt brutal — vertiges ou troubles de l'équilibre, troubles du sommeil, irritabilité ou anxiété, symptômes pseudo-grippaux (ANSM, 18/09/2026). L'arrêt doit se faire progressivement sous supervision médicale. L'ANSM précise sur la même page que « contrairement aux anxiolytiques ou aux hypnotiques (somnifères), la grande majorité des antidépresseurs ne créent pas de dépendance ». </w:t>
      </w:r>
      <w:r>
        <w:rPr>
          <w:rFonts w:ascii="Times New Roman" w:cs="Times New Roman" w:eastAsia="Times New Roman" w:hAnsi="Times New Roman"/>
          <w:i/>
          <w:iCs/>
          <w:color w:val="6B7280"/>
          <w:sz w:val="20"/>
          <w:szCs w:val="20"/>
        </w:rPr>
        <w:t xml:space="preserve">[Corrigé le 21/09/2026 : « syndrome de discontinuation » remplacé par le terme de la page, et la phrase de l'ANSM sur la dépendance ajoutée — elle est la seule source de la leçon sur ce point pour les anxiolytiques.]</w:t>
      </w:r>
    </w:p>
    <w:p>
      <w:pPr>
        <w:spacing w:after="80" w:before="80"/>
      </w:pPr>
    </w:p>
    <w:p>
      <w:pPr>
        <w:spacing w:after="80" w:before="200"/>
      </w:pPr>
      <w:r>
        <w:rPr>
          <w:rFonts w:ascii="Times New Roman" w:cs="Times New Roman" w:eastAsia="Times New Roman" w:hAnsi="Times New Roman"/>
          <w:b/>
          <w:bCs/>
          <w:color w:val="1F2937"/>
          <w:sz w:val="26"/>
          <w:szCs w:val="26"/>
        </w:rPr>
        <w:t xml:space="preserve">2. Les antipsychotiques (neuroleptiques)</w:t>
      </w:r>
    </w:p>
    <w:p>
      <w:pPr>
        <w:spacing w:after="60" w:before="60"/>
      </w:pPr>
      <w:r>
        <w:rPr>
          <w:rFonts w:ascii="Times New Roman" w:cs="Times New Roman" w:eastAsia="Times New Roman" w:hAnsi="Times New Roman"/>
          <w:color w:val="1F2937"/>
          <w:sz w:val="22"/>
          <w:szCs w:val="22"/>
        </w:rPr>
        <w:t xml:space="preserve">Indication principale : troubles psychotiques (schizophrénie, épisode maniaque avec éléments psychotiques). Deux générations se distinguent.</w:t>
      </w:r>
    </w:p>
    <w:p>
      <w:pPr>
        <w:spacing w:after="60" w:before="60"/>
      </w:pPr>
      <w:r>
        <w:rPr>
          <w:rFonts w:ascii="Times New Roman" w:cs="Times New Roman" w:eastAsia="Times New Roman" w:hAnsi="Times New Roman"/>
          <w:color w:val="1F2937"/>
          <w:sz w:val="22"/>
          <w:szCs w:val="22"/>
        </w:rPr>
        <w:t xml:space="preserve">Mécanisme commun : modulation de l'activité dopaminergique au niveau cérébral ; certains agissent aussi sur la sérotonine (ANSM, 18/09/2026).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B3A6B" w:color="auto" w:val="clear"/>
          </w:tcPr>
          <w:p>
            <w:r>
              <w:rPr>
                <w:rFonts w:ascii="Times New Roman" w:cs="Times New Roman" w:eastAsia="Times New Roman" w:hAnsi="Times New Roman"/>
                <w:b/>
                <w:bCs/>
                <w:color w:val="FFFFFF"/>
                <w:sz w:val="20"/>
                <w:szCs w:val="20"/>
              </w:rPr>
              <w:t xml:space="preserve">Génération</w:t>
            </w:r>
          </w:p>
        </w:tc>
        <w:tc>
          <w:tcPr>
            <w:shd w:fill="1B3A6B" w:color="auto" w:val="clear"/>
          </w:tcPr>
          <w:p>
            <w:r>
              <w:rPr>
                <w:rFonts w:ascii="Times New Roman" w:cs="Times New Roman" w:eastAsia="Times New Roman" w:hAnsi="Times New Roman"/>
                <w:b/>
                <w:bCs/>
                <w:color w:val="FFFFFF"/>
                <w:sz w:val="20"/>
                <w:szCs w:val="20"/>
              </w:rPr>
              <w:t xml:space="preserve">Exemples et tolérance</w:t>
            </w:r>
          </w:p>
        </w:tc>
      </w:tr>
      <w:tr>
        <w:tc>
          <w:tcPr>
            <w:shd w:fill="EEF2F7" w:color="auto" w:val="clear"/>
          </w:tcPr>
          <w:p>
            <w:r>
              <w:rPr>
                <w:rFonts w:ascii="Times New Roman" w:cs="Times New Roman" w:eastAsia="Times New Roman" w:hAnsi="Times New Roman"/>
                <w:color w:val="1F2937"/>
                <w:sz w:val="20"/>
                <w:szCs w:val="20"/>
              </w:rPr>
              <w:t xml:space="preserve">1ère génération (typiques)
Ex. : Chlorpromazine, Halopéridol, Lévomépromazine</w:t>
            </w:r>
          </w:p>
        </w:tc>
        <w:tc>
          <w:tcPr>
            <w:shd w:fill="EEF2F7" w:color="auto" w:val="clear"/>
          </w:tcPr>
          <w:p>
            <w:r>
              <w:rPr>
                <w:rFonts w:ascii="Times New Roman" w:cs="Times New Roman" w:eastAsia="Times New Roman" w:hAnsi="Times New Roman"/>
                <w:color w:val="1F2937"/>
                <w:sz w:val="20"/>
                <w:szCs w:val="20"/>
              </w:rPr>
              <w:t xml:space="preserve">Efficaces sur les symptômes dits positifs (hallucinations, délires) ; risque neurologique plus élevé : syndrome parkinsonien, dyskinésies</w:t>
            </w:r>
          </w:p>
        </w:tc>
      </w:tr>
      <w:tr>
        <w:tc>
          <w:tcPr>
            <w:shd w:fill="FFFFFF" w:color="auto" w:val="clear"/>
          </w:tcPr>
          <w:p>
            <w:r>
              <w:rPr>
                <w:rFonts w:ascii="Times New Roman" w:cs="Times New Roman" w:eastAsia="Times New Roman" w:hAnsi="Times New Roman"/>
                <w:color w:val="1F2937"/>
                <w:sz w:val="20"/>
                <w:szCs w:val="20"/>
              </w:rPr>
              <w:t xml:space="preserve">2ème génération (atypiques)
Ex. : Aripiprazole, Clozapine, Olanzapine, Palipéridone, Rispéridone</w:t>
            </w:r>
          </w:p>
        </w:tc>
        <w:tc>
          <w:tcPr>
            <w:shd w:fill="FFFFFF" w:color="auto" w:val="clear"/>
          </w:tcPr>
          <w:p>
            <w:r>
              <w:rPr>
                <w:rFonts w:ascii="Times New Roman" w:cs="Times New Roman" w:eastAsia="Times New Roman" w:hAnsi="Times New Roman"/>
                <w:color w:val="1F2937"/>
                <w:sz w:val="20"/>
                <w:szCs w:val="20"/>
              </w:rPr>
              <w:t xml:space="preserve">Souvent mieux tolérés sur le plan moteur ; effet possible sur les symptômes négatifs (retrait social, émoussement affectif)</w:t>
            </w:r>
          </w:p>
        </w:tc>
      </w:tr>
    </w:tbl>
    <w:p>
      <w:pPr>
        <w:spacing w:after="80" w:before="80"/>
      </w:pPr>
    </w:p>
    <w:p>
      <w:pPr>
        <w:spacing w:after="60" w:before="60"/>
      </w:pPr>
      <w:r>
        <w:rPr>
          <w:rFonts w:ascii="Times New Roman" w:cs="Times New Roman" w:eastAsia="Times New Roman" w:hAnsi="Times New Roman"/>
          <w:color w:val="1F2937"/>
          <w:sz w:val="22"/>
          <w:szCs w:val="22"/>
        </w:rPr>
        <w:t xml:space="preserve">Effets indésirables principaux à surveiller en ESSMS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Syndrome extrapyramidal : tremblements, rigidité, akathisie (agitation avec impossibilité de rester immobile), dyskinésies (mouvements involontaires)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Prise de poids et syndrome métabolique : surveillance du poids et de la tension artérielle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Sédation excessive pouvant affecter l'autonomie et les activités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Allongement de l'intervalle QT (risque cardiaque) — signalement au médecin si palpitations ou malaise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Constipation, pouvant aller jusqu'à l'occlusion intestinale — surveillance du transit, en particulier sous clozapine ; toute douleur abdominale ou ventre distendu se transmet le jour même (HAS, Flash Sécurité Patient, PDF du 27/10/2022 : deux de ses trois événements sont des occlusions mortelles sous clozapine). </w:t>
      </w:r>
      <w:r>
        <w:rPr>
          <w:rFonts w:ascii="Times New Roman" w:cs="Times New Roman" w:eastAsia="Times New Roman" w:hAnsi="Times New Roman"/>
          <w:i/>
          <w:iCs/>
          <w:color w:val="6B7280"/>
          <w:sz w:val="20"/>
          <w:szCs w:val="20"/>
        </w:rPr>
        <w:t xml:space="preserve">[Corrigé le 21/09/2026 : absent de la liste livrée, alors que c'est le premier risque que le document cité décrit.]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Troubles de la déglutition et fausse route au repas — surveillance des repas, textures adaptées si besoin (HAS, même Flash : troisième événement, un patient de plus de 70 ans en USLD mort d'une fausse route sans surveillance au repas). </w:t>
      </w:r>
      <w:r>
        <w:rPr>
          <w:rFonts w:ascii="Times New Roman" w:cs="Times New Roman" w:eastAsia="Times New Roman" w:hAnsi="Times New Roman"/>
          <w:i/>
          <w:iCs/>
          <w:color w:val="6B7280"/>
          <w:sz w:val="20"/>
          <w:szCs w:val="20"/>
        </w:rPr>
        <w:t xml:space="preserve">[Corrigé le 21/09/2026 : absent de la liste livrée.]</w:t>
      </w:r>
    </w:p>
    <w:p>
      <w:pPr>
        <w:spacing w:after="80" w:before="80"/>
      </w:pPr>
    </w:p>
    <w:p>
      <w:pPr>
        <w:shd w:fill="F3F4F6" w:color="auto" w:val="clear"/>
        <w:spacing w:after="40" w:before="80"/>
        <w:ind w:left="720"/>
      </w:pPr>
      <w:r>
        <w:rPr>
          <w:rFonts w:ascii="Times New Roman" w:cs="Times New Roman" w:eastAsia="Times New Roman" w:hAnsi="Times New Roman"/>
          <w:i/>
          <w:iCs/>
          <w:color w:val="1F2937"/>
          <w:sz w:val="22"/>
          <w:szCs w:val="22"/>
        </w:rPr>
        <w:t xml:space="preserve">La page HAS indique que parmi les 60 événements graves médicamenteux liés à un mésusage de neuroleptiques analysés dans sa base REX-EIGS, 1/3 — une vingtaine de cas — sont liés à une absence d'évaluation régulière du traitement (HAS, Flash Sécurité Patient, daté du 27 octobre 2022, mis en ligne le 3 novembre 2022).</w:t>
      </w:r>
      <w:r>
        <w:rPr>
          <w:rFonts w:ascii="Times New Roman" w:cs="Times New Roman" w:eastAsia="Times New Roman" w:hAnsi="Times New Roman"/>
          <w:i/>
          <w:iCs/>
          <w:color w:val="6B7280"/>
          <w:sz w:val="20"/>
          <w:szCs w:val="20"/>
        </w:rPr>
        <w:t xml:space="preserve"> [Corrigé le 21/09/2026 : le dénominateur (60 signalements) et la nature des cas (mésusage, base de retour d'expérience) manquaient : ce n'est pas un tiers des événements graves sous neuroleptiques.]</w:t>
      </w:r>
    </w:p>
    <w:p>
      <w:pPr>
        <w:spacing w:after="80" w:before="0"/>
      </w:pPr>
      <w:r>
        <w:rPr>
          <w:rFonts w:ascii="Times New Roman" w:cs="Times New Roman" w:eastAsia="Times New Roman" w:hAnsi="Times New Roman"/>
          <w:i/>
          <w:iCs/>
          <w:color w:val="1F2937"/>
          <w:sz w:val="20"/>
          <w:szCs w:val="20"/>
        </w:rPr>
        <w:t xml:space="preserve">Source : </w:t>
      </w:r>
      <w:hyperlink w:history="1" r:id="rIdcpcpuao8ca9cmgzvw6x9v">
        <w:r>
          <w:rPr>
            <w:rFonts w:ascii="Times New Roman" w:cs="Times New Roman" w:eastAsia="Times New Roman" w:hAnsi="Times New Roman"/>
            <w:color w:val="1155CC"/>
            <w:sz w:val="20"/>
            <w:szCs w:val="20"/>
            <w:u w:val="single"/>
          </w:rPr>
          <w:t xml:space="preserve">HAS — Flash Sécurité Patient « Patient sous neuroleptique. La vigilance est la bonne pratique » (validé octobre 2022, en ligne novembre 2022)</w:t>
        </w:r>
      </w:hyperlink>
      <w:r>
        <w:rPr>
          <w:rFonts w:ascii="Times New Roman" w:cs="Times New Roman" w:eastAsia="Times New Roman" w:hAnsi="Times New Roman"/>
          <w:i/>
          <w:iCs/>
          <w:color w:val="6B7280"/>
          <w:sz w:val="20"/>
          <w:szCs w:val="20"/>
        </w:rPr>
        <w:t xml:space="preserve"> — page de présentation ; le document lui-même est le PDF de trois pages lié sur cette page (ressources, ci-dessous). [Corrigé le 21/09/2026 : la leçon citait la page, pas le document.]</w:t>
      </w:r>
    </w:p>
    <w:p>
      <w:pPr>
        <w:spacing w:after="80" w:before="80"/>
      </w:pPr>
    </w:p>
    <w:p>
      <w:pPr>
        <w:spacing w:after="80" w:before="200"/>
      </w:pPr>
      <w:r>
        <w:rPr>
          <w:rFonts w:ascii="Times New Roman" w:cs="Times New Roman" w:eastAsia="Times New Roman" w:hAnsi="Times New Roman"/>
          <w:b/>
          <w:bCs/>
          <w:color w:val="1F2937"/>
          <w:sz w:val="26"/>
          <w:szCs w:val="26"/>
        </w:rPr>
        <w:t xml:space="preserve">3. Les thymorégulateurs (stabilisateurs de l'humeur)</w:t>
      </w:r>
    </w:p>
    <w:p>
      <w:pPr>
        <w:spacing w:after="60" w:before="60"/>
      </w:pPr>
      <w:r>
        <w:rPr>
          <w:rFonts w:ascii="Times New Roman" w:cs="Times New Roman" w:eastAsia="Times New Roman" w:hAnsi="Times New Roman"/>
          <w:color w:val="1F2937"/>
          <w:sz w:val="22"/>
          <w:szCs w:val="22"/>
        </w:rPr>
        <w:t xml:space="preserve">Indication principale : trouble bipolaire — stabilisation des fluctuations de l'humeur, réduction de l'intensité et de la fréquence des épisodes.</w:t>
      </w:r>
    </w:p>
    <w:p>
      <w:pPr>
        <w:spacing w:after="60" w:before="60"/>
      </w:pPr>
      <w:r>
        <w:rPr>
          <w:rFonts w:ascii="Times New Roman" w:cs="Times New Roman" w:eastAsia="Times New Roman" w:hAnsi="Times New Roman"/>
          <w:color w:val="1F2937"/>
          <w:sz w:val="22"/>
          <w:szCs w:val="22"/>
        </w:rPr>
        <w:t xml:space="preserve">Médicaments reconnus (ANSM, mis à jour 18/09/2026) : Lithium (Téralithe), Carbamazépine (Tégrétol), Valpromide (Dépamide), Divalproate de sodium (Dépakote, Divalcote), Lamotrigine (Lamictal).</w:t>
      </w:r>
    </w:p>
    <w:p>
      <w:pPr>
        <w:spacing w:after="60" w:before="60"/>
      </w:pPr>
      <w:r>
        <w:rPr>
          <w:rFonts w:ascii="Times New Roman" w:cs="Times New Roman" w:eastAsia="Times New Roman" w:hAnsi="Times New Roman"/>
          <w:color w:val="1F2937"/>
          <w:sz w:val="22"/>
          <w:szCs w:val="22"/>
        </w:rPr>
        <w:t xml:space="preserve">Mécanisme : modulation de l'activité de la dopamine, du glutamate, du GABA et de la sérotonine ; effets sur la plasticité neuronale et la régulation du rythme veille-sommeil (ANSM, 18/09/2026).</w:t>
      </w:r>
    </w:p>
    <w:p>
      <w:pPr>
        <w:spacing w:after="60" w:before="60"/>
      </w:pPr>
      <w:r>
        <w:rPr>
          <w:rFonts w:ascii="Times New Roman" w:cs="Times New Roman" w:eastAsia="Times New Roman" w:hAnsi="Times New Roman"/>
          <w:color w:val="1F2937"/>
          <w:sz w:val="22"/>
          <w:szCs w:val="22"/>
        </w:rPr>
        <w:t xml:space="preserve">Délai d'effet : quelques jours en phase maniaque aiguë, plusieurs semaines en phase dépressive. Traitement souvent pluriannuel en raison du caractère chronique et récidivant du trouble bipolaire.</w:t>
      </w:r>
    </w:p>
    <w:p>
      <w:pPr>
        <w:spacing w:after="60" w:before="60"/>
      </w:pPr>
      <w:r>
        <w:rPr>
          <w:rFonts w:ascii="Times New Roman" w:cs="Times New Roman" w:eastAsia="Times New Roman" w:hAnsi="Times New Roman"/>
          <w:color w:val="1F2937"/>
          <w:sz w:val="22"/>
          <w:szCs w:val="22"/>
        </w:rPr>
        <w:t xml:space="preserve">Effets indésirables principaux (ANSM, 18/09/2026)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Sédation / somnolence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Prise de poids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Tremblements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Problèmes hépatiques ou rénaux selon la molécule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Réactions cutanées graves possibles</w:t>
      </w:r>
    </w:p>
    <w:p>
      <w:pPr>
        <w:spacing w:after="60" w:before="60"/>
      </w:pPr>
      <w:r>
        <w:rPr>
          <w:rFonts w:ascii="Times New Roman" w:cs="Times New Roman" w:eastAsia="Times New Roman" w:hAnsi="Times New Roman"/>
          <w:color w:val="1F2937"/>
          <w:sz w:val="22"/>
          <w:szCs w:val="22"/>
        </w:rPr>
        <w:t xml:space="preserve">Point de vigilance : ces médicaments peuvent augmenter les idées suicidaires, notamment en début de traitement — la vigilance est essentielle, en particulier lors des premières semaines.</w:t>
      </w:r>
    </w:p>
    <w:p>
      <w:pPr>
        <w:spacing w:after="60" w:before="60"/>
      </w:pPr>
      <w:r>
        <w:rPr>
          <w:rFonts w:ascii="Times New Roman" w:cs="Times New Roman" w:eastAsia="Times New Roman" w:hAnsi="Times New Roman"/>
          <w:color w:val="1F2937"/>
          <w:sz w:val="22"/>
          <w:szCs w:val="22"/>
        </w:rPr>
        <w:t xml:space="preserve">Arrêt : doit se faire progressivement et sous supervision médicale pour éviter la réapparition des symptômes.</w:t>
      </w:r>
    </w:p>
    <w:p>
      <w:pPr>
        <w:spacing w:after="80" w:before="80"/>
      </w:pPr>
    </w:p>
    <w:p>
      <w:pPr>
        <w:spacing w:after="80" w:before="200"/>
      </w:pPr>
      <w:r>
        <w:rPr>
          <w:rFonts w:ascii="Times New Roman" w:cs="Times New Roman" w:eastAsia="Times New Roman" w:hAnsi="Times New Roman"/>
          <w:b/>
          <w:bCs/>
          <w:color w:val="1F2937"/>
          <w:sz w:val="26"/>
          <w:szCs w:val="26"/>
        </w:rPr>
        <w:t xml:space="preserve">4. Les anxiolytiques et hypnotiques</w:t>
      </w:r>
    </w:p>
    <w:p>
      <w:pPr>
        <w:spacing w:after="60" w:before="60"/>
      </w:pPr>
      <w:r>
        <w:rPr>
          <w:rFonts w:ascii="Times New Roman" w:cs="Times New Roman" w:eastAsia="Times New Roman" w:hAnsi="Times New Roman"/>
          <w:color w:val="1F2937"/>
          <w:sz w:val="22"/>
          <w:szCs w:val="22"/>
        </w:rPr>
        <w:t xml:space="preserve">Indication principale : anxiété (anxiolytiques) et troubles du sommeil (hypnotiques). La classe principale est celle des benzodiazépines et apparentés.</w:t>
      </w:r>
    </w:p>
    <w:p>
      <w:pPr>
        <w:spacing w:after="60" w:before="60"/>
      </w:pPr>
      <w:r>
        <w:rPr>
          <w:rFonts w:ascii="Times New Roman" w:cs="Times New Roman" w:eastAsia="Times New Roman" w:hAnsi="Times New Roman"/>
          <w:color w:val="1F2937"/>
          <w:sz w:val="22"/>
          <w:szCs w:val="22"/>
        </w:rPr>
        <w:t xml:space="preserve">Mécanisme : potentialisation de l'action du GABA (neurotransmetteur inhibiteur), entraînant une réduction de l'activité du système nerveux central.</w:t>
      </w:r>
    </w:p>
    <w:p>
      <w:pPr>
        <w:spacing w:after="60" w:before="60"/>
      </w:pPr>
      <w:r>
        <w:rPr>
          <w:rFonts w:ascii="Times New Roman" w:cs="Times New Roman" w:eastAsia="Times New Roman" w:hAnsi="Times New Roman"/>
          <w:color w:val="1F2937"/>
          <w:sz w:val="22"/>
          <w:szCs w:val="22"/>
        </w:rPr>
        <w:t xml:space="preserve">Effets attendus : sédation, réduction de l'anxiété, relaxation musculaire, facilitation du sommeil.</w:t>
      </w:r>
    </w:p>
    <w:p>
      <w:pPr>
        <w:spacing w:after="60" w:before="60"/>
      </w:pPr>
      <w:r>
        <w:rPr>
          <w:rFonts w:ascii="Times New Roman" w:cs="Times New Roman" w:eastAsia="Times New Roman" w:hAnsi="Times New Roman"/>
          <w:color w:val="1F2937"/>
          <w:sz w:val="22"/>
          <w:szCs w:val="22"/>
        </w:rPr>
        <w:t xml:space="preserve">Effets indésirables et risques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Dépendance physique possible en cas d'usage prolongé</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Syndrome de sevrage à l'arrêt brutal : anxiété rebond, insomnies, tremblements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Risque de chutes, notamment chez les personnes âgées (somnolence, diminution des réflexes)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Interactions médicamenteuses avec d'autres dépresseurs du SNC (alcool, opioïdes)</w:t>
      </w:r>
    </w:p>
    <w:p>
      <w:pPr>
        <w:shd w:fill="F3F4F6" w:color="auto" w:val="clear"/>
        <w:spacing w:after="80" w:before="80"/>
      </w:pPr>
      <w:r>
        <w:rPr>
          <w:rFonts w:ascii="Times New Roman" w:cs="Times New Roman" w:eastAsia="Times New Roman" w:hAnsi="Times New Roman"/>
          <w:i/>
          <w:iCs/>
          <w:color w:val="1F2937"/>
          <w:sz w:val="20"/>
          <w:szCs w:val="20"/>
        </w:rPr>
        <w:t xml:space="preserve">Note méthodologique : les pages ANSM consultées pour cette leçon consacrent quatre dossiers thématiques aux antidépresseurs, antipsychotiques, thymorégulateurs et psychostimulants. Les anxiolytiques/hypnotiques n'y disposent pas de dossier dédié dans les sources récupérées. Cette classe est présentée ici comme repère de terrain, sans chiffres attribués à une source particulière.</w:t>
      </w:r>
    </w:p>
    <w:p>
      <w:pPr>
        <w:spacing w:after="80" w:before="80"/>
      </w:pPr>
    </w:p>
    <w:p>
      <w:pPr>
        <w:spacing w:after="80" w:before="200"/>
      </w:pPr>
      <w:r>
        <w:rPr>
          <w:rFonts w:ascii="Times New Roman" w:cs="Times New Roman" w:eastAsia="Times New Roman" w:hAnsi="Times New Roman"/>
          <w:b/>
          <w:bCs/>
          <w:color w:val="1F2937"/>
          <w:sz w:val="26"/>
          <w:szCs w:val="26"/>
        </w:rPr>
        <w:t xml:space="preserve">5. Les psychostimulants</w:t>
      </w:r>
    </w:p>
    <w:p>
      <w:pPr>
        <w:spacing w:after="60" w:before="60"/>
      </w:pPr>
      <w:r>
        <w:rPr>
          <w:rFonts w:ascii="Times New Roman" w:cs="Times New Roman" w:eastAsia="Times New Roman" w:hAnsi="Times New Roman"/>
          <w:color w:val="1F2937"/>
          <w:sz w:val="22"/>
          <w:szCs w:val="22"/>
        </w:rPr>
        <w:t xml:space="preserve">Indication principale : trouble déficit de l'attention avec ou sans hyperactivité (TDA/H).</w:t>
      </w:r>
    </w:p>
    <w:p>
      <w:pPr>
        <w:spacing w:after="60" w:before="60"/>
      </w:pPr>
      <w:r>
        <w:rPr>
          <w:rFonts w:ascii="Times New Roman" w:cs="Times New Roman" w:eastAsia="Times New Roman" w:hAnsi="Times New Roman"/>
          <w:color w:val="1F2937"/>
          <w:sz w:val="22"/>
          <w:szCs w:val="22"/>
        </w:rPr>
        <w:t xml:space="preserve">Médicaments (ANSM, mis à jour 12/08/2026) : Méthylphénidate (Concerta, Médikinet, Quasym, Ritaline) — Lisdexamfétamine (Xurta).</w:t>
      </w:r>
    </w:p>
    <w:p>
      <w:pPr>
        <w:spacing w:after="60" w:before="60"/>
      </w:pPr>
      <w:r>
        <w:rPr>
          <w:rFonts w:ascii="Times New Roman" w:cs="Times New Roman" w:eastAsia="Times New Roman" w:hAnsi="Times New Roman"/>
          <w:color w:val="1F2937"/>
          <w:sz w:val="22"/>
          <w:szCs w:val="22"/>
        </w:rPr>
        <w:t xml:space="preserve">Mécanisme : augmentent la disponibilité de certains neurotransmetteurs, principalement la dopamine et la noradrénaline, dans les régions cérébrales impliquées dans la régulation de l'attention, des comportements, des pensées et des émotions (ANSM, 12/08/2026).</w:t>
      </w:r>
    </w:p>
    <w:p>
      <w:pPr>
        <w:spacing w:after="60" w:before="60"/>
      </w:pPr>
      <w:r>
        <w:rPr>
          <w:rFonts w:ascii="Times New Roman" w:cs="Times New Roman" w:eastAsia="Times New Roman" w:hAnsi="Times New Roman"/>
          <w:color w:val="1F2937"/>
          <w:sz w:val="22"/>
          <w:szCs w:val="22"/>
        </w:rPr>
        <w:t xml:space="preserve">Effets indésirables courants (ANSM, 12/08/2026) : troubles du sommeil, céphalées, nervosité ou irritabilité, palpitations, perte d'appétit ou douleurs abdominales — généralement réversibles et souvent transitoires.</w:t>
      </w:r>
    </w:p>
    <w:p>
      <w:pPr>
        <w:spacing w:after="60" w:before="60"/>
      </w:pPr>
      <w:r>
        <w:rPr>
          <w:rFonts w:ascii="Times New Roman" w:cs="Times New Roman" w:eastAsia="Times New Roman" w:hAnsi="Times New Roman"/>
          <w:color w:val="1F2937"/>
          <w:sz w:val="22"/>
          <w:szCs w:val="22"/>
        </w:rPr>
        <w:t xml:space="preserve">Surveillance spécifique recommandée (ANSM, 12/08/2026)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Tension artérielle et fréquence cardiaque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Croissance chez l'enfant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Poids et appétit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Troubles de l'humeur ou sensations inhabituelles</w:t>
      </w:r>
    </w:p>
    <w:p>
      <w:pPr>
        <w:spacing w:after="80" w:before="80"/>
      </w:pPr>
    </w:p>
    <w:p>
      <w:pPr>
        <w:spacing w:after="80" w:before="200"/>
      </w:pPr>
      <w:r>
        <w:rPr>
          <w:rFonts w:ascii="Times New Roman" w:cs="Times New Roman" w:eastAsia="Times New Roman" w:hAnsi="Times New Roman"/>
          <w:b/>
          <w:bCs/>
          <w:color w:val="1F2937"/>
          <w:sz w:val="26"/>
          <w:szCs w:val="26"/>
        </w:rPr>
        <w:t xml:space="preserve">Le cadre de la surveillance : quatre actions préventives (HAS, 2022)</w:t>
      </w:r>
    </w:p>
    <w:p>
      <w:pPr>
        <w:spacing w:after="60" w:before="60"/>
      </w:pPr>
      <w:r>
        <w:rPr>
          <w:rFonts w:ascii="Times New Roman" w:cs="Times New Roman" w:eastAsia="Times New Roman" w:hAnsi="Times New Roman"/>
          <w:color w:val="1F2937"/>
          <w:sz w:val="22"/>
          <w:szCs w:val="22"/>
        </w:rPr>
        <w:t xml:space="preserve">La HAS, dans son Flash Sécurité Patient de 2022, écrit que la prise en charge des patients sous neuroleptique « s'articule autour de 4 actions de prévention : Informer, Dépister, Surveiller, Sensibiliser ». Le document s'adresse aux professionnels de santé et aux équipes de soin ; la colonne de droite dit ce que la HAS met sous chaque action, puis ce qu'une équipe éducative peut en transposer — cette transposition est celle de la leçon, pas celle de la HAS. </w:t>
      </w:r>
      <w:r>
        <w:rPr>
          <w:rFonts w:ascii="Times New Roman" w:cs="Times New Roman" w:eastAsia="Times New Roman" w:hAnsi="Times New Roman"/>
          <w:i/>
          <w:iCs/>
          <w:color w:val="6B7280"/>
          <w:sz w:val="20"/>
          <w:szCs w:val="20"/>
        </w:rPr>
        <w:t xml:space="preserve">[Corrigé le 21/09/2026 : « propose quatre actions préventives pour tout professionnel côtoyant des patients sous neuroleptiques » élargissait le destinataire, « Détecter » remplaçait « Dépister », et la colonne pratique portait le contenu de la leçon sous le titre (HAS, 2022).]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B3A6B" w:color="auto" w:val="clear"/>
          </w:tcPr>
          <w:p>
            <w:r>
              <w:rPr>
                <w:rFonts w:ascii="Times New Roman" w:cs="Times New Roman" w:eastAsia="Times New Roman" w:hAnsi="Times New Roman"/>
                <w:b/>
                <w:bCs/>
                <w:color w:val="FFFFFF"/>
                <w:sz w:val="20"/>
                <w:szCs w:val="20"/>
              </w:rPr>
              <w:t xml:space="preserve">Action</w:t>
            </w:r>
          </w:p>
        </w:tc>
        <w:tc>
          <w:tcPr>
            <w:shd w:fill="1B3A6B" w:color="auto" w:val="clear"/>
          </w:tcPr>
          <w:p>
            <w:r>
              <w:rPr>
                <w:rFonts w:ascii="Times New Roman" w:cs="Times New Roman" w:eastAsia="Times New Roman" w:hAnsi="Times New Roman"/>
                <w:b/>
                <w:bCs/>
                <w:color w:val="FFFFFF"/>
                <w:sz w:val="20"/>
                <w:szCs w:val="20"/>
              </w:rPr>
              <w:t xml:space="preserve">Ce que la HAS y met (Flash, PDF) — et sa transposition en ESSMS</w:t>
            </w:r>
          </w:p>
        </w:tc>
      </w:tr>
      <w:tr>
        <w:tc>
          <w:tcPr>
            <w:shd w:fill="EEF2F7" w:color="auto" w:val="clear"/>
          </w:tcPr>
          <w:p>
            <w:r>
              <w:rPr>
                <w:rFonts w:ascii="Times New Roman" w:cs="Times New Roman" w:eastAsia="Times New Roman" w:hAnsi="Times New Roman"/>
                <w:color w:val="1F2937"/>
                <w:sz w:val="20"/>
                <w:szCs w:val="20"/>
              </w:rPr>
              <w:t xml:space="preserve">1. Informer</w:t>
            </w:r>
          </w:p>
        </w:tc>
        <w:tc>
          <w:tcPr>
            <w:shd w:fill="EEF2F7" w:color="auto" w:val="clear"/>
          </w:tcPr>
          <w:p>
            <w:r>
              <w:rPr>
                <w:rFonts w:ascii="Times New Roman" w:cs="Times New Roman" w:eastAsia="Times New Roman" w:hAnsi="Times New Roman"/>
                <w:color w:val="1F2937"/>
                <w:sz w:val="20"/>
                <w:szCs w:val="20"/>
              </w:rPr>
              <w:t xml:space="preserve">HAS : information du patient et de son entourage sur le bon usage et les effets secondaires qui doivent faire consulter rapidement — constipation sévère, diarrhée inexpliquée, douleurs abdominales, vomissements, difficultés à respirer. En ESSMS : la personne et l'équipe connaissent ces signes.</w:t>
            </w:r>
          </w:p>
        </w:tc>
      </w:tr>
      <w:tr>
        <w:tc>
          <w:tcPr>
            <w:shd w:fill="FFFFFF" w:color="auto" w:val="clear"/>
          </w:tcPr>
          <w:p>
            <w:r>
              <w:rPr>
                <w:rFonts w:ascii="Times New Roman" w:cs="Times New Roman" w:eastAsia="Times New Roman" w:hAnsi="Times New Roman"/>
                <w:color w:val="1F2937"/>
                <w:sz w:val="20"/>
                <w:szCs w:val="20"/>
              </w:rPr>
              <w:t xml:space="preserve">2. Dépister</w:t>
            </w:r>
          </w:p>
        </w:tc>
        <w:tc>
          <w:tcPr>
            <w:shd w:fill="FFFFFF" w:color="auto" w:val="clear"/>
          </w:tcPr>
          <w:p>
            <w:r>
              <w:rPr>
                <w:rFonts w:ascii="Times New Roman" w:cs="Times New Roman" w:eastAsia="Times New Roman" w:hAnsi="Times New Roman"/>
                <w:color w:val="1F2937"/>
                <w:sz w:val="20"/>
                <w:szCs w:val="20"/>
              </w:rPr>
              <w:t xml:space="preserve">HAS : facteurs de risque avant toute prescription, interactions (métabolisme glucidique et lipidique), non-observance ou arrêt brutal, tout changement de comportement ou syndrome douloureux abdominal. En ESSMS : signaler non-observance, changement de comportement, plainte abdominale.</w:t>
            </w:r>
          </w:p>
        </w:tc>
      </w:tr>
      <w:tr>
        <w:tc>
          <w:tcPr>
            <w:shd w:fill="EEF2F7" w:color="auto" w:val="clear"/>
          </w:tcPr>
          <w:p>
            <w:r>
              <w:rPr>
                <w:rFonts w:ascii="Times New Roman" w:cs="Times New Roman" w:eastAsia="Times New Roman" w:hAnsi="Times New Roman"/>
                <w:color w:val="1F2937"/>
                <w:sz w:val="20"/>
                <w:szCs w:val="20"/>
              </w:rPr>
              <w:t xml:space="preserve">3. Surveiller</w:t>
            </w:r>
          </w:p>
        </w:tc>
        <w:tc>
          <w:tcPr>
            <w:shd w:fill="EEF2F7" w:color="auto" w:val="clear"/>
          </w:tcPr>
          <w:p>
            <w:r>
              <w:rPr>
                <w:rFonts w:ascii="Times New Roman" w:cs="Times New Roman" w:eastAsia="Times New Roman" w:hAnsi="Times New Roman"/>
                <w:color w:val="1F2937"/>
                <w:sz w:val="20"/>
                <w:szCs w:val="20"/>
              </w:rPr>
              <w:t xml:space="preserve">HAS : effets neurologiques, métaboliques (poids, périmètre abdominal), neurovégétatifs (constipation, sécheresse buccale), biologiques (glycémie, lipides), cardio-vasculaires (TA, ECG), par des examens cliniques répétés et une réévaluation des traitements. En ESSMS : poids, transit, repas, tremblements — consignés et datés ; ne pas supposer que « ça va » parce que la personne ne se plaint pas.</w:t>
            </w:r>
          </w:p>
        </w:tc>
      </w:tr>
      <w:tr>
        <w:tc>
          <w:tcPr>
            <w:shd w:fill="FFFFFF" w:color="auto" w:val="clear"/>
          </w:tcPr>
          <w:p>
            <w:r>
              <w:rPr>
                <w:rFonts w:ascii="Times New Roman" w:cs="Times New Roman" w:eastAsia="Times New Roman" w:hAnsi="Times New Roman"/>
                <w:color w:val="1F2937"/>
                <w:sz w:val="20"/>
                <w:szCs w:val="20"/>
              </w:rPr>
              <w:t xml:space="preserve">4. Sensibiliser</w:t>
            </w:r>
          </w:p>
        </w:tc>
        <w:tc>
          <w:tcPr>
            <w:shd w:fill="FFFFFF" w:color="auto" w:val="clear"/>
          </w:tcPr>
          <w:p>
            <w:r>
              <w:rPr>
                <w:rFonts w:ascii="Times New Roman" w:cs="Times New Roman" w:eastAsia="Times New Roman" w:hAnsi="Times New Roman"/>
                <w:color w:val="1F2937"/>
                <w:sz w:val="20"/>
                <w:szCs w:val="20"/>
              </w:rPr>
              <w:t xml:space="preserve">HAS : sensibilisation et formation des professionnels de santé aux risques encourus, et vigilance sur le biais qui met toute symptomatologie sur le compte de la maladie psychiatrique. En ESSMS : former l'équipe éducative aux signes d'alerte — et à ce biais, l'overshadowing de la leçon 16.</w:t>
            </w:r>
          </w:p>
        </w:tc>
      </w:tr>
    </w:tbl>
    <w:p>
      <w:pPr>
        <w:spacing w:after="80" w:before="80"/>
      </w:pPr>
    </w:p>
    <w:p>
      <w:pPr>
        <w:spacing w:after="120" w:before="300"/>
      </w:pPr>
      <w:r>
        <w:rPr>
          <w:rFonts w:ascii="Times New Roman" w:cs="Times New Roman" w:eastAsia="Times New Roman" w:hAnsi="Times New Roman"/>
          <w:b/>
          <w:bCs/>
          <w:color w:val="1B3A6B"/>
          <w:sz w:val="30"/>
          <w:szCs w:val="30"/>
        </w:rPr>
        <w:t xml:space="preserve">🛠️ Pratique (80 %) — Exercices d'apprentissage actif</w:t>
      </w:r>
    </w:p>
    <w:p>
      <w:pPr>
        <w:spacing w:after="80" w:before="200"/>
      </w:pPr>
      <w:r>
        <w:rPr>
          <w:rFonts w:ascii="Times New Roman" w:cs="Times New Roman" w:eastAsia="Times New Roman" w:hAnsi="Times New Roman"/>
          <w:b/>
          <w:bCs/>
          <w:color w:val="1F2937"/>
          <w:sz w:val="26"/>
          <w:szCs w:val="26"/>
        </w:rPr>
        <w:t xml:space="preserve">Exercice 1 — Identification des classes (compréhension active)</w:t>
      </w:r>
    </w:p>
    <w:p>
      <w:pPr>
        <w:spacing w:after="60" w:before="60"/>
      </w:pPr>
      <w:r>
        <w:rPr>
          <w:rFonts w:ascii="Times New Roman" w:cs="Times New Roman" w:eastAsia="Times New Roman" w:hAnsi="Times New Roman"/>
          <w:color w:val="1F2937"/>
          <w:sz w:val="22"/>
          <w:szCs w:val="22"/>
        </w:rPr>
        <w:t xml:space="preserve">Pour chacun des médicaments ou descriptions ci-dessous, identifie la classe (antidépresseur, antipsychotique, thymorégulateur, anxiolytique, psychostimulant) et l'indication principale. Aucune source externe n'est nécessaire : utilise uniquement les informations de la section théorie.</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B3A6B" w:color="auto" w:val="clear"/>
          </w:tcPr>
          <w:p>
            <w:r>
              <w:rPr>
                <w:rFonts w:ascii="Times New Roman" w:cs="Times New Roman" w:eastAsia="Times New Roman" w:hAnsi="Times New Roman"/>
                <w:b/>
                <w:bCs/>
                <w:color w:val="FFFFFF"/>
                <w:sz w:val="20"/>
                <w:szCs w:val="20"/>
              </w:rPr>
              <w:t xml:space="preserve">Élément</w:t>
            </w:r>
          </w:p>
        </w:tc>
        <w:tc>
          <w:tcPr>
            <w:shd w:fill="1B3A6B" w:color="auto" w:val="clear"/>
          </w:tcPr>
          <w:p>
            <w:r>
              <w:rPr>
                <w:rFonts w:ascii="Times New Roman" w:cs="Times New Roman" w:eastAsia="Times New Roman" w:hAnsi="Times New Roman"/>
                <w:b/>
                <w:bCs/>
                <w:color w:val="FFFFFF"/>
                <w:sz w:val="20"/>
                <w:szCs w:val="20"/>
              </w:rPr>
              <w:t xml:space="preserve">Classe probable / Indication</w:t>
            </w:r>
          </w:p>
        </w:tc>
      </w:tr>
      <w:tr>
        <w:tc>
          <w:tcPr>
            <w:shd w:fill="EEF2F7" w:color="auto" w:val="clear"/>
          </w:tcPr>
          <w:p>
            <w:r>
              <w:rPr>
                <w:rFonts w:ascii="Times New Roman" w:cs="Times New Roman" w:eastAsia="Times New Roman" w:hAnsi="Times New Roman"/>
                <w:color w:val="1F2937"/>
                <w:sz w:val="20"/>
                <w:szCs w:val="20"/>
              </w:rPr>
              <w:t xml:space="preserve">a) Lithium (Téralithe)</w:t>
            </w:r>
          </w:p>
        </w:tc>
        <w:tc>
          <w:tcPr>
            <w:shd w:fill="EEF2F7" w:color="auto" w:val="clear"/>
          </w:tcPr>
          <w:p>
            <w:r>
              <w:rPr>
                <w:rFonts w:ascii="Times New Roman" w:cs="Times New Roman" w:eastAsia="Times New Roman" w:hAnsi="Times New Roman"/>
                <w:color w:val="1F2937"/>
                <w:sz w:val="20"/>
                <w:szCs w:val="20"/>
              </w:rPr>
              <w:t xml:space="preserve">?</w:t>
            </w:r>
          </w:p>
        </w:tc>
      </w:tr>
      <w:tr>
        <w:tc>
          <w:tcPr>
            <w:shd w:fill="FFFFFF" w:color="auto" w:val="clear"/>
          </w:tcPr>
          <w:p>
            <w:r>
              <w:rPr>
                <w:rFonts w:ascii="Times New Roman" w:cs="Times New Roman" w:eastAsia="Times New Roman" w:hAnsi="Times New Roman"/>
                <w:color w:val="1F2937"/>
                <w:sz w:val="20"/>
                <w:szCs w:val="20"/>
              </w:rPr>
              <w:t xml:space="preserve">b) Sertraline</w:t>
            </w:r>
          </w:p>
        </w:tc>
        <w:tc>
          <w:tcPr>
            <w:shd w:fill="FFFFFF" w:color="auto" w:val="clear"/>
          </w:tcPr>
          <w:p>
            <w:r>
              <w:rPr>
                <w:rFonts w:ascii="Times New Roman" w:cs="Times New Roman" w:eastAsia="Times New Roman" w:hAnsi="Times New Roman"/>
                <w:color w:val="1F2937"/>
                <w:sz w:val="20"/>
                <w:szCs w:val="20"/>
              </w:rPr>
              <w:t xml:space="preserve">?</w:t>
            </w:r>
          </w:p>
        </w:tc>
      </w:tr>
      <w:tr>
        <w:tc>
          <w:tcPr>
            <w:shd w:fill="EEF2F7" w:color="auto" w:val="clear"/>
          </w:tcPr>
          <w:p>
            <w:r>
              <w:rPr>
                <w:rFonts w:ascii="Times New Roman" w:cs="Times New Roman" w:eastAsia="Times New Roman" w:hAnsi="Times New Roman"/>
                <w:color w:val="1F2937"/>
                <w:sz w:val="20"/>
                <w:szCs w:val="20"/>
              </w:rPr>
              <w:t xml:space="preserve">c) Un médicament prescrit à un enfant pour améliorer son attention, avec surveillance du poids et de la tension artérielle</w:t>
            </w:r>
          </w:p>
        </w:tc>
        <w:tc>
          <w:tcPr>
            <w:shd w:fill="EEF2F7" w:color="auto" w:val="clear"/>
          </w:tcPr>
          <w:p>
            <w:r>
              <w:rPr>
                <w:rFonts w:ascii="Times New Roman" w:cs="Times New Roman" w:eastAsia="Times New Roman" w:hAnsi="Times New Roman"/>
                <w:color w:val="1F2937"/>
                <w:sz w:val="20"/>
                <w:szCs w:val="20"/>
              </w:rPr>
              <w:t xml:space="preserve">?</w:t>
            </w:r>
          </w:p>
        </w:tc>
      </w:tr>
      <w:tr>
        <w:tc>
          <w:tcPr>
            <w:shd w:fill="FFFFFF" w:color="auto" w:val="clear"/>
          </w:tcPr>
          <w:p>
            <w:r>
              <w:rPr>
                <w:rFonts w:ascii="Times New Roman" w:cs="Times New Roman" w:eastAsia="Times New Roman" w:hAnsi="Times New Roman"/>
                <w:color w:val="1F2937"/>
                <w:sz w:val="20"/>
                <w:szCs w:val="20"/>
              </w:rPr>
              <w:t xml:space="preserve">d) Halopéridol — prescrit pour réduire des hallucinations auditives intenses</w:t>
            </w:r>
          </w:p>
        </w:tc>
        <w:tc>
          <w:tcPr>
            <w:shd w:fill="FFFFFF" w:color="auto" w:val="clear"/>
          </w:tcPr>
          <w:p>
            <w:r>
              <w:rPr>
                <w:rFonts w:ascii="Times New Roman" w:cs="Times New Roman" w:eastAsia="Times New Roman" w:hAnsi="Times New Roman"/>
                <w:color w:val="1F2937"/>
                <w:sz w:val="20"/>
                <w:szCs w:val="20"/>
              </w:rPr>
              <w:t xml:space="preserve">?</w:t>
            </w:r>
          </w:p>
        </w:tc>
      </w:tr>
      <w:tr>
        <w:tc>
          <w:tcPr>
            <w:shd w:fill="EEF2F7" w:color="auto" w:val="clear"/>
          </w:tcPr>
          <w:p>
            <w:r>
              <w:rPr>
                <w:rFonts w:ascii="Times New Roman" w:cs="Times New Roman" w:eastAsia="Times New Roman" w:hAnsi="Times New Roman"/>
                <w:color w:val="1F2937"/>
                <w:sz w:val="20"/>
                <w:szCs w:val="20"/>
              </w:rPr>
              <w:t xml:space="preserve">e) Un médicament dont l'arrêt brutal provoque anxiété rebond, insomnies et tremblements</w:t>
            </w:r>
          </w:p>
        </w:tc>
        <w:tc>
          <w:tcPr>
            <w:shd w:fill="EEF2F7" w:color="auto" w:val="clear"/>
          </w:tcPr>
          <w:p>
            <w:r>
              <w:rPr>
                <w:rFonts w:ascii="Times New Roman" w:cs="Times New Roman" w:eastAsia="Times New Roman" w:hAnsi="Times New Roman"/>
                <w:color w:val="1F2937"/>
                <w:sz w:val="20"/>
                <w:szCs w:val="20"/>
              </w:rPr>
              <w:t xml:space="preserve">?</w:t>
            </w:r>
          </w:p>
        </w:tc>
      </w:tr>
      <w:tr>
        <w:tc>
          <w:tcPr>
            <w:shd w:fill="FFFFFF" w:color="auto" w:val="clear"/>
          </w:tcPr>
          <w:p>
            <w:r>
              <w:rPr>
                <w:rFonts w:ascii="Times New Roman" w:cs="Times New Roman" w:eastAsia="Times New Roman" w:hAnsi="Times New Roman"/>
                <w:color w:val="1F2937"/>
                <w:sz w:val="20"/>
                <w:szCs w:val="20"/>
              </w:rPr>
              <w:t xml:space="preserve">f) Venlafaxine</w:t>
            </w:r>
          </w:p>
        </w:tc>
        <w:tc>
          <w:tcPr>
            <w:shd w:fill="FFFFFF" w:color="auto" w:val="clear"/>
          </w:tcPr>
          <w:p>
            <w:r>
              <w:rPr>
                <w:rFonts w:ascii="Times New Roman" w:cs="Times New Roman" w:eastAsia="Times New Roman" w:hAnsi="Times New Roman"/>
                <w:color w:val="1F2937"/>
                <w:sz w:val="20"/>
                <w:szCs w:val="20"/>
              </w:rPr>
              <w:t xml:space="preserve">?</w:t>
            </w:r>
          </w:p>
        </w:tc>
      </w:tr>
    </w:tbl>
    <w:p>
      <w:pPr>
        <w:spacing w:after="80" w:before="80"/>
      </w:pPr>
    </w:p>
    <w:p>
      <w:pPr>
        <w:spacing w:after="80" w:before="200"/>
      </w:pPr>
      <w:r>
        <w:rPr>
          <w:rFonts w:ascii="Times New Roman" w:cs="Times New Roman" w:eastAsia="Times New Roman" w:hAnsi="Times New Roman"/>
          <w:b/>
          <w:bCs/>
          <w:color w:val="1F2937"/>
          <w:sz w:val="26"/>
          <w:szCs w:val="26"/>
        </w:rPr>
        <w:t xml:space="preserve">Corrigé — Exercice 1</w:t>
      </w:r>
    </w:p>
    <w:p>
      <w:pPr>
        <w:shd w:fill="F3F4F6" w:color="auto" w:val="clear"/>
        <w:spacing w:after="80" w:before="80"/>
      </w:pPr>
      <w:r>
        <w:rPr>
          <w:rFonts w:ascii="Times New Roman" w:cs="Times New Roman" w:eastAsia="Times New Roman" w:hAnsi="Times New Roman"/>
          <w:i/>
          <w:iCs/>
          <w:color w:val="1F2937"/>
          <w:sz w:val="20"/>
          <w:szCs w:val="20"/>
        </w:rPr>
        <w:t xml:space="preserve">a) Lithium : THYMORÉGULATEUR — trouble bipolaire.</w:t>
      </w:r>
    </w:p>
    <w:p>
      <w:pPr>
        <w:shd w:fill="F3F4F6" w:color="auto" w:val="clear"/>
        <w:spacing w:after="80" w:before="80"/>
      </w:pPr>
      <w:r>
        <w:rPr>
          <w:rFonts w:ascii="Times New Roman" w:cs="Times New Roman" w:eastAsia="Times New Roman" w:hAnsi="Times New Roman"/>
          <w:i/>
          <w:iCs/>
          <w:color w:val="1F2937"/>
          <w:sz w:val="20"/>
          <w:szCs w:val="20"/>
        </w:rPr>
        <w:t xml:space="preserve">b) Sertraline : ANTIDÉPRESSEUR (ISRS) — dépression et certains troubles anxieux.</w:t>
      </w:r>
    </w:p>
    <w:p>
      <w:pPr>
        <w:shd w:fill="F3F4F6" w:color="auto" w:val="clear"/>
        <w:spacing w:after="80" w:before="80"/>
      </w:pPr>
      <w:r>
        <w:rPr>
          <w:rFonts w:ascii="Times New Roman" w:cs="Times New Roman" w:eastAsia="Times New Roman" w:hAnsi="Times New Roman"/>
          <w:i/>
          <w:iCs/>
          <w:color w:val="1F2937"/>
          <w:sz w:val="20"/>
          <w:szCs w:val="20"/>
        </w:rPr>
        <w:t xml:space="preserve">c) TDA/H : PSYCHOSTIMULANT — la surveillance du poids et de la tension artérielle correspond aux recommandations ANSM pour cette classe.</w:t>
      </w:r>
    </w:p>
    <w:p>
      <w:pPr>
        <w:shd w:fill="F3F4F6" w:color="auto" w:val="clear"/>
        <w:spacing w:after="80" w:before="80"/>
      </w:pPr>
      <w:r>
        <w:rPr>
          <w:rFonts w:ascii="Times New Roman" w:cs="Times New Roman" w:eastAsia="Times New Roman" w:hAnsi="Times New Roman"/>
          <w:i/>
          <w:iCs/>
          <w:color w:val="1F2937"/>
          <w:sz w:val="20"/>
          <w:szCs w:val="20"/>
        </w:rPr>
        <w:t xml:space="preserve">d) Halopéridol : ANTIPSYCHOTIQUE de 1ère génération — indiqué sur les symptômes positifs (hallucinations, délires).</w:t>
      </w:r>
    </w:p>
    <w:p>
      <w:pPr>
        <w:shd w:fill="F3F4F6" w:color="auto" w:val="clear"/>
        <w:spacing w:after="80" w:before="80"/>
      </w:pPr>
      <w:r>
        <w:rPr>
          <w:rFonts w:ascii="Times New Roman" w:cs="Times New Roman" w:eastAsia="Times New Roman" w:hAnsi="Times New Roman"/>
          <w:i/>
          <w:iCs/>
          <w:color w:val="1F2937"/>
          <w:sz w:val="20"/>
          <w:szCs w:val="20"/>
        </w:rPr>
        <w:t xml:space="preserve">e) Arrêt brutal → syndrome de sevrage : ANXIOLYTIQUE ou HYPNOTIQUE (benzodiazépine) — la dépendance physique et le sevrage sont caractéristiques de cette classe.</w:t>
      </w:r>
    </w:p>
    <w:p>
      <w:pPr>
        <w:shd w:fill="F3F4F6" w:color="auto" w:val="clear"/>
        <w:spacing w:after="80" w:before="80"/>
      </w:pPr>
      <w:r>
        <w:rPr>
          <w:rFonts w:ascii="Times New Roman" w:cs="Times New Roman" w:eastAsia="Times New Roman" w:hAnsi="Times New Roman"/>
          <w:i/>
          <w:iCs/>
          <w:color w:val="1F2937"/>
          <w:sz w:val="20"/>
          <w:szCs w:val="20"/>
        </w:rPr>
        <w:t xml:space="preserve">f) Venlafaxine : ANTIDÉPRESSEUR (IRSNa) — dépression et certains troubles anxieux.</w:t>
      </w:r>
    </w:p>
    <w:p>
      <w:pPr>
        <w:spacing w:after="80" w:before="80"/>
      </w:pPr>
    </w:p>
    <w:p>
      <w:pPr>
        <w:spacing w:after="80" w:before="200"/>
      </w:pPr>
      <w:r>
        <w:rPr>
          <w:rFonts w:ascii="Times New Roman" w:cs="Times New Roman" w:eastAsia="Times New Roman" w:hAnsi="Times New Roman"/>
          <w:b/>
          <w:bCs/>
          <w:color w:val="1F2937"/>
          <w:sz w:val="26"/>
          <w:szCs w:val="26"/>
        </w:rPr>
        <w:t xml:space="preserve">Exercice 2 — Vignette clinique : repérage d'effets indésirables</w:t>
      </w:r>
    </w:p>
    <w:p>
      <w:pPr>
        <w:shd w:fill="F3F4F6" w:color="auto" w:val="clear"/>
        <w:spacing w:after="80" w:before="80"/>
      </w:pPr>
      <w:r>
        <w:rPr>
          <w:rFonts w:ascii="Times New Roman" w:cs="Times New Roman" w:eastAsia="Times New Roman" w:hAnsi="Times New Roman"/>
          <w:b/>
          <w:bCs/>
          <w:color w:val="1F2937"/>
          <w:sz w:val="22"/>
          <w:szCs w:val="22"/>
        </w:rPr>
        <w:t xml:space="preserve">Situation : </w:t>
      </w:r>
      <w:r>
        <w:rPr>
          <w:rFonts w:ascii="Times New Roman" w:cs="Times New Roman" w:eastAsia="Times New Roman" w:hAnsi="Times New Roman"/>
          <w:i/>
          <w:iCs/>
          <w:color w:val="1F2937"/>
          <w:sz w:val="22"/>
          <w:szCs w:val="22"/>
        </w:rPr>
        <w:t xml:space="preserve">Marco, 34 ans, accompagné depuis 3 ans dans un foyer d'hébergement. Depuis quelques semaines, l'équipe remarque qu'il marche plus lentement, qu'il a les mains qui tremblent et qu'il bave parfois. Il prend un traitement psychiatrique depuis son entrée dans le foyer. Il n'en parle pas spontanément.</w:t>
      </w:r>
    </w:p>
    <w:p>
      <w:pPr>
        <w:spacing w:after="60" w:before="60"/>
      </w:pPr>
      <w:r>
        <w:rPr>
          <w:rFonts w:ascii="Times New Roman" w:cs="Times New Roman" w:eastAsia="Times New Roman" w:hAnsi="Times New Roman"/>
          <w:color w:val="1F2937"/>
          <w:sz w:val="22"/>
          <w:szCs w:val="22"/>
        </w:rPr>
        <w:t xml:space="preserve">Questions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1. Quelle classe de psychotrope peut expliquer ces signes ? Quels sont ces signes en termes sémiologiques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2. Quelle est ta posture en tant qu'éducateur ou chef de service ? Vers qui transmets-tu cette observation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3. Ces signes sont-ils urgents ? Comment le sais-tu ?</w:t>
      </w:r>
    </w:p>
    <w:p>
      <w:pPr>
        <w:spacing w:after="80" w:before="80"/>
      </w:pPr>
    </w:p>
    <w:p>
      <w:pPr>
        <w:spacing w:after="80" w:before="200"/>
      </w:pPr>
      <w:r>
        <w:rPr>
          <w:rFonts w:ascii="Times New Roman" w:cs="Times New Roman" w:eastAsia="Times New Roman" w:hAnsi="Times New Roman"/>
          <w:b/>
          <w:bCs/>
          <w:color w:val="1F2937"/>
          <w:sz w:val="26"/>
          <w:szCs w:val="26"/>
        </w:rPr>
        <w:t xml:space="preserve">Corrigé — Exercice 2</w:t>
      </w:r>
    </w:p>
    <w:p>
      <w:pPr>
        <w:shd w:fill="F3F4F6" w:color="auto" w:val="clear"/>
        <w:spacing w:after="80" w:before="80"/>
      </w:pPr>
      <w:r>
        <w:rPr>
          <w:rFonts w:ascii="Times New Roman" w:cs="Times New Roman" w:eastAsia="Times New Roman" w:hAnsi="Times New Roman"/>
          <w:i/>
          <w:iCs/>
          <w:color w:val="1F2937"/>
          <w:sz w:val="20"/>
          <w:szCs w:val="20"/>
        </w:rPr>
        <w:t xml:space="preserve">1. Ces trois signes — ralentissement moteur, tremblements des extrémités et sialorrhée (excès de salive) — constituent un tableau évocateur d'un syndrome extrapyramidal, effet indésirable reconnu des antipsychotiques de 1ère génération (voir théorie). Les antipsychotiques de 2ème génération peuvent aussi en être responsables, dans une moindre mesure. Il s'agit d'effets indésirables moteurs liés à l'action de ces médicaments sur les voies dopaminergiques extrapyramidales.</w:t>
      </w:r>
    </w:p>
    <w:p>
      <w:pPr>
        <w:shd w:fill="F3F4F6" w:color="auto" w:val="clear"/>
        <w:spacing w:after="80" w:before="80"/>
      </w:pPr>
      <w:r>
        <w:rPr>
          <w:rFonts w:ascii="Times New Roman" w:cs="Times New Roman" w:eastAsia="Times New Roman" w:hAnsi="Times New Roman"/>
          <w:i/>
          <w:iCs/>
          <w:color w:val="1F2937"/>
          <w:sz w:val="20"/>
          <w:szCs w:val="20"/>
        </w:rPr>
        <w:t xml:space="preserve">2. Posture : (a) noter précisément et dater les observations dans le dossier de Marco ; (b) les transmettre à l'infirmier de référence ou au médecin traitant sans interprétation diagnostique ; (c) ne pas suggérer à Marco d'arrêter ou de modifier son traitement. La règle de prudence : toute modification d'un traitement psychiatrique relève du médecin, pas de l'équipe éducative.</w:t>
      </w:r>
    </w:p>
    <w:p>
      <w:pPr>
        <w:shd w:fill="F3F4F6" w:color="auto" w:val="clear"/>
        <w:spacing w:after="80" w:before="80"/>
      </w:pPr>
      <w:r>
        <w:rPr>
          <w:rFonts w:ascii="Times New Roman" w:cs="Times New Roman" w:eastAsia="Times New Roman" w:hAnsi="Times New Roman"/>
          <w:i/>
          <w:iCs/>
          <w:color w:val="1F2937"/>
          <w:sz w:val="20"/>
          <w:szCs w:val="20"/>
        </w:rPr>
        <w:t xml:space="preserve">3. En l'état, ces signes ne constituent pas une urgence vitale immédiate. Ils méritent cependant un signalement médical rapide (dans la journée ou le lendemain) car un syndrome extrapyramidal installé peut s'aggraver et certaines formes — notamment l'akathisie intense — ont un impact majeur sur la qualité de vie. Si Marco présentait en plus de la fièvre, de la rigidité musculaire sévère, une confusion ou des sueurs profuses, il faudrait évoquer un syndrome malin des neuroleptiques — urgence médicale absolue à connaître même si on ne peut pas la diagnostiquer.</w:t>
      </w:r>
    </w:p>
    <w:p>
      <w:pPr>
        <w:spacing w:after="80" w:before="80"/>
      </w:pPr>
    </w:p>
    <w:p>
      <w:pPr>
        <w:spacing w:after="80" w:before="200"/>
      </w:pPr>
      <w:r>
        <w:rPr>
          <w:rFonts w:ascii="Times New Roman" w:cs="Times New Roman" w:eastAsia="Times New Roman" w:hAnsi="Times New Roman"/>
          <w:b/>
          <w:bCs/>
          <w:color w:val="1F2937"/>
          <w:sz w:val="26"/>
          <w:szCs w:val="26"/>
        </w:rPr>
        <w:t xml:space="preserve">Exercice 3 — Vignette clinique : surveillance d'un nouveau traitement</w:t>
      </w:r>
    </w:p>
    <w:p>
      <w:pPr>
        <w:shd w:fill="F3F4F6" w:color="auto" w:val="clear"/>
        <w:spacing w:after="80" w:before="80"/>
      </w:pPr>
      <w:r>
        <w:rPr>
          <w:rFonts w:ascii="Times New Roman" w:cs="Times New Roman" w:eastAsia="Times New Roman" w:hAnsi="Times New Roman"/>
          <w:b/>
          <w:bCs/>
          <w:color w:val="1F2937"/>
          <w:sz w:val="22"/>
          <w:szCs w:val="22"/>
        </w:rPr>
        <w:t xml:space="preserve">Situation : </w:t>
      </w:r>
      <w:r>
        <w:rPr>
          <w:rFonts w:ascii="Times New Roman" w:cs="Times New Roman" w:eastAsia="Times New Roman" w:hAnsi="Times New Roman"/>
          <w:i/>
          <w:iCs/>
          <w:color w:val="1F2937"/>
          <w:sz w:val="22"/>
          <w:szCs w:val="22"/>
        </w:rPr>
        <w:t xml:space="preserve">Lucie, 29 ans, vient de réintégrer le foyer après une hospitalisation de 3 semaines pour un épisode maniaque. Elle a été rééquilibrée avec un traitement adapté. Depuis son retour, elle se plaint d'être « toujours assoiffée » et mange beaucoup plus qu'avant. Elle fait remarquer qu'elle tremble parfois en tenant son verre au repas.</w:t>
      </w:r>
    </w:p>
    <w:p>
      <w:pPr>
        <w:spacing w:after="60" w:before="60"/>
      </w:pPr>
      <w:r>
        <w:rPr>
          <w:rFonts w:ascii="Times New Roman" w:cs="Times New Roman" w:eastAsia="Times New Roman" w:hAnsi="Times New Roman"/>
          <w:color w:val="1F2937"/>
          <w:sz w:val="22"/>
          <w:szCs w:val="22"/>
        </w:rPr>
        <w:t xml:space="preserve">Questions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1. Quelle classe de psychotrope est la plus probable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2. Quels signes surveiller particulièrement au quotidien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3. Lucie parle d'arrêter son traitement « parce que ça ne sert à rien ». Quelle est ta réponse ?</w:t>
      </w:r>
    </w:p>
    <w:p>
      <w:pPr>
        <w:spacing w:after="80" w:before="80"/>
      </w:pPr>
    </w:p>
    <w:p>
      <w:pPr>
        <w:spacing w:after="80" w:before="200"/>
      </w:pPr>
      <w:r>
        <w:rPr>
          <w:rFonts w:ascii="Times New Roman" w:cs="Times New Roman" w:eastAsia="Times New Roman" w:hAnsi="Times New Roman"/>
          <w:b/>
          <w:bCs/>
          <w:color w:val="1F2937"/>
          <w:sz w:val="26"/>
          <w:szCs w:val="26"/>
        </w:rPr>
        <w:t xml:space="preserve">Corrigé — Exercice 3</w:t>
      </w:r>
    </w:p>
    <w:p>
      <w:pPr>
        <w:shd w:fill="F3F4F6" w:color="auto" w:val="clear"/>
        <w:spacing w:after="80" w:before="80"/>
      </w:pPr>
      <w:r>
        <w:rPr>
          <w:rFonts w:ascii="Times New Roman" w:cs="Times New Roman" w:eastAsia="Times New Roman" w:hAnsi="Times New Roman"/>
          <w:i/>
          <w:iCs/>
          <w:color w:val="1F2937"/>
          <w:sz w:val="20"/>
          <w:szCs w:val="20"/>
        </w:rPr>
        <w:t xml:space="preserve">1. Le tableau — épisode maniaque traité, avec polydipsie (soif intense), hyperphagie et tremblements — oriente vers un THYMORÉGULATEUR, et notamment vers le Lithium, dont la prise de poids et les tremblements sont des effets indésirables décrits par l'ANSM (18/09/2026). La soif intense n'est pas sur les pages de cette leçon : règle de prudence, non sourcée ici — une soif ou des urines inhabituelles sous lithium se transmettent au médecin sans attendre, sans en tirer soi-même une conclusion sur le dosage. Attention : l'identification de la molécule précise relève du médecin. Ce qu'on peut faire : consigner et transmettre.</w:t>
      </w:r>
      <w:r>
        <w:rPr>
          <w:rFonts w:ascii="Times New Roman" w:cs="Times New Roman" w:eastAsia="Times New Roman" w:hAnsi="Times New Roman"/>
          <w:i/>
          <w:iCs/>
          <w:color w:val="6B7280"/>
          <w:sz w:val="20"/>
          <w:szCs w:val="20"/>
        </w:rPr>
        <w:t xml:space="preserve"> [Corrigé le 21/09/2026 : la soif était présentée comme « un signal d'alerte possible de lithémie trop élevée » — affirmation sans source dans la leçon, écrite comme un fait ; ramenée à une règle de prudence déclarée.]</w:t>
      </w:r>
    </w:p>
    <w:p>
      <w:pPr>
        <w:shd w:fill="F3F4F6" w:color="auto" w:val="clear"/>
        <w:spacing w:after="80" w:before="80"/>
      </w:pPr>
      <w:r>
        <w:rPr>
          <w:rFonts w:ascii="Times New Roman" w:cs="Times New Roman" w:eastAsia="Times New Roman" w:hAnsi="Times New Roman"/>
          <w:i/>
          <w:iCs/>
          <w:color w:val="1F2937"/>
          <w:sz w:val="20"/>
          <w:szCs w:val="20"/>
        </w:rPr>
        <w:t xml:space="preserve">2. Signes à surveiller au quotidien pour tout traitement thymorégulateur (ANSM, 18/09/2026) : évolution du poids, intensité des tremblements, signes hépatiques ou rénaux (fatigue anormale, jaunisse, changement de la miction), troubles du sommeil, et tout changement brutal de l'humeur (dont idées suicidaires — la règle de vigilance s'applique en début de traitement ou lors d'un changement de dosage).</w:t>
      </w:r>
    </w:p>
    <w:p>
      <w:pPr>
        <w:shd w:fill="F3F4F6" w:color="auto" w:val="clear"/>
        <w:spacing w:after="80" w:before="80"/>
      </w:pPr>
      <w:r>
        <w:rPr>
          <w:rFonts w:ascii="Times New Roman" w:cs="Times New Roman" w:eastAsia="Times New Roman" w:hAnsi="Times New Roman"/>
          <w:i/>
          <w:iCs/>
          <w:color w:val="1F2937"/>
          <w:sz w:val="20"/>
          <w:szCs w:val="20"/>
        </w:rPr>
        <w:t xml:space="preserve">3. La posture : ne pas minimiser (« ça va aller »), ne pas dramatiser, ne pas prendre position sur l'intérêt ou non du traitement. Reformuler et orienter : « Je comprends que c'est difficile à vivre. C'est exactement ce genre de ressenti que tu peux exprimer à ton médecin ou à l'infirmière lors de la prochaine consultation — ils peuvent adapter le traitement en tenant compte de ce que tu ressens. » Ne jamais acquiescer à l'idée d'un arrêt spontané d'un thymorégulateur, dont l'interruption brutale peut provoquer une rechute rapide.</w:t>
      </w:r>
    </w:p>
    <w:p>
      <w:pPr>
        <w:spacing w:after="80" w:before="80"/>
      </w:pPr>
    </w:p>
    <w:p>
      <w:pPr>
        <w:spacing w:after="120" w:before="300"/>
      </w:pPr>
      <w:r>
        <w:rPr>
          <w:rFonts w:ascii="Times New Roman" w:cs="Times New Roman" w:eastAsia="Times New Roman" w:hAnsi="Times New Roman"/>
          <w:b/>
          <w:bCs/>
          <w:color w:val="1B3A6B"/>
          <w:sz w:val="30"/>
          <w:szCs w:val="30"/>
        </w:rPr>
        <w:t xml:space="preserve">🎯 Challenge — Tableau de synthèse et posture professionnelle</w:t>
      </w:r>
    </w:p>
    <w:p>
      <w:pPr>
        <w:spacing w:after="60" w:before="60"/>
      </w:pPr>
      <w:r>
        <w:rPr>
          <w:rFonts w:ascii="Times New Roman" w:cs="Times New Roman" w:eastAsia="Times New Roman" w:hAnsi="Times New Roman"/>
          <w:color w:val="1F2937"/>
          <w:sz w:val="22"/>
          <w:szCs w:val="22"/>
        </w:rPr>
        <w:t xml:space="preserve">Complète le tableau ci-dessous sans revenir sur la théorie (test de mémorisation active). Pour chaque classe : un effet attendu principal, deux effets indésirables à surveiller, et un professionnel à alerter.</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fill="1B3A6B" w:color="auto" w:val="clear"/>
          </w:tcPr>
          <w:p>
            <w:r>
              <w:rPr>
                <w:rFonts w:ascii="Times New Roman" w:cs="Times New Roman" w:eastAsia="Times New Roman" w:hAnsi="Times New Roman"/>
                <w:b/>
                <w:bCs/>
                <w:color w:val="FFFFFF"/>
                <w:sz w:val="18"/>
                <w:szCs w:val="18"/>
              </w:rPr>
              <w:t xml:space="preserve">Classe</w:t>
            </w:r>
          </w:p>
        </w:tc>
        <w:tc>
          <w:tcPr>
            <w:tcBorders>
              <w:top w:val="single" w:color="CCCCCC" w:sz="1"/>
              <w:left w:val="single" w:color="CCCCCC" w:sz="1"/>
              <w:bottom w:val="single" w:color="CCCCCC" w:sz="1"/>
              <w:right w:val="single" w:color="CCCCCC" w:sz="1"/>
            </w:tcBorders>
            <w:shd w:fill="1B3A6B" w:color="auto" w:val="clear"/>
          </w:tcPr>
          <w:p>
            <w:r>
              <w:rPr>
                <w:rFonts w:ascii="Times New Roman" w:cs="Times New Roman" w:eastAsia="Times New Roman" w:hAnsi="Times New Roman"/>
                <w:b/>
                <w:bCs/>
                <w:color w:val="FFFFFF"/>
                <w:sz w:val="18"/>
                <w:szCs w:val="18"/>
              </w:rPr>
              <w:t xml:space="preserve">Indication principale</w:t>
            </w:r>
          </w:p>
        </w:tc>
        <w:tc>
          <w:tcPr>
            <w:tcBorders>
              <w:top w:val="single" w:color="CCCCCC" w:sz="1"/>
              <w:left w:val="single" w:color="CCCCCC" w:sz="1"/>
              <w:bottom w:val="single" w:color="CCCCCC" w:sz="1"/>
              <w:right w:val="single" w:color="CCCCCC" w:sz="1"/>
            </w:tcBorders>
            <w:shd w:fill="1B3A6B" w:color="auto" w:val="clear"/>
          </w:tcPr>
          <w:p>
            <w:r>
              <w:rPr>
                <w:rFonts w:ascii="Times New Roman" w:cs="Times New Roman" w:eastAsia="Times New Roman" w:hAnsi="Times New Roman"/>
                <w:b/>
                <w:bCs/>
                <w:color w:val="FFFFFF"/>
                <w:sz w:val="18"/>
                <w:szCs w:val="18"/>
              </w:rPr>
              <w:t xml:space="preserve">Effet attendu</w:t>
            </w:r>
          </w:p>
        </w:tc>
        <w:tc>
          <w:tcPr>
            <w:tcBorders>
              <w:top w:val="single" w:color="CCCCCC" w:sz="1"/>
              <w:left w:val="single" w:color="CCCCCC" w:sz="1"/>
              <w:bottom w:val="single" w:color="CCCCCC" w:sz="1"/>
              <w:right w:val="single" w:color="CCCCCC" w:sz="1"/>
            </w:tcBorders>
            <w:shd w:fill="1B3A6B" w:color="auto" w:val="clear"/>
          </w:tcPr>
          <w:p>
            <w:r>
              <w:rPr>
                <w:rFonts w:ascii="Times New Roman" w:cs="Times New Roman" w:eastAsia="Times New Roman" w:hAnsi="Times New Roman"/>
                <w:b/>
                <w:bCs/>
                <w:color w:val="FFFFFF"/>
                <w:sz w:val="18"/>
                <w:szCs w:val="18"/>
              </w:rPr>
              <w:t xml:space="preserve">2 effets indésirables à surveiller</w:t>
            </w:r>
          </w:p>
        </w:tc>
        <w:tc>
          <w:tcPr>
            <w:tcBorders>
              <w:top w:val="single" w:color="CCCCCC" w:sz="1"/>
              <w:left w:val="single" w:color="CCCCCC" w:sz="1"/>
              <w:bottom w:val="single" w:color="CCCCCC" w:sz="1"/>
              <w:right w:val="single" w:color="CCCCCC" w:sz="1"/>
            </w:tcBorders>
            <w:shd w:fill="1B3A6B" w:color="auto" w:val="clear"/>
          </w:tcPr>
          <w:p>
            <w:r>
              <w:rPr>
                <w:rFonts w:ascii="Times New Roman" w:cs="Times New Roman" w:eastAsia="Times New Roman" w:hAnsi="Times New Roman"/>
                <w:b/>
                <w:bCs/>
                <w:color w:val="FFFFFF"/>
                <w:sz w:val="18"/>
                <w:szCs w:val="18"/>
              </w:rPr>
              <w:t xml:space="preserve">Professionnel à alerter</w:t>
            </w:r>
          </w:p>
        </w:tc>
      </w:tr>
      <w:tr>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Antidépresseur</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w:t>
            </w:r>
          </w:p>
        </w:tc>
      </w:tr>
      <w:tr>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Antipsychotique</w:t>
            </w:r>
          </w:p>
        </w:tc>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w:t>
            </w:r>
          </w:p>
        </w:tc>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w:t>
            </w:r>
          </w:p>
        </w:tc>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w:t>
            </w:r>
          </w:p>
        </w:tc>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w:t>
            </w:r>
          </w:p>
        </w:tc>
      </w:tr>
      <w:tr>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Thymorégulateur</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w:t>
            </w:r>
          </w:p>
        </w:tc>
      </w:tr>
      <w:tr>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Anxiolytique / Hypnotique</w:t>
            </w:r>
          </w:p>
        </w:tc>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w:t>
            </w:r>
          </w:p>
        </w:tc>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w:t>
            </w:r>
          </w:p>
        </w:tc>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w:t>
            </w:r>
          </w:p>
        </w:tc>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w:t>
            </w:r>
          </w:p>
        </w:tc>
      </w:tr>
      <w:tr>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Psychostimulant</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w:t>
            </w:r>
          </w:p>
        </w:tc>
      </w:tr>
    </w:tbl>
    <w:p>
      <w:pPr>
        <w:spacing w:after="80" w:before="80"/>
      </w:pPr>
    </w:p>
    <w:p>
      <w:pPr>
        <w:spacing w:after="80" w:before="200"/>
      </w:pPr>
      <w:r>
        <w:rPr>
          <w:rFonts w:ascii="Times New Roman" w:cs="Times New Roman" w:eastAsia="Times New Roman" w:hAnsi="Times New Roman"/>
          <w:b/>
          <w:bCs/>
          <w:color w:val="1F2937"/>
          <w:sz w:val="26"/>
          <w:szCs w:val="26"/>
        </w:rPr>
        <w:t xml:space="preserve">Corrigé — Challenge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fill="1B3A6B" w:color="auto" w:val="clear"/>
          </w:tcPr>
          <w:p>
            <w:r>
              <w:rPr>
                <w:rFonts w:ascii="Times New Roman" w:cs="Times New Roman" w:eastAsia="Times New Roman" w:hAnsi="Times New Roman"/>
                <w:b/>
                <w:bCs/>
                <w:color w:val="FFFFFF"/>
                <w:sz w:val="18"/>
                <w:szCs w:val="18"/>
              </w:rPr>
              <w:t xml:space="preserve">Classe</w:t>
            </w:r>
          </w:p>
        </w:tc>
        <w:tc>
          <w:tcPr>
            <w:tcBorders>
              <w:top w:val="single" w:color="CCCCCC" w:sz="1"/>
              <w:left w:val="single" w:color="CCCCCC" w:sz="1"/>
              <w:bottom w:val="single" w:color="CCCCCC" w:sz="1"/>
              <w:right w:val="single" w:color="CCCCCC" w:sz="1"/>
            </w:tcBorders>
            <w:shd w:fill="1B3A6B" w:color="auto" w:val="clear"/>
          </w:tcPr>
          <w:p>
            <w:r>
              <w:rPr>
                <w:rFonts w:ascii="Times New Roman" w:cs="Times New Roman" w:eastAsia="Times New Roman" w:hAnsi="Times New Roman"/>
                <w:b/>
                <w:bCs/>
                <w:color w:val="FFFFFF"/>
                <w:sz w:val="18"/>
                <w:szCs w:val="18"/>
              </w:rPr>
              <w:t xml:space="preserve">Indication principale</w:t>
            </w:r>
          </w:p>
        </w:tc>
        <w:tc>
          <w:tcPr>
            <w:tcBorders>
              <w:top w:val="single" w:color="CCCCCC" w:sz="1"/>
              <w:left w:val="single" w:color="CCCCCC" w:sz="1"/>
              <w:bottom w:val="single" w:color="CCCCCC" w:sz="1"/>
              <w:right w:val="single" w:color="CCCCCC" w:sz="1"/>
            </w:tcBorders>
            <w:shd w:fill="1B3A6B" w:color="auto" w:val="clear"/>
          </w:tcPr>
          <w:p>
            <w:r>
              <w:rPr>
                <w:rFonts w:ascii="Times New Roman" w:cs="Times New Roman" w:eastAsia="Times New Roman" w:hAnsi="Times New Roman"/>
                <w:b/>
                <w:bCs/>
                <w:color w:val="FFFFFF"/>
                <w:sz w:val="18"/>
                <w:szCs w:val="18"/>
              </w:rPr>
              <w:t xml:space="preserve">Effet attendu</w:t>
            </w:r>
          </w:p>
        </w:tc>
        <w:tc>
          <w:tcPr>
            <w:tcBorders>
              <w:top w:val="single" w:color="CCCCCC" w:sz="1"/>
              <w:left w:val="single" w:color="CCCCCC" w:sz="1"/>
              <w:bottom w:val="single" w:color="CCCCCC" w:sz="1"/>
              <w:right w:val="single" w:color="CCCCCC" w:sz="1"/>
            </w:tcBorders>
            <w:shd w:fill="1B3A6B" w:color="auto" w:val="clear"/>
          </w:tcPr>
          <w:p>
            <w:r>
              <w:rPr>
                <w:rFonts w:ascii="Times New Roman" w:cs="Times New Roman" w:eastAsia="Times New Roman" w:hAnsi="Times New Roman"/>
                <w:b/>
                <w:bCs/>
                <w:color w:val="FFFFFF"/>
                <w:sz w:val="18"/>
                <w:szCs w:val="18"/>
              </w:rPr>
              <w:t xml:space="preserve">2 effets indésirables à surveiller</w:t>
            </w:r>
          </w:p>
        </w:tc>
        <w:tc>
          <w:tcPr>
            <w:tcBorders>
              <w:top w:val="single" w:color="CCCCCC" w:sz="1"/>
              <w:left w:val="single" w:color="CCCCCC" w:sz="1"/>
              <w:bottom w:val="single" w:color="CCCCCC" w:sz="1"/>
              <w:right w:val="single" w:color="CCCCCC" w:sz="1"/>
            </w:tcBorders>
            <w:shd w:fill="1B3A6B" w:color="auto" w:val="clear"/>
          </w:tcPr>
          <w:p>
            <w:r>
              <w:rPr>
                <w:rFonts w:ascii="Times New Roman" w:cs="Times New Roman" w:eastAsia="Times New Roman" w:hAnsi="Times New Roman"/>
                <w:b/>
                <w:bCs/>
                <w:color w:val="FFFFFF"/>
                <w:sz w:val="18"/>
                <w:szCs w:val="18"/>
              </w:rPr>
              <w:t xml:space="preserve">Professionnel à alerter</w:t>
            </w:r>
          </w:p>
        </w:tc>
      </w:tr>
      <w:tr>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Antidépresseur</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Dépression, troubles anxieux</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Amélioration de l'humeur (délai 2 à 4 semaines)</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Syndrome de sevrage à l'arrêt brutal ; effets indésirables surtout en début de traitement ou à l'augmentation des doses (ANSM)</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Médecin, infirmier</w:t>
            </w:r>
          </w:p>
        </w:tc>
      </w:tr>
      <w:tr>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Antipsychotique</w:t>
            </w:r>
          </w:p>
        </w:tc>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Schizophrénie, trouble bipolaire avec psychose</w:t>
            </w:r>
          </w:p>
        </w:tc>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Réduction hallucinations, délires ; apaisement</w:t>
            </w:r>
          </w:p>
        </w:tc>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Syndrome extrapyramidal (tremblements, rigidité) ; constipation / fausse route ; prise de poids</w:t>
            </w:r>
          </w:p>
        </w:tc>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Médecin, infirmier (signalement rapide si signes moteurs, transit bloqué ou fausse route ; urgence si fièvre + rigidité + confusion — syndrome malin)</w:t>
            </w:r>
          </w:p>
        </w:tc>
      </w:tr>
      <w:tr>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Thymorégulateur</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Trouble bipolaire</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Stabilisation de l'humeur, réduction des épisodes</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Tremblements ; prise de poids, soif intense (lithium) ; réactions cutanées graves</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Médecin, infirmier (transmission rapide si soif, urines ou tremblements inhabituels)</w:t>
            </w:r>
          </w:p>
        </w:tc>
      </w:tr>
      <w:tr>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Anxiolytique / Hypnotique</w:t>
            </w:r>
          </w:p>
        </w:tc>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Anxiété, insomnie</w:t>
            </w:r>
          </w:p>
        </w:tc>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Sédation, réduction de l'anxiété</w:t>
            </w:r>
          </w:p>
        </w:tc>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Dépendance physique ; risque de chutes (sédation)</w:t>
            </w:r>
          </w:p>
        </w:tc>
        <w:tc>
          <w:tcPr>
            <w:tcBorders>
              <w:top w:val="single" w:color="CCCCCC" w:sz="1"/>
              <w:left w:val="single" w:color="CCCCCC" w:sz="1"/>
              <w:bottom w:val="single" w:color="CCCCCC" w:sz="1"/>
              <w:right w:val="single" w:color="CCCCCC" w:sz="1"/>
            </w:tcBorders>
            <w:shd w:fill="FFFFFF" w:color="auto" w:val="clear"/>
          </w:tcPr>
          <w:p>
            <w:r>
              <w:rPr>
                <w:rFonts w:ascii="Times New Roman" w:cs="Times New Roman" w:eastAsia="Times New Roman" w:hAnsi="Times New Roman"/>
                <w:color w:val="1F2937"/>
                <w:sz w:val="18"/>
                <w:szCs w:val="18"/>
              </w:rPr>
              <w:t xml:space="preserve">Infirmier, médecin si chute ou sevrage</w:t>
            </w:r>
          </w:p>
        </w:tc>
      </w:tr>
      <w:tr>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Psychostimulant</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TDA/H</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Amélioration de l'attention, réduction de l'impulsivité</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Palpitations ; perte d'appétit / troubles du sommeil</w:t>
            </w:r>
          </w:p>
        </w:tc>
        <w:tc>
          <w:tcPr>
            <w:tcBorders>
              <w:top w:val="single" w:color="CCCCCC" w:sz="1"/>
              <w:left w:val="single" w:color="CCCCCC" w:sz="1"/>
              <w:bottom w:val="single" w:color="CCCCCC" w:sz="1"/>
              <w:right w:val="single" w:color="CCCCCC" w:sz="1"/>
            </w:tcBorders>
            <w:shd w:fill="EEF2F7" w:color="auto" w:val="clear"/>
          </w:tcPr>
          <w:p>
            <w:r>
              <w:rPr>
                <w:rFonts w:ascii="Times New Roman" w:cs="Times New Roman" w:eastAsia="Times New Roman" w:hAnsi="Times New Roman"/>
                <w:color w:val="1F2937"/>
                <w:sz w:val="18"/>
                <w:szCs w:val="18"/>
              </w:rPr>
              <w:t xml:space="preserve">Médecin, infirmier (surveillance TA et FC)</w:t>
            </w:r>
          </w:p>
        </w:tc>
      </w:tr>
    </w:tbl>
    <w:p>
      <w:pPr>
        <w:spacing w:after="80" w:before="80"/>
      </w:pPr>
    </w:p>
    <w:p>
      <w:pPr>
        <w:spacing w:after="120" w:before="300"/>
      </w:pPr>
      <w:r>
        <w:rPr>
          <w:rFonts w:ascii="Times New Roman" w:cs="Times New Roman" w:eastAsia="Times New Roman" w:hAnsi="Times New Roman"/>
          <w:b/>
          <w:bCs/>
          <w:color w:val="1B3A6B"/>
          <w:sz w:val="30"/>
          <w:szCs w:val="30"/>
        </w:rPr>
        <w:t xml:space="preserve">🌉 Pont pro</w:t>
      </w:r>
    </w:p>
    <w:p>
      <w:pPr>
        <w:spacing w:after="60" w:before="60"/>
      </w:pPr>
      <w:r>
        <w:rPr>
          <w:rFonts w:ascii="Times New Roman" w:cs="Times New Roman" w:eastAsia="Times New Roman" w:hAnsi="Times New Roman"/>
          <w:color w:val="1F2937"/>
          <w:sz w:val="22"/>
          <w:szCs w:val="22"/>
        </w:rPr>
        <w:t xml:space="preserve">La HAS, dans son Flash Sécurité Patient « Patient sous neuroleptique. La vigilance est la bonne pratique » (daté du 27 octobre 2022, mis en ligne le 3 novembre 2022), analyse 60 événements graves médicamenteux liés à un mésusage de neuroleptiques signalés dans sa base REX-EIGS : un tiers est lié à une absence d'évaluation régulière du traitement. Ses trois événements sont deux occlusions intestinales mortelles sous clozapine et une fausse route mortelle au repas ; ses mots-clés : « neuroleptiques – constipation – fausse route – iatrogénie – occlusion ». Le document articule quatre actions — informer, dépister, surveiller, sensibiliser — et se ferme sur un biais cognitif : mettre toute symptomatologie sur le compte de la maladie psychiatrique. </w:t>
      </w:r>
      <w:r>
        <w:rPr>
          <w:rFonts w:ascii="Times New Roman" w:cs="Times New Roman" w:eastAsia="Times New Roman" w:hAnsi="Times New Roman"/>
          <w:i/>
          <w:iCs/>
          <w:color w:val="6B7280"/>
          <w:sz w:val="20"/>
          <w:szCs w:val="20"/>
        </w:rPr>
        <w:t xml:space="preserve">[Corrigé le 21/09/2026 : le pont pro citait « 1/3 des événements graves médicamenteux liés aux neuroleptiques » sans dénominateur ni mésusage, nommait « détecter » pour « dépister », et ne disait rien des trois événements ni des mots-clés du document — le PDF n'avait pas été ouvert.]</w:t>
      </w:r>
    </w:p>
    <w:p>
      <w:pPr>
        <w:spacing w:after="60" w:before="60"/>
      </w:pPr>
      <w:r>
        <w:rPr>
          <w:rFonts w:ascii="Times New Roman" w:cs="Times New Roman" w:eastAsia="Times New Roman" w:hAnsi="Times New Roman"/>
          <w:color w:val="1F2937"/>
          <w:sz w:val="22"/>
          <w:szCs w:val="22"/>
        </w:rPr>
        <w:t xml:space="preserve">En ESSMS, l'équipe éducative est souvent la première à observer un changement comportemental ou physique chez la personne accompagnée — bien avant la consultation médicale suivante. Cette position d'observation privilégiée n'est pas un rôle médical : c'est un rôle d'alerte. Former l'équipe à reconnaître les signes indésirables principaux (tremblements, rigidité, chutes, prise de poids rapide, changements d'humeur — et, sous neuroleptique, le transit qui se bloque et la toux au repas) et à les consigner constitue un levier concret pour la qualité et la sécurité de l'accompagnement.</w:t>
      </w:r>
    </w:p>
    <w:p>
      <w:pPr>
        <w:shd w:fill="F3F4F6" w:color="auto" w:val="clear"/>
        <w:spacing w:after="80" w:before="80"/>
      </w:pPr>
      <w:r>
        <w:rPr>
          <w:rFonts w:ascii="Times New Roman" w:cs="Times New Roman" w:eastAsia="Times New Roman" w:hAnsi="Times New Roman"/>
          <w:i/>
          <w:iCs/>
          <w:color w:val="1F2937"/>
          <w:sz w:val="20"/>
          <w:szCs w:val="20"/>
        </w:rPr>
        <w:t xml:space="preserve">Note : le pont pro ne constitue pas un avis médical et ne doit pas être présenté comme tel. La formation de l'équipe sur les signes d'alerte est un objectif éducatif, non un acte de soins.</w:t>
      </w:r>
    </w:p>
    <w:p>
      <w:pPr>
        <w:spacing w:after="80" w:before="80"/>
      </w:pPr>
    </w:p>
    <w:p>
      <w:pPr>
        <w:spacing w:after="120" w:before="300"/>
      </w:pPr>
      <w:r>
        <w:rPr>
          <w:rFonts w:ascii="Times New Roman" w:cs="Times New Roman" w:eastAsia="Times New Roman" w:hAnsi="Times New Roman"/>
          <w:b/>
          <w:bCs/>
          <w:color w:val="1B3A6B"/>
          <w:sz w:val="30"/>
          <w:szCs w:val="30"/>
        </w:rPr>
        <w:t xml:space="preserve">📚 Ressources cliquables</w:t>
      </w:r>
    </w:p>
    <w:p>
      <w:pPr>
        <w:spacing w:after="60" w:before="60"/>
      </w:pPr>
      <w:r>
        <w:rPr>
          <w:rFonts w:ascii="Times New Roman" w:cs="Times New Roman" w:eastAsia="Times New Roman" w:hAnsi="Times New Roman"/>
          <w:color w:val="1F2937"/>
          <w:sz w:val="22"/>
          <w:szCs w:val="22"/>
        </w:rPr>
        <w:t xml:space="preserve">Sources institutionnelles (rang 1) — récupérées et testées pendant cette exécution :</w:t>
      </w:r>
    </w:p>
    <w:p>
      <w:pPr>
        <w:spacing w:after="40" w:before="40"/>
      </w:pPr>
      <w:r>
        <w:rPr>
          <w:rFonts w:ascii="Times New Roman" w:cs="Times New Roman" w:eastAsia="Times New Roman" w:hAnsi="Times New Roman"/>
          <w:color w:val="1F2937"/>
          <w:sz w:val="22"/>
          <w:szCs w:val="22"/>
        </w:rPr>
        <w:t xml:space="preserve">→ </w:t>
      </w:r>
      <w:hyperlink w:history="1" r:id="rIdpeodqjprg5_3rv-7ctgcw">
        <w:r>
          <w:rPr>
            <w:rFonts w:ascii="Times New Roman" w:cs="Times New Roman" w:eastAsia="Times New Roman" w:hAnsi="Times New Roman"/>
            <w:color w:val="1155CC"/>
            <w:sz w:val="22"/>
            <w:szCs w:val="22"/>
            <w:u w:val="single"/>
          </w:rPr>
          <w:t xml:space="preserve">ANSM — Dossier thématique Antidépresseurs (mis à jour 18/09/2026)</w:t>
        </w:r>
      </w:hyperlink>
    </w:p>
    <w:p>
      <w:pPr>
        <w:spacing w:after="40" w:before="40"/>
      </w:pPr>
      <w:r>
        <w:rPr>
          <w:rFonts w:ascii="Times New Roman" w:cs="Times New Roman" w:eastAsia="Times New Roman" w:hAnsi="Times New Roman"/>
          <w:color w:val="1F2937"/>
          <w:sz w:val="22"/>
          <w:szCs w:val="22"/>
        </w:rPr>
        <w:t xml:space="preserve">→ </w:t>
      </w:r>
      <w:hyperlink w:history="1" r:id="rIdv-jszhypnvoftgirnlip_">
        <w:r>
          <w:rPr>
            <w:rFonts w:ascii="Times New Roman" w:cs="Times New Roman" w:eastAsia="Times New Roman" w:hAnsi="Times New Roman"/>
            <w:color w:val="1155CC"/>
            <w:sz w:val="22"/>
            <w:szCs w:val="22"/>
            <w:u w:val="single"/>
          </w:rPr>
          <w:t xml:space="preserve">ANSM — Dossier thématique Antipsychotiques (mis à jour 18/09/2026)</w:t>
        </w:r>
      </w:hyperlink>
    </w:p>
    <w:p>
      <w:pPr>
        <w:spacing w:after="40" w:before="40"/>
      </w:pPr>
      <w:r>
        <w:rPr>
          <w:rFonts w:ascii="Times New Roman" w:cs="Times New Roman" w:eastAsia="Times New Roman" w:hAnsi="Times New Roman"/>
          <w:color w:val="1F2937"/>
          <w:sz w:val="22"/>
          <w:szCs w:val="22"/>
        </w:rPr>
        <w:t xml:space="preserve">→ </w:t>
      </w:r>
      <w:hyperlink w:history="1" r:id="rId7eg0u_ddptjknngk6yyuj">
        <w:r>
          <w:rPr>
            <w:rFonts w:ascii="Times New Roman" w:cs="Times New Roman" w:eastAsia="Times New Roman" w:hAnsi="Times New Roman"/>
            <w:color w:val="1155CC"/>
            <w:sz w:val="22"/>
            <w:szCs w:val="22"/>
            <w:u w:val="single"/>
          </w:rPr>
          <w:t xml:space="preserve">ANSM — Dossier thématique Thymorégulateurs (mis à jour 18/09/2026)</w:t>
        </w:r>
      </w:hyperlink>
    </w:p>
    <w:p>
      <w:pPr>
        <w:spacing w:after="40" w:before="40"/>
      </w:pPr>
      <w:r>
        <w:rPr>
          <w:rFonts w:ascii="Times New Roman" w:cs="Times New Roman" w:eastAsia="Times New Roman" w:hAnsi="Times New Roman"/>
          <w:color w:val="1F2937"/>
          <w:sz w:val="22"/>
          <w:szCs w:val="22"/>
        </w:rPr>
        <w:t xml:space="preserve">→ </w:t>
      </w:r>
      <w:hyperlink w:history="1" r:id="rIdgyybpozjg0fuxvdd4owsq">
        <w:r>
          <w:rPr>
            <w:rFonts w:ascii="Times New Roman" w:cs="Times New Roman" w:eastAsia="Times New Roman" w:hAnsi="Times New Roman"/>
            <w:color w:val="1155CC"/>
            <w:sz w:val="22"/>
            <w:szCs w:val="22"/>
            <w:u w:val="single"/>
          </w:rPr>
          <w:t xml:space="preserve">ANSM — Dossier thématique Psychostimulants (mis à jour 12/08/2026)</w:t>
        </w:r>
      </w:hyperlink>
    </w:p>
    <w:p>
      <w:pPr>
        <w:spacing w:after="40" w:before="40"/>
      </w:pPr>
      <w:r>
        <w:rPr>
          <w:rFonts w:ascii="Times New Roman" w:cs="Times New Roman" w:eastAsia="Times New Roman" w:hAnsi="Times New Roman"/>
          <w:color w:val="1F2937"/>
          <w:sz w:val="22"/>
          <w:szCs w:val="22"/>
        </w:rPr>
        <w:t xml:space="preserve">→ </w:t>
      </w:r>
      <w:hyperlink w:history="1" r:id="rIdsb95eirzhrnle09p_sidj">
        <w:r>
          <w:rPr>
            <w:rFonts w:ascii="Times New Roman" w:cs="Times New Roman" w:eastAsia="Times New Roman" w:hAnsi="Times New Roman"/>
            <w:color w:val="1155CC"/>
            <w:sz w:val="22"/>
            <w:szCs w:val="22"/>
            <w:u w:val="single"/>
          </w:rPr>
          <w:t xml:space="preserve">ANSM — Portail Santé mentale (médicaments psychiatriques)</w:t>
        </w:r>
      </w:hyperlink>
    </w:p>
    <w:p>
      <w:pPr>
        <w:spacing w:after="40" w:before="40"/>
      </w:pPr>
      <w:r>
        <w:rPr>
          <w:rFonts w:ascii="Times New Roman" w:cs="Times New Roman" w:eastAsia="Times New Roman" w:hAnsi="Times New Roman"/>
          <w:color w:val="1F2937"/>
          <w:sz w:val="22"/>
          <w:szCs w:val="22"/>
        </w:rPr>
        <w:t xml:space="preserve">→ </w:t>
      </w:r>
      <w:hyperlink w:history="1" r:id="rIdbujjhvxaqsrjf7ygmk317">
        <w:r>
          <w:rPr>
            <w:rFonts w:ascii="Times New Roman" w:cs="Times New Roman" w:eastAsia="Times New Roman" w:hAnsi="Times New Roman"/>
            <w:color w:val="1155CC"/>
            <w:sz w:val="22"/>
            <w:szCs w:val="22"/>
            <w:u w:val="single"/>
          </w:rPr>
          <w:t xml:space="preserve">HAS — Flash Sécurité Patient « Patient sous neuroleptique. La vigilance est la bonne pratique » (validé octobre 2022, en ligne novembre 2022)</w:t>
        </w:r>
      </w:hyperlink>
      <w:r>
        <w:rPr>
          <w:rFonts w:ascii="Times New Roman" w:cs="Times New Roman" w:eastAsia="Times New Roman" w:hAnsi="Times New Roman"/>
          <w:i/>
          <w:iCs/>
          <w:color w:val="6B7280"/>
          <w:sz w:val="20"/>
          <w:szCs w:val="20"/>
        </w:rPr>
        <w:t xml:space="preserve"> — page de présentation. [Corrigé le 21/09/2026 : le document lui-même, ci-dessous.]</w:t>
      </w:r>
    </w:p>
    <w:p>
      <w:pPr>
        <w:spacing w:after="40" w:before="40"/>
      </w:pPr>
      <w:r>
        <w:rPr>
          <w:rFonts w:ascii="Times New Roman" w:cs="Times New Roman" w:eastAsia="Times New Roman" w:hAnsi="Times New Roman"/>
          <w:color w:val="1F2937"/>
          <w:sz w:val="22"/>
          <w:szCs w:val="22"/>
        </w:rPr>
        <w:t xml:space="preserve">→ </w:t>
      </w:r>
      <w:hyperlink w:history="1" r:id="rIdFlashPdf2022">
        <w:r>
          <w:rPr>
            <w:rFonts w:ascii="Times New Roman" w:cs="Times New Roman" w:eastAsia="Times New Roman" w:hAnsi="Times New Roman"/>
            <w:color w:val="1155CC"/>
            <w:sz w:val="22"/>
            <w:szCs w:val="22"/>
            <w:u w:val="single"/>
          </w:rPr>
          <w:t xml:space="preserve">HAS — Flash Sécurité Patient « Patient sous neuroleptique. La vigilance est la bonne pratique », le document (PDF, 3 pages, daté du 27 octobre 2022) — lu le 21/09/2026</w:t>
        </w:r>
      </w:hyperlink>
    </w:p>
    <w:p>
      <w:pPr>
        <w:spacing w:after="80" w:before="80"/>
      </w:pPr>
    </w:p>
    <w:p>
      <w:pPr>
        <w:spacing w:after="60" w:before="60"/>
      </w:pPr>
      <w:r>
        <w:rPr>
          <w:rFonts w:ascii="Times New Roman" w:cs="Times New Roman" w:eastAsia="Times New Roman" w:hAnsi="Times New Roman"/>
          <w:color w:val="1F2937"/>
          <w:sz w:val="22"/>
          <w:szCs w:val="22"/>
        </w:rPr>
        <w:t xml:space="preserve">Pour s'orienter (rang 4 — source tertiaire, ne pas reprendre dans un écrit professionnel) :</w:t>
      </w:r>
    </w:p>
    <w:p>
      <w:pPr>
        <w:spacing w:after="40" w:before="40"/>
      </w:pPr>
      <w:r>
        <w:rPr>
          <w:rFonts w:ascii="Times New Roman" w:cs="Times New Roman" w:eastAsia="Times New Roman" w:hAnsi="Times New Roman"/>
          <w:color w:val="1F2937"/>
          <w:sz w:val="22"/>
          <w:szCs w:val="22"/>
        </w:rPr>
        <w:t xml:space="preserve">→ </w:t>
      </w:r>
      <w:hyperlink w:history="1" r:id="rIdgsc9-flbbt1sf-jnpx5sy">
        <w:r>
          <w:rPr>
            <w:rFonts w:ascii="Times New Roman" w:cs="Times New Roman" w:eastAsia="Times New Roman" w:hAnsi="Times New Roman"/>
            <w:color w:val="1155CC"/>
            <w:sz w:val="22"/>
            <w:szCs w:val="22"/>
            <w:u w:val="single"/>
          </w:rPr>
          <w:t xml:space="preserve">Wikipédia — Psychotrope (classification Delay-Deniker, contexte historique)</w:t>
        </w:r>
      </w:hyperlink>
    </w:p>
    <w:p>
      <w:pPr>
        <w:spacing w:after="80" w:before="80"/>
      </w:pPr>
    </w:p>
    <w:p>
      <w:pPr>
        <w:spacing w:after="120" w:before="300"/>
      </w:pPr>
      <w:r>
        <w:rPr>
          <w:rFonts w:ascii="Times New Roman" w:cs="Times New Roman" w:eastAsia="Times New Roman" w:hAnsi="Times New Roman"/>
          <w:b/>
          <w:bCs/>
          <w:color w:val="1B3A6B"/>
          <w:sz w:val="30"/>
          <w:szCs w:val="30"/>
        </w:rPr>
        <w:t xml:space="preserve">🔜 Prochaine leçon</w:t>
      </w:r>
    </w:p>
    <w:p>
      <w:pPr>
        <w:shd w:fill="F3F4F6" w:color="auto" w:val="clear"/>
        <w:spacing w:after="80" w:before="80"/>
      </w:pPr>
      <w:r>
        <w:rPr>
          <w:rFonts w:ascii="Times New Roman" w:cs="Times New Roman" w:eastAsia="Times New Roman" w:hAnsi="Times New Roman"/>
          <w:b/>
          <w:bCs/>
          <w:color w:val="1B3A6B"/>
          <w:sz w:val="24"/>
          <w:szCs w:val="24"/>
        </w:rPr>
        <w:t xml:space="preserve">Leçon 18 / 20 — Réhabilitation psychosociale et paradigme du rétablissement</w:t>
      </w:r>
    </w:p>
    <w:p>
      <w:pPr>
        <w:spacing w:after="60" w:before="60"/>
      </w:pPr>
      <w:r>
        <w:rPr>
          <w:rFonts w:ascii="Times New Roman" w:cs="Times New Roman" w:eastAsia="Times New Roman" w:hAnsi="Times New Roman"/>
          <w:color w:val="1F2937"/>
          <w:sz w:val="22"/>
          <w:szCs w:val="22"/>
        </w:rPr>
        <w:t xml:space="preserve">Après avoir exploré les médicaments, la prochaine leçon abordera les approches non médicamenteuses : la réhabilitation psychosociale, le rétablissement (recovery), le rôle des pairs aidants et les interventions qui visent à restaurer les capacités fonctionnelles et la participation sociale des personnes accompagnées.</w:t>
      </w:r>
    </w:p>
    <w:p>
      <w:pPr>
        <w:pStyle w:val="Heading2"/>
        <w:spacing w:after="100" w:before="280"/>
      </w:pPr>
      <w:r>
        <w:rPr>
          <w:rFonts w:ascii="Times New Roman" w:cs="Times New Roman" w:eastAsia="Times New Roman" w:hAnsi="Times New Roman"/>
          <w:b/>
          <w:bCs/>
          <w:color w:val="1B3A6B"/>
          <w:sz w:val="28"/>
          <w:szCs w:val="28"/>
        </w:rPr>
        <w:t xml:space="preserve">📝 Journal des corrections (21/09/2026)</w:t>
      </w:r>
    </w:p>
    <w:p>
      <w:pPr>
        <w:spacing w:after="40" w:before="40"/>
      </w:pPr>
      <w:r>
        <w:rPr>
          <w:rFonts w:ascii="Times New Roman" w:cs="Times New Roman" w:eastAsia="Times New Roman" w:hAnsi="Times New Roman"/>
          <w:i/>
          <w:iCs/>
          <w:color w:val="6B7280"/>
          <w:sz w:val="20"/>
          <w:szCs w:val="20"/>
        </w:rPr>
        <w:t xml:space="preserve">Relecture du 21/09/2026 : sept pages rouvertes avec un agent de navigateur, et le PDF du Flash HAS lu. Les corrections sont intégrées au texte, marquées [Corrigé le 21/09/2026 : …]. Formulations d'origine :</w:t>
      </w:r>
    </w:p>
    <w:p>
      <w:pPr>
        <w:pStyle w:val="ListParagraph"/>
        <w:numPr>
          <w:ilvl w:val="0"/>
          <w:numId w:val="1"/>
        </w:numPr>
        <w:spacing w:after="40" w:before="40"/>
      </w:pPr>
      <w:r>
        <w:rPr>
          <w:rFonts w:ascii="Times New Roman" w:cs="Times New Roman" w:eastAsia="Times New Roman" w:hAnsi="Times New Roman"/>
          <w:i/>
          <w:iCs/>
          <w:color w:val="6B7280"/>
          <w:sz w:val="20"/>
          <w:szCs w:val="20"/>
        </w:rPr>
        <w:t xml:space="preserve">Antidépresseurs : « Quatre sous-classes sont reconnues (ANSM, mis à jour 18/09/2026) » — la page en décrit cinq, la cinquième (« Autres antidépresseurs » : agomélatine, eskétamine, miansérine, mirtazapine, tianeptine, vortioxétine) manquait.</w:t>
      </w:r>
    </w:p>
    <w:p>
      <w:pPr>
        <w:pStyle w:val="ListParagraph"/>
        <w:numPr>
          <w:ilvl w:val="0"/>
          <w:numId w:val="1"/>
        </w:numPr>
        <w:spacing w:after="40" w:before="40"/>
      </w:pPr>
      <w:r>
        <w:rPr>
          <w:rFonts w:ascii="Times New Roman" w:cs="Times New Roman" w:eastAsia="Times New Roman" w:hAnsi="Times New Roman"/>
          <w:i/>
          <w:iCs/>
          <w:color w:val="6B7280"/>
          <w:sz w:val="20"/>
          <w:szCs w:val="20"/>
        </w:rPr>
        <w:t xml:space="preserve">Antidépresseurs : « un syndrome de discontinuation peut survenir » — l'ANSM écrit « syndrome de sevrage ».</w:t>
      </w:r>
    </w:p>
    <w:p>
      <w:pPr>
        <w:pStyle w:val="ListParagraph"/>
        <w:numPr>
          <w:ilvl w:val="0"/>
          <w:numId w:val="1"/>
        </w:numPr>
        <w:spacing w:after="40" w:before="40"/>
      </w:pPr>
      <w:r>
        <w:rPr>
          <w:rFonts w:ascii="Times New Roman" w:cs="Times New Roman" w:eastAsia="Times New Roman" w:hAnsi="Times New Roman"/>
          <w:i/>
          <w:iCs/>
          <w:color w:val="6B7280"/>
          <w:sz w:val="20"/>
          <w:szCs w:val="20"/>
        </w:rPr>
        <w:t xml:space="preserve">Antipsychotiques : « Lévopromazine » (DCI inexistante — lévomépromazine, Nozinan) ; « dyskinésies tardives » là où l'ANSM écrit « dyskinésies ».</w:t>
      </w:r>
    </w:p>
    <w:p>
      <w:pPr>
        <w:pStyle w:val="ListParagraph"/>
        <w:numPr>
          <w:ilvl w:val="0"/>
          <w:numId w:val="1"/>
        </w:numPr>
        <w:spacing w:after="40" w:before="40"/>
      </w:pPr>
      <w:r>
        <w:rPr>
          <w:rFonts w:ascii="Times New Roman" w:cs="Times New Roman" w:eastAsia="Times New Roman" w:hAnsi="Times New Roman"/>
          <w:i/>
          <w:iCs/>
          <w:color w:val="6B7280"/>
          <w:sz w:val="20"/>
          <w:szCs w:val="20"/>
        </w:rPr>
        <w:t xml:space="preserve">Antipsychotiques, « effets indésirables principaux à surveiller en ESSMS » : quatre lignes (extrapyramidal, poids/métabolique, sédation, QT) — ni constipation/occlusion ni fausse route, les deux risques du Flash HAS cité juste en dessous.</w:t>
      </w:r>
    </w:p>
    <w:p>
      <w:pPr>
        <w:pStyle w:val="ListParagraph"/>
        <w:numPr>
          <w:ilvl w:val="0"/>
          <w:numId w:val="1"/>
        </w:numPr>
        <w:spacing w:after="40" w:before="40"/>
      </w:pPr>
      <w:r>
        <w:rPr>
          <w:rFonts w:ascii="Times New Roman" w:cs="Times New Roman" w:eastAsia="Times New Roman" w:hAnsi="Times New Roman"/>
          <w:i/>
          <w:iCs/>
          <w:color w:val="6B7280"/>
          <w:sz w:val="20"/>
          <w:szCs w:val="20"/>
        </w:rPr>
        <w:t xml:space="preserve">Antipsychotiques : « parmi les événements graves médicamenteux liés à un mésusage de neuroleptiques, 1/3 sont liés à une absence d'évaluation régulière » — sans le dénominateur : 60 événements de la base REX-EIGS.</w:t>
      </w:r>
    </w:p>
    <w:p>
      <w:pPr>
        <w:pStyle w:val="ListParagraph"/>
        <w:numPr>
          <w:ilvl w:val="0"/>
          <w:numId w:val="1"/>
        </w:numPr>
        <w:spacing w:after="40" w:before="40"/>
      </w:pPr>
      <w:r>
        <w:rPr>
          <w:rFonts w:ascii="Times New Roman" w:cs="Times New Roman" w:eastAsia="Times New Roman" w:hAnsi="Times New Roman"/>
          <w:i/>
          <w:iCs/>
          <w:color w:val="6B7280"/>
          <w:sz w:val="20"/>
          <w:szCs w:val="20"/>
        </w:rPr>
        <w:t xml:space="preserve">Psychostimulants : « Lisdexamphétamine » — l'ANSM écrit lisdexamfétamine.</w:t>
      </w:r>
    </w:p>
    <w:p>
      <w:pPr>
        <w:pStyle w:val="ListParagraph"/>
        <w:numPr>
          <w:ilvl w:val="0"/>
          <w:numId w:val="1"/>
        </w:numPr>
        <w:spacing w:after="40" w:before="40"/>
      </w:pPr>
      <w:r>
        <w:rPr>
          <w:rFonts w:ascii="Times New Roman" w:cs="Times New Roman" w:eastAsia="Times New Roman" w:hAnsi="Times New Roman"/>
          <w:i/>
          <w:iCs/>
          <w:color w:val="6B7280"/>
          <w:sz w:val="20"/>
          <w:szCs w:val="20"/>
        </w:rPr>
        <w:t xml:space="preserve">Surveillance : « propose quatre actions préventives pour tout professionnel côtoyant des patients sous neuroleptiques » ; action 2 nommée « Détecter » (table et pont pro) — la HAS écrit « Dépister » et s'adresse aux professionnels de santé ; la colonne « ce que cela signifie en pratique » était celle de la leçon.</w:t>
      </w:r>
    </w:p>
    <w:p>
      <w:pPr>
        <w:pStyle w:val="ListParagraph"/>
        <w:numPr>
          <w:ilvl w:val="0"/>
          <w:numId w:val="1"/>
        </w:numPr>
        <w:spacing w:after="40" w:before="40"/>
      </w:pPr>
      <w:r>
        <w:rPr>
          <w:rFonts w:ascii="Times New Roman" w:cs="Times New Roman" w:eastAsia="Times New Roman" w:hAnsi="Times New Roman"/>
          <w:i/>
          <w:iCs/>
          <w:color w:val="6B7280"/>
          <w:sz w:val="20"/>
          <w:szCs w:val="20"/>
        </w:rPr>
        <w:t xml:space="preserve">Corrigé Lucie : « pour la soif, un signal d'alerte possible de lithémie (concentration sanguine) trop élevée » — sur aucune page ouverte.</w:t>
      </w:r>
    </w:p>
    <w:p>
      <w:pPr>
        <w:pStyle w:val="ListParagraph"/>
        <w:numPr>
          <w:ilvl w:val="0"/>
          <w:numId w:val="1"/>
        </w:numPr>
        <w:spacing w:after="40" w:before="40"/>
      </w:pPr>
      <w:r>
        <w:rPr>
          <w:rFonts w:ascii="Times New Roman" w:cs="Times New Roman" w:eastAsia="Times New Roman" w:hAnsi="Times New Roman"/>
          <w:i/>
          <w:iCs/>
          <w:color w:val="6B7280"/>
          <w:sz w:val="20"/>
          <w:szCs w:val="20"/>
        </w:rPr>
        <w:t xml:space="preserve">Corrigé du challenge, ligne Antidépresseur : « Syndrome de discontinuation à l'arrêt ; agitation/irritabilité en début de traitement » — « agitation » n'est dans la théorie que sous les antipsychotiques (akathisie) ; ramené aux termes de la section.</w:t>
      </w:r>
    </w:p>
    <w:p>
      <w:pPr>
        <w:pStyle w:val="ListParagraph"/>
        <w:numPr>
          <w:ilvl w:val="0"/>
          <w:numId w:val="1"/>
        </w:numPr>
        <w:spacing w:after="40" w:before="40"/>
      </w:pPr>
      <w:r>
        <w:rPr>
          <w:rFonts w:ascii="Times New Roman" w:cs="Times New Roman" w:eastAsia="Times New Roman" w:hAnsi="Times New Roman"/>
          <w:i/>
          <w:iCs/>
          <w:color w:val="6B7280"/>
          <w:sz w:val="20"/>
          <w:szCs w:val="20"/>
        </w:rPr>
        <w:t xml:space="preserve">Corrigé du challenge, ligne Thymorégulateur : « Médecin (urgence si fièvre + rigidité + confusion) » — c'est la triade du syndrome malin des neuroleptiques, que le corrigé de l'exercice 2 place chez les antipsychotiques ; ramenée à sa ligne.</w:t>
      </w:r>
    </w:p>
    <w:p>
      <w:pPr>
        <w:pStyle w:val="ListParagraph"/>
        <w:numPr>
          <w:ilvl w:val="0"/>
          <w:numId w:val="1"/>
        </w:numPr>
        <w:spacing w:after="40" w:before="40"/>
      </w:pPr>
      <w:r>
        <w:rPr>
          <w:rFonts w:ascii="Times New Roman" w:cs="Times New Roman" w:eastAsia="Times New Roman" w:hAnsi="Times New Roman"/>
          <w:i/>
          <w:iCs/>
          <w:color w:val="6B7280"/>
          <w:sz w:val="20"/>
          <w:szCs w:val="20"/>
        </w:rPr>
        <w:t xml:space="preserve">Pont pro : « rappelle que 1/3 des événements graves médicamenteux liés aux neuroleptiques sont associés à une absence d'évaluation régulière du traitement. Ce document identifie quatre leviers : informer, détecter, surveiller, sensibiliser » — dénominateur et mésusage perdus, « détecter » pour « dépister », contenu du document absent.</w:t>
      </w:r>
    </w:p>
    <w:p>
      <w:pPr>
        <w:pStyle w:val="ListParagraph"/>
        <w:numPr>
          <w:ilvl w:val="0"/>
          <w:numId w:val="1"/>
        </w:numPr>
        <w:spacing w:after="40" w:before="40"/>
      </w:pPr>
      <w:r>
        <w:rPr>
          <w:rFonts w:ascii="Times New Roman" w:cs="Times New Roman" w:eastAsia="Times New Roman" w:hAnsi="Times New Roman"/>
          <w:i/>
          <w:iCs/>
          <w:color w:val="6B7280"/>
          <w:sz w:val="20"/>
          <w:szCs w:val="20"/>
        </w:rPr>
        <w:t xml:space="preserve">Ressources : la page HAS de présentation seule ; le PDF du Flash (3 pages) n'était ni lu ni lié.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pcpuao8ca9cmgzvw6x9v" Type="http://schemas.openxmlformats.org/officeDocument/2006/relationships/hyperlink" Target="https://www.has-sante.fr/jcms/p_3381939/fr/flash-securite-patient-patient-sous-neuroleptique-la-vigilance-est-la-bonne-pratique" TargetMode="External"/><Relationship Id="rIdpeodqjprg5_3rv-7ctgcw" Type="http://schemas.openxmlformats.org/officeDocument/2006/relationships/hyperlink" Target="https://ansm.sante.fr/dossiers-thematiques/sante-mentale/antidepresseurs" TargetMode="External"/><Relationship Id="rIdv-jszhypnvoftgirnlip_" Type="http://schemas.openxmlformats.org/officeDocument/2006/relationships/hyperlink" Target="https://ansm.sante.fr/dossiers-thematiques/sante-mentale/antipsychotiques" TargetMode="External"/><Relationship Id="rId7eg0u_ddptjknngk6yyuj" Type="http://schemas.openxmlformats.org/officeDocument/2006/relationships/hyperlink" Target="https://ansm.sante.fr/dossiers-thematiques/sante-mentale/thymoregulateurs" TargetMode="External"/><Relationship Id="rIdgyybpozjg0fuxvdd4owsq" Type="http://schemas.openxmlformats.org/officeDocument/2006/relationships/hyperlink" Target="https://ansm.sante.fr/dossiers-thematiques/sante-mentale/psychostimulants" TargetMode="External"/><Relationship Id="rIdsb95eirzhrnle09p_sidj" Type="http://schemas.openxmlformats.org/officeDocument/2006/relationships/hyperlink" Target="https://ansm.sante.fr/dossiers-thematiques/sante-mentale" TargetMode="External"/><Relationship Id="rIdbujjhvxaqsrjf7ygmk317" Type="http://schemas.openxmlformats.org/officeDocument/2006/relationships/hyperlink" Target="https://www.has-sante.fr/jcms/p_3381939/fr/flash-securite-patient-patient-sous-neuroleptique-la-vigilance-est-la-bonne-pratique" TargetMode="External"/><Relationship Id="rIdgsc9-flbbt1sf-jnpx5sy" Type="http://schemas.openxmlformats.org/officeDocument/2006/relationships/hyperlink" Target="https://fr.wikipedia.org/wiki/Psychotrope" TargetMode="External"/><Relationship Id="rId15" Type="http://schemas.openxmlformats.org/officeDocument/2006/relationships/fontTable" Target="fontTable.xml"/><Relationship Id="rIdFlashPdf2022" Type="http://schemas.openxmlformats.org/officeDocument/2006/relationships/hyperlink" Target="https://www.has-sante.fr/upload/docs/application/pdf/2022-10/flash_securite_patient_-_patient_sous_neuroleptique_la_vigilance_est_la_bonne_pratique.pdf"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17 — Les psychotropes</dc:title>
  <dc:creator>Parcours Psychopathologie clinique</dc:creator>
  <dc:description>Psychotropes : classes, effets attendus, effets indésirables, surveillance</dc:description>
  <cp:lastModifiedBy>Un-named</cp:lastModifiedBy>
  <cp:revision>1</cp:revision>
  <dcterms:created xsi:type="dcterms:W3CDTF">2026-09-21T06:10:33.128Z</dcterms:created>
  <dcterms:modified xsi:type="dcterms:W3CDTF">2026-09-21T06:10:33.208Z</dcterms:modified>
</cp:coreProperties>
</file>

<file path=docProps/custom.xml><?xml version="1.0" encoding="utf-8"?>
<Properties xmlns="http://schemas.openxmlformats.org/officeDocument/2006/custom-properties" xmlns:vt="http://schemas.openxmlformats.org/officeDocument/2006/docPropsVTypes"/>
</file>