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jc w:val="center"/>
      </w:pPr>
      <w:r>
        <w:rPr>
          <w:rFonts w:ascii="Times New Roman" w:cs="Times New Roman" w:eastAsia="Times New Roman" w:hAnsi="Times New Roman"/>
          <w:b/>
          <w:bCs/>
          <w:color w:val="1B3A6B"/>
          <w:sz w:val="52"/>
          <w:szCs w:val="52"/>
        </w:rPr>
        <w:t xml:space="preserve">Leçon Revenus passifs n°02</w:t>
      </w:r>
    </w:p>
    <w:p>
      <w:pPr>
        <w:spacing w:after="60" w:before="80"/>
        <w:jc w:val="center"/>
      </w:pPr>
      <w:r>
        <w:rPr>
          <w:rFonts w:ascii="Times New Roman" w:cs="Times New Roman" w:eastAsia="Times New Roman" w:hAnsi="Times New Roman"/>
          <w:b/>
          <w:bCs/>
          <w:color w:val="1B3A6B"/>
          <w:sz w:val="36"/>
          <w:szCs w:val="36"/>
        </w:rPr>
        <w:t xml:space="preserve">Les grandes familles de revenus passifs</w:t>
      </w:r>
    </w:p>
    <w:p>
      <w:pPr>
        <w:spacing w:after="160" w:before="40"/>
        <w:jc w:val="center"/>
      </w:pPr>
      <w:r>
        <w:rPr>
          <w:rFonts w:ascii="Times New Roman" w:cs="Times New Roman" w:eastAsia="Times New Roman" w:hAnsi="Times New Roman"/>
          <w:i/>
          <w:iCs/>
          <w:color w:val="1F2937"/>
          <w:sz w:val="22"/>
          <w:szCs w:val="22"/>
        </w:rPr>
        <w:t xml:space="preserve">Leçon 02 / 10  •  2026-08-02</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Cadre déontologique</w:t>
      </w:r>
    </w:p>
    <w:p>
      <w:pPr>
        <w:pBdr>
          <w:left w:val="single" w:color="D97706" w:sz="12"/>
        </w:pBdr>
        <w:shd w:fill="FFF4E5" w:val="clear"/>
        <w:spacing w:after="120" w:before="120"/>
        <w:ind w:left="360"/>
      </w:pPr>
      <w:r>
        <w:rPr>
          <w:rFonts w:ascii="Times New Roman" w:cs="Times New Roman" w:eastAsia="Times New Roman" w:hAnsi="Times New Roman"/>
          <w:color w:val="1F2937"/>
          <w:sz w:val="22"/>
          <w:szCs w:val="22"/>
        </w:rPr>
        <w:t xml:space="preserve">Ces leçons sont ÉDUCATIVES et GÉNÉRALISTES. Elles n'ont pas valeur de conseil en investissement ni de recommandation personnalisée. En France, le conseil en investissement financier est une activité réglementée (statut CIF, registre ORIAS). Aucune leçon ne dit quoi acheter, quand, ni pour quel montant, ni ne promet de rendement. Toute décision relève de ta responsabilité, le cas échéant avec un professionnel agréé.</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color w:val="1F2937"/>
          <w:sz w:val="22"/>
          <w:szCs w:val="22"/>
        </w:rPr>
        <w:t xml:space="preserve">À l'issue de cette leçon, tu sauras nommer et distinguer les quatre grandes familles de revenus passifs, comparer leurs caractéristiques selon quatre critères (capital requis, effort initial, maintenance, risque), et identifier à quelle famille appartient une proposition concrète que tu rencontres.</w:t>
      </w:r>
    </w:p>
    <w:p>
      <w:pPr>
        <w:spacing w:after="80" w:before="80"/>
      </w:pPr>
      <w:r>
        <w:rPr>
          <w:rFonts w:ascii="Times New Roman" w:cs="Times New Roman" w:eastAsia="Times New Roman" w:hAnsi="Times New Roman"/>
          <w:color w:val="1F2937"/>
          <w:sz w:val="22"/>
          <w:szCs w:val="22"/>
        </w:rPr>
        <w:t xml:space="preserve">Continuité avec la leçon 01 : en n°01 tu as déconstruit les mythes fondateurs — passif ≠ sans effort, sans capital, sans risque. Ici, on passe de la déconstruction à la cartographie : les familles et leurs paramètres réels.</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Théorie (20 %) — Les quatre grandes familles</w:t>
      </w:r>
    </w:p>
    <w:p>
      <w:pPr>
        <w:spacing w:after="80" w:before="80"/>
      </w:pPr>
      <w:r>
        <w:rPr>
          <w:rFonts w:ascii="Times New Roman" w:cs="Times New Roman" w:eastAsia="Times New Roman" w:hAnsi="Times New Roman"/>
          <w:b w:val="false"/>
          <w:bCs w:val="false"/>
          <w:color w:val="1F2937"/>
          <w:sz w:val="22"/>
          <w:szCs w:val="22"/>
        </w:rPr>
        <w:t xml:space="preserve">La classification retenue s'appuie sur quatre critères opérationnels : capital requis, effort initial de mise en place, niveau de maintenance (travail continu), et nature du risque principal. Ces critères permettent de comparer des modèles fondamentalement différents sur une grille commune.</w:t>
      </w:r>
    </w:p>
    <w:p>
      <w:pPr>
        <w:pStyle w:val="Heading3"/>
        <w:spacing w:after="80" w:before="200"/>
      </w:pPr>
      <w:r>
        <w:rPr>
          <w:rFonts w:ascii="Times New Roman" w:cs="Times New Roman" w:eastAsia="Times New Roman" w:hAnsi="Times New Roman"/>
          <w:b/>
          <w:bCs/>
          <w:color w:val="1F2937"/>
          <w:sz w:val="26"/>
          <w:szCs w:val="26"/>
        </w:rPr>
        <w:t xml:space="preserve">Famille 1 — Placements financiers</w:t>
      </w:r>
    </w:p>
    <w:p>
      <w:pPr>
        <w:spacing w:after="80" w:before="80"/>
      </w:pPr>
      <w:r>
        <w:rPr>
          <w:rFonts w:ascii="Times New Roman" w:cs="Times New Roman" w:eastAsia="Times New Roman" w:hAnsi="Times New Roman"/>
          <w:color w:val="1F2937"/>
          <w:sz w:val="22"/>
          <w:szCs w:val="22"/>
        </w:rPr>
        <w:t xml:space="preserve">Les placements financiers génèrent des revenus sous forme d'intérêts, de dividendes ou de plus-values. Ils se distinguent par leur liquidité (tu peux en sortir rapidement) et leur capital réglementé minimal.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Livret A et LDDS : taux fixé par décret, capital garanti. ⚠️ Taux Livret A et LDDS : 1,7 % depuis le 1er août 2026 (source primaire : communiqué du ministère de l'Économie, </w:t>
      </w:r>
      <w:hyperlink w:history="1" r:id="rIdpresse2026">
        <w:r>
          <w:rPr>
            <w:rFonts w:ascii="Times New Roman" w:cs="Times New Roman" w:eastAsia="Times New Roman" w:hAnsi="Times New Roman"/>
            <w:sz w:val="22"/>
            <w:szCs w:val="22"/>
            <w:color w:val="1155CC"/>
            <w:u w:val="single"/>
          </w:rPr>
          <w:t xml:space="preserve">presse.economie.gouv.fr</w:t>
        </w:r>
      </w:hyperlink>
      <w:r>
        <w:rPr>
          <w:rFonts w:ascii="Times New Roman" w:cs="Times New Roman" w:eastAsia="Times New Roman" w:hAnsi="Times New Roman"/>
          <w:color w:val="1F2937"/>
          <w:sz w:val="22"/>
          <w:szCs w:val="22"/>
        </w:rPr>
        <w:t xml:space="preserve">, communiqué du 15/07/2026 — lien ajouté le 12/09/2026). Il était de 1,5 % du 1er février au 31 juillet 2026 : c'est cette valeur périmée qui figurait dans la première version de cette leçon, reprise d'un agrégateur non mis à jour. Le taux est révisé deux fois par an (1er février et 1er août) — vérifie-le systématiquement à la date où tu calcules. Plafond Livret A : 22 950 €. Plafond LDDS : 12 000 €. Exonérés d'impôt et de prélèvements sociaux — exception notable dans la fiscalité française des revenus passifs.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ETF distribuants et actions à dividendes : revenus variables, exposés au risque de marché. Aucun rendement garanti.</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Assurance-vie (fonds en euros) : capital partiellement garanti, rendements en baisse depuis 10 ans.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Obligations : revenus fixes sous forme de coupons, sensibles aux taux d'intérêt.</w:t>
      </w:r>
    </w:p>
    <w:p>
      <w:pPr>
        <w:spacing w:after="80" w:before="80"/>
      </w:pPr>
      <w:r>
        <w:rPr>
          <w:rFonts w:ascii="Times New Roman" w:cs="Times New Roman" w:eastAsia="Times New Roman" w:hAnsi="Times New Roman"/>
          <w:color w:val="1F2937"/>
          <w:sz w:val="22"/>
          <w:szCs w:val="22"/>
        </w:rPr>
        <w:t xml:space="preserve">Fiscalité applicable (hors livrets réglementés) — source : impots.gouv.fr, page « Les revenus mobiliers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Prélèvement Forfaitaire Unique (PFU / flat tax) : 12,8 % d'impôt sur le revenu.</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Prélèvements sociaux à partir de 2026 : 18,6 % (composition : CSG 9,2 % + CRDS 0,5 % + prélèvement de solidarité 7,5 %, auxquels s'ajoutent des prélèvements portant le total à 18,6 %). Le taux était de 17,2 % jusqu'en 2025.</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PFU total 2026 : 12,8 % + 18,6 % = 31,4 %. Ce chiffre est lu sur impots.gouv.fr et confirmé par plusieurs sources secondaires.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Exception assurance-vie &gt; 8 ans et versements ≤ 150 000 € : taux réduit à 7,5 % (IR) + 18,6 % (PS).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Option barème progressif : possible (case 2OP de la déclaration), irrévocable pour l'année, potentiellement avantageuse pour les foyers faiblement imposés.</w:t>
      </w:r>
    </w:p>
    <w:p>
      <w:pPr>
        <w:pStyle w:val="Heading3"/>
        <w:spacing w:after="80" w:before="200"/>
      </w:pPr>
      <w:r>
        <w:rPr>
          <w:rFonts w:ascii="Times New Roman" w:cs="Times New Roman" w:eastAsia="Times New Roman" w:hAnsi="Times New Roman"/>
          <w:b/>
          <w:bCs/>
          <w:color w:val="1F2937"/>
          <w:sz w:val="26"/>
          <w:szCs w:val="26"/>
        </w:rPr>
        <w:t xml:space="preserve">Famille 2 — Immobilier</w:t>
      </w:r>
    </w:p>
    <w:p>
      <w:pPr>
        <w:spacing w:after="80" w:before="80"/>
      </w:pPr>
      <w:r>
        <w:rPr>
          <w:rFonts w:ascii="Times New Roman" w:cs="Times New Roman" w:eastAsia="Times New Roman" w:hAnsi="Times New Roman"/>
          <w:color w:val="1F2937"/>
          <w:sz w:val="22"/>
          <w:szCs w:val="22"/>
        </w:rPr>
        <w:t xml:space="preserve">L'immobilier est la famille la plus sollicitée et la plus commentée. Elle se décline en deux grandes branches : l'immobilier direct (bien physique) et l'immobilier indirect (SCPI, crowdfunding, foncières cotées).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Location nue (non meublée) : revenus fonciers. Régime micro-foncier si revenus bruts annuels ≤ 15 000 € (abattement forfaitaire de 30 %, source : bofip.impots.gouv.fr et impots.gouv.fr). Au-dessus de 15 000 € ou sur option : régime réel (charges déductibles). L'option régime réel est irrévocable pour 3 ans.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LMNP (Loueur en Meublé Non Professionnel) : revenus commerciaux (BIC), régime micro-BIC (abattement 50 %) ou réel avec amortissement. Régime différent des revenus fonciers.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SCPI (Sociétés Civiles de Placement Immobilier) : taux de distribution 2025, pondéré par la capitalisation et toutes catégories confondues — 4,91 %, en progression de 0,19 point sur 2024 (source primaire vérifiée : ASPIM, aspim.fr). Il varie de 4,2 % pour les SCPI résidentielles à 6 % pour les diversifiées. Capital minimum souvent autour de 1 000 €, mais investissement réaliste à partir de 5 000–20 000 € pour un flux mensuel perceptible.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Crowdfunding immobilier : rendements affichés élevés (8-12 % annoncés), mais risque de perte en capital en cas de défaut du promoteur. Classe à part — ne pas confondre avec la SCPI.</w:t>
      </w:r>
    </w:p>
    <w:p>
      <w:pPr>
        <w:spacing w:after="80" w:before="80"/>
      </w:pPr>
      <w:r>
        <w:rPr>
          <w:rFonts w:ascii="Times New Roman" w:cs="Times New Roman" w:eastAsia="Times New Roman" w:hAnsi="Times New Roman"/>
          <w:color w:val="1F2937"/>
          <w:sz w:val="22"/>
          <w:szCs w:val="22"/>
        </w:rPr>
        <w:t xml:space="preserve">Fiscalité des revenus fonciers (location nue, SCPI) : revenus s'ajoutent au revenu global soumis au barème progressif + 17,2 % de prélèvements sociaux (au titre des revenus 2025, déclarés en 2026). Note : les prélèvements sociaux sur les revenus fonciers restaient à 17,2 % pour les revenus 2025 ; vérifier sur impots.gouv.fr pour les revenus 2026.</w:t>
      </w:r>
    </w:p>
    <w:p>
      <w:pPr>
        <w:pStyle w:val="Heading3"/>
        <w:spacing w:after="80" w:before="200"/>
      </w:pPr>
      <w:r>
        <w:rPr>
          <w:rFonts w:ascii="Times New Roman" w:cs="Times New Roman" w:eastAsia="Times New Roman" w:hAnsi="Times New Roman"/>
          <w:b/>
          <w:bCs/>
          <w:color w:val="1F2937"/>
          <w:sz w:val="26"/>
          <w:szCs w:val="26"/>
        </w:rPr>
        <w:t xml:space="preserve">Famille 3 — Propriété intellectuelle</w:t>
      </w:r>
    </w:p>
    <w:p>
      <w:pPr>
        <w:spacing w:after="80" w:before="80"/>
      </w:pPr>
      <w:r>
        <w:rPr>
          <w:rFonts w:ascii="Times New Roman" w:cs="Times New Roman" w:eastAsia="Times New Roman" w:hAnsi="Times New Roman"/>
          <w:color w:val="1F2937"/>
          <w:sz w:val="22"/>
          <w:szCs w:val="22"/>
        </w:rPr>
        <w:t xml:space="preserve">Cette famille regroupe les droits d'auteur (livres, musique, logiciels), les brevets, les licences de marque, les banques de photos ou de vidéos. L'effort initial est très élevé (création) ; la maintenance dépend de la durée de vie commerciale de l'œuvre.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droits d'auteur courent pendant 70 ans après la mort de l'auteur (droit français). Mais la « durée de vie commerciale » réelle d'une œuvre est souvent beaucoup plus courte.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Revenus imposables : revenus non commerciaux (BNC) ou traitements et salaires selon le cas, avec des règles spécifiques aux artistes-auteurs.</w:t>
      </w:r>
    </w:p>
    <w:p>
      <w:pPr>
        <w:pStyle w:val="Heading3"/>
        <w:spacing w:after="80" w:before="200"/>
      </w:pPr>
      <w:r>
        <w:rPr>
          <w:rFonts w:ascii="Times New Roman" w:cs="Times New Roman" w:eastAsia="Times New Roman" w:hAnsi="Times New Roman"/>
          <w:b/>
          <w:bCs/>
          <w:color w:val="1F2937"/>
          <w:sz w:val="26"/>
          <w:szCs w:val="26"/>
        </w:rPr>
        <w:t xml:space="preserve">Famille 4 — Modèles numériques</w:t>
      </w:r>
    </w:p>
    <w:p>
      <w:pPr>
        <w:spacing w:after="80" w:before="80"/>
      </w:pPr>
      <w:r>
        <w:rPr>
          <w:rFonts w:ascii="Times New Roman" w:cs="Times New Roman" w:eastAsia="Times New Roman" w:hAnsi="Times New Roman"/>
          <w:color w:val="1F2937"/>
          <w:sz w:val="22"/>
          <w:szCs w:val="22"/>
        </w:rPr>
        <w:t xml:space="preserve">La famille la plus médiatisée, et celle dont les promesses sont les plus souvent exagérées. Elle comprend les produits numériques (ebooks, formations, templates), les contenus monétisés (blog, YouTube, podcast, affiliation), les newsletters payantes et les micro-SaaS (logiciels en ligne à abonnement).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Capital requis : faible (hébergement, outils). Mais l'effort initial est très élevé : création de contenu, construction d'audience, référencement (SEO) — des processus qui prennent de 6 à 24 mois selon les sources secondaires consultées.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Maintenance : significative et sous-estimée. Un blog dépend d'algorithmes (Google, réseaux), une plateforme de cours nécessite mises à jour et support client, un micro-SaaS impose maintenance technique.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Dépendance aux plateformes : changement d'algorithme YouTube, fermeture d'un marketplace, modification des conditions d'affiliation Amazon — des risques structurels non maîtrisables.</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Tableau comparatif des 4 familles</w:t>
      </w:r>
    </w:p>
    <w:p>
      <w:pPr>
        <w:spacing w:after="80" w:before="80"/>
      </w:pPr>
    </w:p>
    <w:tbl>
      <w:tblPr>
        <w:tblW w:type="pct" w:w="100%"/>
        <w:tblBorders>
          <w:top w:val="single" w:color="1B3A6B" w:sz="4"/>
          <w:left w:val="single" w:color="1B3A6B" w:sz="4"/>
          <w:bottom w:val="single" w:color="1B3A6B" w:sz="4"/>
          <w:right w:val="single" w:color="1B3A6B" w:sz="4"/>
          <w:insideH w:val="single" w:color="auto" w:sz="4"/>
          <w:insideV w:val="single" w:color="auto" w:sz="4"/>
        </w:tblBorders>
      </w:tblPr>
      <w:tblGrid>
        <w:gridCol w:w="100"/>
        <w:gridCol w:w="100"/>
        <w:gridCol w:w="100"/>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Famille</w:t>
            </w:r>
          </w:p>
        </w:tc>
        <w:tc>
          <w:tcPr>
            <w:shd w:fill="1B3A6B" w:val="clear"/>
          </w:tcPr>
          <w:p>
            <w:r>
              <w:rPr>
                <w:rFonts w:ascii="Times New Roman" w:cs="Times New Roman" w:eastAsia="Times New Roman" w:hAnsi="Times New Roman"/>
                <w:b/>
                <w:bCs/>
                <w:color w:val="FFFFFF"/>
                <w:sz w:val="20"/>
                <w:szCs w:val="20"/>
              </w:rPr>
              <w:t xml:space="preserve">Sous-types principaux</w:t>
            </w:r>
          </w:p>
        </w:tc>
        <w:tc>
          <w:tcPr>
            <w:shd w:fill="1B3A6B" w:val="clear"/>
          </w:tcPr>
          <w:p>
            <w:r>
              <w:rPr>
                <w:rFonts w:ascii="Times New Roman" w:cs="Times New Roman" w:eastAsia="Times New Roman" w:hAnsi="Times New Roman"/>
                <w:b/>
                <w:bCs/>
                <w:color w:val="FFFFFF"/>
                <w:sz w:val="20"/>
                <w:szCs w:val="20"/>
              </w:rPr>
              <w:t xml:space="preserve">Capital requis</w:t>
            </w:r>
          </w:p>
        </w:tc>
        <w:tc>
          <w:tcPr>
            <w:shd w:fill="1B3A6B" w:val="clear"/>
          </w:tcPr>
          <w:p>
            <w:r>
              <w:rPr>
                <w:rFonts w:ascii="Times New Roman" w:cs="Times New Roman" w:eastAsia="Times New Roman" w:hAnsi="Times New Roman"/>
                <w:b/>
                <w:bCs/>
                <w:color w:val="FFFFFF"/>
                <w:sz w:val="20"/>
                <w:szCs w:val="20"/>
              </w:rPr>
              <w:t xml:space="preserve">Effort initial</w:t>
            </w:r>
          </w:p>
        </w:tc>
        <w:tc>
          <w:tcPr>
            <w:shd w:fill="1B3A6B" w:val="clear"/>
          </w:tcPr>
          <w:p>
            <w:r>
              <w:rPr>
                <w:rFonts w:ascii="Times New Roman" w:cs="Times New Roman" w:eastAsia="Times New Roman" w:hAnsi="Times New Roman"/>
                <w:b/>
                <w:bCs/>
                <w:color w:val="FFFFFF"/>
                <w:sz w:val="20"/>
                <w:szCs w:val="20"/>
              </w:rPr>
              <w:t xml:space="preserve">Maintenance</w:t>
            </w:r>
          </w:p>
        </w:tc>
        <w:tc>
          <w:tcPr>
            <w:shd w:fill="1B3A6B" w:val="clear"/>
          </w:tcPr>
          <w:p>
            <w:r>
              <w:rPr>
                <w:rFonts w:ascii="Times New Roman" w:cs="Times New Roman" w:eastAsia="Times New Roman" w:hAnsi="Times New Roman"/>
                <w:b/>
                <w:bCs/>
                <w:color w:val="FFFFFF"/>
                <w:sz w:val="20"/>
                <w:szCs w:val="20"/>
              </w:rPr>
              <w:t xml:space="preserve">Risque principal</w:t>
            </w:r>
          </w:p>
        </w:tc>
      </w:tr>
      <w:tr>
        <w:trPr>
          <w:tblHeader w:val="false"/>
        </w:trPr>
        <w:tc>
          <w:tcPr>
            <w:shd w:fill="FFFFFF" w:val="clear"/>
          </w:tcPr>
          <w:p>
            <w:r>
              <w:rPr>
                <w:rFonts w:ascii="Times New Roman" w:cs="Times New Roman" w:eastAsia="Times New Roman" w:hAnsi="Times New Roman"/>
                <w:color w:val="1F2937"/>
                <w:sz w:val="20"/>
                <w:szCs w:val="20"/>
              </w:rPr>
              <w:t xml:space="preserve">💶 Placements financiers</w:t>
            </w:r>
          </w:p>
        </w:tc>
        <w:tc>
          <w:tcPr>
            <w:shd w:fill="FFFFFF" w:val="clear"/>
          </w:tcPr>
          <w:p>
            <w:r>
              <w:rPr>
                <w:rFonts w:ascii="Times New Roman" w:cs="Times New Roman" w:eastAsia="Times New Roman" w:hAnsi="Times New Roman"/>
                <w:color w:val="1F2937"/>
                <w:sz w:val="20"/>
                <w:szCs w:val="20"/>
              </w:rPr>
              <w:t xml:space="preserve">Livret A/LDDS, fonds €, ETF distribuants, dividendes actions, assurance-vie</w:t>
            </w:r>
          </w:p>
        </w:tc>
        <w:tc>
          <w:tcPr>
            <w:shd w:fill="FFFFFF" w:val="clear"/>
          </w:tcPr>
          <w:p>
            <w:r>
              <w:rPr>
                <w:rFonts w:ascii="Times New Roman" w:cs="Times New Roman" w:eastAsia="Times New Roman" w:hAnsi="Times New Roman"/>
                <w:color w:val="1F2937"/>
                <w:sz w:val="20"/>
                <w:szCs w:val="20"/>
              </w:rPr>
              <w:t xml:space="preserve">Dès 1 €</w:t>
            </w:r>
          </w:p>
        </w:tc>
        <w:tc>
          <w:tcPr>
            <w:shd w:fill="FFFFFF" w:val="clear"/>
          </w:tcPr>
          <w:p>
            <w:r>
              <w:rPr>
                <w:rFonts w:ascii="Times New Roman" w:cs="Times New Roman" w:eastAsia="Times New Roman" w:hAnsi="Times New Roman"/>
                <w:color w:val="1F2937"/>
                <w:sz w:val="20"/>
                <w:szCs w:val="20"/>
              </w:rPr>
              <w:t xml:space="preserve">Faible (ouverture de compte)</w:t>
            </w:r>
          </w:p>
        </w:tc>
        <w:tc>
          <w:tcPr>
            <w:shd w:fill="FFFFFF" w:val="clear"/>
          </w:tcPr>
          <w:p>
            <w:r>
              <w:rPr>
                <w:rFonts w:ascii="Times New Roman" w:cs="Times New Roman" w:eastAsia="Times New Roman" w:hAnsi="Times New Roman"/>
                <w:color w:val="1F2937"/>
                <w:sz w:val="20"/>
                <w:szCs w:val="20"/>
              </w:rPr>
              <w:t xml:space="preserve">Quasi-nulle</w:t>
            </w:r>
          </w:p>
        </w:tc>
        <w:tc>
          <w:tcPr>
            <w:shd w:fill="FFFFFF" w:val="clear"/>
          </w:tcPr>
          <w:p>
            <w:r>
              <w:rPr>
                <w:rFonts w:ascii="Times New Roman" w:cs="Times New Roman" w:eastAsia="Times New Roman" w:hAnsi="Times New Roman"/>
                <w:color w:val="1F2937"/>
                <w:sz w:val="20"/>
                <w:szCs w:val="20"/>
              </w:rPr>
              <w:t xml:space="preserve">Risque marché (ETF/actions) ; risque faible pour livrets réglementés</w:t>
            </w:r>
          </w:p>
        </w:tc>
      </w:tr>
      <w:tr>
        <w:trPr>
          <w:tblHeader w:val="false"/>
        </w:trPr>
        <w:tc>
          <w:tcPr>
            <w:shd w:fill="EEF2F7" w:val="clear"/>
          </w:tcPr>
          <w:p>
            <w:r>
              <w:rPr>
                <w:rFonts w:ascii="Times New Roman" w:cs="Times New Roman" w:eastAsia="Times New Roman" w:hAnsi="Times New Roman"/>
                <w:color w:val="1F2937"/>
                <w:sz w:val="20"/>
                <w:szCs w:val="20"/>
              </w:rPr>
              <w:t xml:space="preserve">🏠 Immobilier</w:t>
            </w:r>
          </w:p>
        </w:tc>
        <w:tc>
          <w:tcPr>
            <w:shd w:fill="EEF2F7" w:val="clear"/>
          </w:tcPr>
          <w:p>
            <w:r>
              <w:rPr>
                <w:rFonts w:ascii="Times New Roman" w:cs="Times New Roman" w:eastAsia="Times New Roman" w:hAnsi="Times New Roman"/>
                <w:color w:val="1F2937"/>
                <w:sz w:val="20"/>
                <w:szCs w:val="20"/>
              </w:rPr>
              <w:t xml:space="preserve">Location nue, LMNP, SCPI, crowdfunding immo, colocation</w:t>
            </w:r>
          </w:p>
        </w:tc>
        <w:tc>
          <w:tcPr>
            <w:shd w:fill="EEF2F7" w:val="clear"/>
          </w:tcPr>
          <w:p>
            <w:r>
              <w:rPr>
                <w:rFonts w:ascii="Times New Roman" w:cs="Times New Roman" w:eastAsia="Times New Roman" w:hAnsi="Times New Roman"/>
                <w:color w:val="1F2937"/>
                <w:sz w:val="20"/>
                <w:szCs w:val="20"/>
              </w:rPr>
              <w:t xml:space="preserve">≥ 20 000 € (SCPI) à &gt; 100 k€ (bien direct)</w:t>
            </w:r>
          </w:p>
        </w:tc>
        <w:tc>
          <w:tcPr>
            <w:shd w:fill="EEF2F7" w:val="clear"/>
          </w:tcPr>
          <w:p>
            <w:r>
              <w:rPr>
                <w:rFonts w:ascii="Times New Roman" w:cs="Times New Roman" w:eastAsia="Times New Roman" w:hAnsi="Times New Roman"/>
                <w:color w:val="1F2937"/>
                <w:sz w:val="20"/>
                <w:szCs w:val="20"/>
              </w:rPr>
              <w:t xml:space="preserve">Élevé à très élevé (recherche, financement, travaux)</w:t>
            </w:r>
          </w:p>
        </w:tc>
        <w:tc>
          <w:tcPr>
            <w:shd w:fill="EEF2F7" w:val="clear"/>
          </w:tcPr>
          <w:p>
            <w:r>
              <w:rPr>
                <w:rFonts w:ascii="Times New Roman" w:cs="Times New Roman" w:eastAsia="Times New Roman" w:hAnsi="Times New Roman"/>
                <w:color w:val="1F2937"/>
                <w:sz w:val="20"/>
                <w:szCs w:val="20"/>
              </w:rPr>
              <w:t xml:space="preserve">Significative (gestion, entretien, fiscalité)</w:t>
            </w:r>
          </w:p>
        </w:tc>
        <w:tc>
          <w:tcPr>
            <w:shd w:fill="EEF2F7" w:val="clear"/>
          </w:tcPr>
          <w:p>
            <w:r>
              <w:rPr>
                <w:rFonts w:ascii="Times New Roman" w:cs="Times New Roman" w:eastAsia="Times New Roman" w:hAnsi="Times New Roman"/>
                <w:color w:val="1F2937"/>
                <w:sz w:val="20"/>
                <w:szCs w:val="20"/>
              </w:rPr>
              <w:t xml:space="preserve">Vacance locative, impayés, illiquidité</w:t>
            </w:r>
          </w:p>
        </w:tc>
      </w:tr>
      <w:tr>
        <w:trPr>
          <w:tblHeader w:val="false"/>
        </w:trPr>
        <w:tc>
          <w:tcPr>
            <w:shd w:fill="FFFFFF" w:val="clear"/>
          </w:tcPr>
          <w:p>
            <w:r>
              <w:rPr>
                <w:rFonts w:ascii="Times New Roman" w:cs="Times New Roman" w:eastAsia="Times New Roman" w:hAnsi="Times New Roman"/>
                <w:color w:val="1F2937"/>
                <w:sz w:val="20"/>
                <w:szCs w:val="20"/>
              </w:rPr>
              <w:t xml:space="preserve">📝 Propriété intellectuelle</w:t>
            </w:r>
          </w:p>
        </w:tc>
        <w:tc>
          <w:tcPr>
            <w:shd w:fill="FFFFFF" w:val="clear"/>
          </w:tcPr>
          <w:p>
            <w:r>
              <w:rPr>
                <w:rFonts w:ascii="Times New Roman" w:cs="Times New Roman" w:eastAsia="Times New Roman" w:hAnsi="Times New Roman"/>
                <w:color w:val="1F2937"/>
                <w:sz w:val="20"/>
                <w:szCs w:val="20"/>
              </w:rPr>
              <w:t xml:space="preserve">Droits d'auteur, royalties musicales, banques de photos/vidéos, brevets</w:t>
            </w:r>
          </w:p>
        </w:tc>
        <w:tc>
          <w:tcPr>
            <w:shd w:fill="FFFFFF" w:val="clear"/>
          </w:tcPr>
          <w:p>
            <w:r>
              <w:rPr>
                <w:rFonts w:ascii="Times New Roman" w:cs="Times New Roman" w:eastAsia="Times New Roman" w:hAnsi="Times New Roman"/>
                <w:color w:val="1F2937"/>
                <w:sz w:val="20"/>
                <w:szCs w:val="20"/>
              </w:rPr>
              <w:t xml:space="preserve">Faible (talent + temps)</w:t>
            </w:r>
          </w:p>
        </w:tc>
        <w:tc>
          <w:tcPr>
            <w:shd w:fill="FFFFFF" w:val="clear"/>
          </w:tcPr>
          <w:p>
            <w:r>
              <w:rPr>
                <w:rFonts w:ascii="Times New Roman" w:cs="Times New Roman" w:eastAsia="Times New Roman" w:hAnsi="Times New Roman"/>
                <w:color w:val="1F2937"/>
                <w:sz w:val="20"/>
                <w:szCs w:val="20"/>
              </w:rPr>
              <w:t xml:space="preserve">Très élevé (création)</w:t>
            </w:r>
          </w:p>
        </w:tc>
        <w:tc>
          <w:tcPr>
            <w:shd w:fill="FFFFFF" w:val="clear"/>
          </w:tcPr>
          <w:p>
            <w:r>
              <w:rPr>
                <w:rFonts w:ascii="Times New Roman" w:cs="Times New Roman" w:eastAsia="Times New Roman" w:hAnsi="Times New Roman"/>
                <w:color w:val="1F2937"/>
                <w:sz w:val="20"/>
                <w:szCs w:val="20"/>
              </w:rPr>
              <w:t xml:space="preserve">Modérée (mises à jour, droits)</w:t>
            </w:r>
          </w:p>
        </w:tc>
        <w:tc>
          <w:tcPr>
            <w:shd w:fill="FFFFFF" w:val="clear"/>
          </w:tcPr>
          <w:p>
            <w:r>
              <w:rPr>
                <w:rFonts w:ascii="Times New Roman" w:cs="Times New Roman" w:eastAsia="Times New Roman" w:hAnsi="Times New Roman"/>
                <w:color w:val="1F2937"/>
                <w:sz w:val="20"/>
                <w:szCs w:val="20"/>
              </w:rPr>
              <w:t xml:space="preserve">Obsolescence du contenu, piratage</w:t>
            </w:r>
          </w:p>
        </w:tc>
      </w:tr>
      <w:tr>
        <w:trPr>
          <w:tblHeader w:val="false"/>
        </w:trPr>
        <w:tc>
          <w:tcPr>
            <w:shd w:fill="EEF2F7" w:val="clear"/>
          </w:tcPr>
          <w:p>
            <w:r>
              <w:rPr>
                <w:rFonts w:ascii="Times New Roman" w:cs="Times New Roman" w:eastAsia="Times New Roman" w:hAnsi="Times New Roman"/>
                <w:color w:val="1F2937"/>
                <w:sz w:val="20"/>
                <w:szCs w:val="20"/>
              </w:rPr>
              <w:t xml:space="preserve">💻 Modèles numériques</w:t>
            </w:r>
          </w:p>
        </w:tc>
        <w:tc>
          <w:tcPr>
            <w:shd w:fill="EEF2F7" w:val="clear"/>
          </w:tcPr>
          <w:p>
            <w:r>
              <w:rPr>
                <w:rFonts w:ascii="Times New Roman" w:cs="Times New Roman" w:eastAsia="Times New Roman" w:hAnsi="Times New Roman"/>
                <w:color w:val="1F2937"/>
                <w:sz w:val="20"/>
                <w:szCs w:val="20"/>
              </w:rPr>
              <w:t xml:space="preserve">Ebook, formation en ligne, template, blog/affiliation, newsletter, micro-SaaS</w:t>
            </w:r>
          </w:p>
        </w:tc>
        <w:tc>
          <w:tcPr>
            <w:shd w:fill="EEF2F7" w:val="clear"/>
          </w:tcPr>
          <w:p>
            <w:r>
              <w:rPr>
                <w:rFonts w:ascii="Times New Roman" w:cs="Times New Roman" w:eastAsia="Times New Roman" w:hAnsi="Times New Roman"/>
                <w:color w:val="1F2937"/>
                <w:sz w:val="20"/>
                <w:szCs w:val="20"/>
              </w:rPr>
              <w:t xml:space="preserve">Faible (hébergement, outils)</w:t>
            </w:r>
          </w:p>
        </w:tc>
        <w:tc>
          <w:tcPr>
            <w:shd w:fill="EEF2F7" w:val="clear"/>
          </w:tcPr>
          <w:p>
            <w:r>
              <w:rPr>
                <w:rFonts w:ascii="Times New Roman" w:cs="Times New Roman" w:eastAsia="Times New Roman" w:hAnsi="Times New Roman"/>
                <w:color w:val="1F2937"/>
                <w:sz w:val="20"/>
                <w:szCs w:val="20"/>
              </w:rPr>
              <w:t xml:space="preserve">Très élevé (création, SEO, audience)</w:t>
            </w:r>
          </w:p>
        </w:tc>
        <w:tc>
          <w:tcPr>
            <w:shd w:fill="EEF2F7" w:val="clear"/>
          </w:tcPr>
          <w:p>
            <w:r>
              <w:rPr>
                <w:rFonts w:ascii="Times New Roman" w:cs="Times New Roman" w:eastAsia="Times New Roman" w:hAnsi="Times New Roman"/>
                <w:color w:val="1F2937"/>
                <w:sz w:val="20"/>
                <w:szCs w:val="20"/>
              </w:rPr>
              <w:t xml:space="preserve">Élevée (mises à jour, support, algo)</w:t>
            </w:r>
          </w:p>
        </w:tc>
        <w:tc>
          <w:tcPr>
            <w:shd w:fill="EEF2F7" w:val="clear"/>
          </w:tcPr>
          <w:p>
            <w:r>
              <w:rPr>
                <w:rFonts w:ascii="Times New Roman" w:cs="Times New Roman" w:eastAsia="Times New Roman" w:hAnsi="Times New Roman"/>
                <w:color w:val="1F2937"/>
                <w:sz w:val="20"/>
                <w:szCs w:val="20"/>
              </w:rPr>
              <w:t xml:space="preserve">Forte concurrence, dépendance aux plateformes</w:t>
            </w:r>
          </w:p>
        </w:tc>
      </w:tr>
    </w:tbl>
    <w:p>
      <w:pPr>
        <w:spacing w:after="80" w:before="80"/>
      </w:pPr>
    </w:p>
    <w:p>
      <w:pPr>
        <w:spacing w:after="80" w:before="80"/>
      </w:pPr>
      <w:r>
        <w:rPr>
          <w:rFonts w:ascii="Times New Roman" w:cs="Times New Roman" w:eastAsia="Times New Roman" w:hAnsi="Times New Roman"/>
          <w:color w:val="1F2937"/>
          <w:sz w:val="22"/>
          <w:szCs w:val="22"/>
        </w:rPr>
        <w:t xml:space="preserve">Source : classification pédagogique adaptée d'un guide généraliste en ligne, complétée par impots.gouv.fr pour la partie fiscale. ⚠️ Les taux et montants de ce tableau doivent être revérifiés aux sources primaires avant tout usage (voir la correction du taux du Livret A ci-dessus). Le tableau des critères est une synthèse pédagogique — pas une évaluation exhaustive.</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Ancrage réaliste — Ce que les comparateurs ne disent pas</w:t>
      </w:r>
    </w:p>
    <w:p>
      <w:pPr>
        <w:pStyle w:val="Heading3"/>
        <w:spacing w:after="80" w:before="200"/>
      </w:pPr>
      <w:r>
        <w:rPr>
          <w:rFonts w:ascii="Times New Roman" w:cs="Times New Roman" w:eastAsia="Times New Roman" w:hAnsi="Times New Roman"/>
          <w:b/>
          <w:bCs/>
          <w:color w:val="1F2937"/>
          <w:sz w:val="26"/>
          <w:szCs w:val="26"/>
        </w:rPr>
        <w:t xml:space="preserve">1. Le capital réel pour un revenu significatif</w:t>
      </w:r>
    </w:p>
    <w:p>
      <w:pPr>
        <w:spacing w:after="80" w:before="80"/>
      </w:pPr>
      <w:r>
        <w:rPr>
          <w:rFonts w:ascii="Times New Roman" w:cs="Times New Roman" w:eastAsia="Times New Roman" w:hAnsi="Times New Roman"/>
          <w:color w:val="1F2937"/>
          <w:sz w:val="22"/>
          <w:szCs w:val="22"/>
        </w:rPr>
        <w:t xml:space="preserve">Illustration chiffrée (calculs refaits et vérifiés ; montants de référence repris des sources primaires citées ci-dessous)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À 5 % brut (proche du taux moyen SCPI en 2025 : 4,91 %), pour 300 €/mois bruts : il faut environ 72 000 € de capital placé.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Pour atteindre 1 477,93 €/mois (SMIC net depuis le 1er juin 2026, date de la revalorisation automatique de 2,41 % — le seuil d'inflation ayant été franchi le 13 mai ; source primaire : </w:t>
      </w:r>
      <w:hyperlink w:history="1" r:id="rIdte2026">
        <w:r>
          <w:rPr>
            <w:rFonts w:ascii="Times New Roman" w:cs="Times New Roman" w:eastAsia="Times New Roman" w:hAnsi="Times New Roman"/>
            <w:sz w:val="22"/>
            <w:szCs w:val="22"/>
            <w:color w:val="1155CC"/>
            <w:u w:val="single"/>
          </w:rPr>
          <w:t xml:space="preserve">travail-emploi.gouv.fr</w:t>
        </w:r>
      </w:hyperlink>
      <w:r>
        <w:rPr>
          <w:rFonts w:ascii="Times New Roman" w:cs="Times New Roman" w:eastAsia="Times New Roman" w:hAnsi="Times New Roman"/>
          <w:color w:val="1F2937"/>
          <w:sz w:val="22"/>
          <w:szCs w:val="22"/>
        </w:rPr>
        <w:t xml:space="preserve"> — page protégée par un contrôle anti-robot pour l'agent du job, chiffres vérifiés le 12/09/2026 sur la reprise de la DREETS Normandie, </w:t>
      </w:r>
      <w:hyperlink w:history="1" r:id="rIddreets2026">
        <w:r>
          <w:rPr>
            <w:rFonts w:ascii="Times New Roman" w:cs="Times New Roman" w:eastAsia="Times New Roman" w:hAnsi="Times New Roman"/>
            <w:sz w:val="22"/>
            <w:szCs w:val="22"/>
            <w:color w:val="1155CC"/>
            <w:u w:val="single"/>
          </w:rPr>
          <w:t xml:space="preserve">normandie.dreets.gouv.fr</w:t>
        </w:r>
      </w:hyperlink>
      <w:r>
        <w:rPr>
          <w:rFonts w:ascii="Times New Roman" w:cs="Times New Roman" w:eastAsia="Times New Roman" w:hAnsi="Times New Roman"/>
          <w:color w:val="1F2937"/>
          <w:sz w:val="22"/>
          <w:szCs w:val="22"/>
        </w:rPr>
        <w:t xml:space="preserve"> — liens ajoutés le 12/09/2026) à 5 % brut : environ 355 000 € de capital. La première version de cette leçon retenait 1 443 € (valeur du 1er janvier 2026) et concluait à 345 000 € : un chiffre périmé déplace la cible de 10 000 €.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Ces calculs sont BRUTS. Après PFU 2026 (31,4 % sur les revenus mobiliers) ou barème progressif + prélèvements sociaux (revenus fonciers), le net est significativement inférieur.</w:t>
      </w:r>
    </w:p>
    <w:p>
      <w:pPr>
        <w:pBdr>
          <w:left w:val="single" w:color="D97706" w:sz="12"/>
        </w:pBdr>
        <w:shd w:fill="FFF4E5" w:val="clear"/>
        <w:spacing w:after="120" w:before="120"/>
        <w:ind w:left="360"/>
      </w:pPr>
      <w:r>
        <w:rPr>
          <w:rFonts w:ascii="Times New Roman" w:cs="Times New Roman" w:eastAsia="Times New Roman" w:hAnsi="Times New Roman"/>
          <w:color w:val="1F2937"/>
          <w:sz w:val="22"/>
          <w:szCs w:val="22"/>
        </w:rPr>
        <w:t xml:space="preserve">⚠️ Calcule toujours en net, pas en brut. La différence entre 5 % brut et 3,4 % net (après 31,4 % de PFU) est de plus de 30 % du revenu apparent.</w:t>
      </w:r>
    </w:p>
    <w:p>
      <w:pPr>
        <w:pStyle w:val="Heading3"/>
        <w:spacing w:after="80" w:before="200"/>
      </w:pPr>
      <w:r>
        <w:rPr>
          <w:rFonts w:ascii="Times New Roman" w:cs="Times New Roman" w:eastAsia="Times New Roman" w:hAnsi="Times New Roman"/>
          <w:b/>
          <w:bCs/>
          <w:color w:val="1F2937"/>
          <w:sz w:val="26"/>
          <w:szCs w:val="26"/>
        </w:rPr>
        <w:t xml:space="preserve">2. Effort réel masqué par famille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Immobilier direct : recherche du bien (des semaines à des mois), financement, travaux, gestion des locataires, déclaration fiscale annuelle. L'immobilier passif est un mythe à grande échelle — il est «semi-passif» au mieux.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SCPI : plus proche du passif réel, mais frais d'entrée élevés (8–12 % du montant investi selon les sociétés de gestion), illiquidité potentielle des parts, et risque de baisse de la valeur de la part.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Modèles numériques : les success stories publiées sur des plateformes comme Indie Hackers sont les survivants — ils représentent une infime minorité des tentatives. Le biais du survivant est massif dans ce secteur.</w:t>
      </w:r>
    </w:p>
    <w:p>
      <w:pPr>
        <w:pStyle w:val="Heading3"/>
        <w:spacing w:after="80" w:before="200"/>
      </w:pPr>
      <w:r>
        <w:rPr>
          <w:rFonts w:ascii="Times New Roman" w:cs="Times New Roman" w:eastAsia="Times New Roman" w:hAnsi="Times New Roman"/>
          <w:b/>
          <w:bCs/>
          <w:color w:val="1F2937"/>
          <w:sz w:val="26"/>
          <w:szCs w:val="26"/>
        </w:rPr>
        <w:t xml:space="preserve">3. Signaux d'arnaque par famille — Source : AMF (amf-france.org)</w:t>
      </w:r>
    </w:p>
    <w:p>
      <w:pPr>
        <w:pBdr>
          <w:left w:val="single" w:color="D97706" w:sz="12"/>
        </w:pBdr>
        <w:shd w:fill="FFF4E5" w:val="clear"/>
        <w:spacing w:after="120" w:before="120"/>
        <w:ind w:left="360"/>
      </w:pPr>
      <w:r>
        <w:rPr>
          <w:rFonts w:ascii="Times New Roman" w:cs="Times New Roman" w:eastAsia="Times New Roman" w:hAnsi="Times New Roman"/>
          <w:color w:val="1F2937"/>
          <w:sz w:val="22"/>
          <w:szCs w:val="22"/>
        </w:rPr>
        <w:t xml:space="preserve">L'AMF identifie les signaux d'alerte suivants, valables quelle que soit la famille de revenu passif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Vous ne connaissez pas la personne qui vous contacte.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On vous promet des rendements très élevés ET sans risque.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Vous devez prendre une décision rapidement (pression temporelle).</w:t>
      </w:r>
    </w:p>
    <w:p>
      <w:pPr>
        <w:spacing w:after="80" w:before="80"/>
      </w:pPr>
      <w:r>
        <w:rPr>
          <w:rFonts w:ascii="Times New Roman" w:cs="Times New Roman" w:eastAsia="Times New Roman" w:hAnsi="Times New Roman"/>
          <w:color w:val="1F2937"/>
          <w:sz w:val="22"/>
          <w:szCs w:val="22"/>
        </w:rPr>
        <w:t xml:space="preserve">Les listes noires AMF/ACPR recensent des milliers d'acteurs non autorisés (la page de l'AMF affiche environ 227 pages d'entrées). Ces listes ne sont pas exhaustives car de nouveaux acteurs apparaissent en permanence.</w:t>
      </w:r>
    </w:p>
    <w:p>
      <w:pPr>
        <w:pBdr>
          <w:left w:val="single" w:color="D97706" w:sz="12"/>
        </w:pBdr>
        <w:shd w:fill="FFF4E5" w:val="clear"/>
        <w:spacing w:after="120" w:before="120"/>
        <w:ind w:left="360"/>
      </w:pPr>
      <w:r>
        <w:rPr>
          <w:rFonts w:ascii="Times New Roman" w:cs="Times New Roman" w:eastAsia="Times New Roman" w:hAnsi="Times New Roman"/>
          <w:color w:val="1F2937"/>
          <w:sz w:val="22"/>
          <w:szCs w:val="22"/>
        </w:rPr>
        <w:t xml:space="preserve">🔴 Règle absolue : avant tout placement, vérifier que l'acteur figure dans les listes blanches AMF/ACPR (acteurs autorisés) sur protectepargne.amf-france.org.</w:t>
      </w:r>
    </w:p>
    <w:p>
      <w:pPr>
        <w:pStyle w:val="Heading3"/>
        <w:spacing w:after="80" w:before="200"/>
      </w:pPr>
      <w:r>
        <w:rPr>
          <w:rFonts w:ascii="Times New Roman" w:cs="Times New Roman" w:eastAsia="Times New Roman" w:hAnsi="Times New Roman"/>
          <w:b/>
          <w:bCs/>
          <w:color w:val="1F2937"/>
          <w:sz w:val="26"/>
          <w:szCs w:val="26"/>
        </w:rPr>
        <w:t xml:space="preserve">4. Fiscalité — Le vrai coût</w:t>
      </w:r>
    </w:p>
    <w:p>
      <w:pPr>
        <w:spacing w:after="80" w:before="80"/>
      </w:pPr>
      <w:r>
        <w:rPr>
          <w:rFonts w:ascii="Times New Roman" w:cs="Times New Roman" w:eastAsia="Times New Roman" w:hAnsi="Times New Roman"/>
          <w:color w:val="1F2937"/>
          <w:sz w:val="22"/>
          <w:szCs w:val="22"/>
        </w:rPr>
        <w:t xml:space="preserve">Comparatif simplifié selon la famille et le régime (données 2026 sourcées sur impots.gouv.fr)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Livret A/LDDS : 0 % impôt et 0 % prélèvements sociaux. C'est l'exception, pas la règle.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ETF distribuants, dividendes, intérêts obligataires : PFU 31,4 % (12,8 % IR + 18,6 % PS) ou barème progressif sur option.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Revenus fonciers (location nue, SCPI) : barème progressif IR + 17,2 % de prélèvements sociaux (au titre des revenus 2025 ; la hausse à 18,6 % s'applique aux prélèvements effectués à partir du 1er janvier 2026 — à vérifier sur impots.gouv.fr pour les revenus 2026).</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Micro-foncier (revenus ≤ 15 000 € bruts) : abattement 30 % sur le revenu brut, puis IR + PS.</w:t>
      </w:r>
    </w:p>
    <w:p>
      <w:pPr>
        <w:spacing w:after="80" w:before="80"/>
      </w:pPr>
      <w:r>
        <w:rPr>
          <w:rFonts w:ascii="Times New Roman" w:cs="Times New Roman" w:eastAsia="Times New Roman" w:hAnsi="Times New Roman"/>
          <w:color w:val="1F2937"/>
          <w:sz w:val="22"/>
          <w:szCs w:val="22"/>
        </w:rPr>
        <w:t xml:space="preserve">Note : les taux de prélèvements sociaux sur les revenus fonciers (17,2 % ou 18,6 %) dépendent de la date d'encaissement. En cas de doute pour ta situation, consulter impots.gouv.fr ou un professionnel agréé.</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Pratique (80 %) — 3 exercices actifs</w:t>
      </w:r>
    </w:p>
    <w:p>
      <w:pPr>
        <w:pStyle w:val="Heading3"/>
        <w:spacing w:after="80" w:before="200"/>
      </w:pPr>
      <w:r>
        <w:rPr>
          <w:rFonts w:ascii="Times New Roman" w:cs="Times New Roman" w:eastAsia="Times New Roman" w:hAnsi="Times New Roman"/>
          <w:b/>
          <w:bCs/>
          <w:color w:val="1F2937"/>
          <w:sz w:val="26"/>
          <w:szCs w:val="26"/>
        </w:rPr>
        <w:t xml:space="preserve">Exercice 1 — Cartographie personnelle des familles</w:t>
      </w:r>
    </w:p>
    <w:p>
      <w:pPr>
        <w:spacing w:after="80" w:before="80"/>
      </w:pPr>
      <w:r>
        <w:rPr>
          <w:rFonts w:ascii="Times New Roman" w:cs="Times New Roman" w:eastAsia="Times New Roman" w:hAnsi="Times New Roman"/>
          <w:color w:val="1F2937"/>
          <w:sz w:val="22"/>
          <w:szCs w:val="22"/>
        </w:rPr>
        <w:t xml:space="preserve">Durée estimée : 20–30 minutes.</w:t>
      </w:r>
    </w:p>
    <w:p>
      <w:pPr>
        <w:spacing w:after="80" w:before="80"/>
      </w:pPr>
      <w:r>
        <w:rPr>
          <w:rFonts w:ascii="Times New Roman" w:cs="Times New Roman" w:eastAsia="Times New Roman" w:hAnsi="Times New Roman"/>
          <w:color w:val="1F2937"/>
          <w:sz w:val="22"/>
          <w:szCs w:val="22"/>
        </w:rPr>
        <w:t xml:space="preserve">Objectif : concrétiser la grille de classification en l'appliquant à des situations réelles.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Prends une feuille (ou un tableur). Dresse un tableau à 4 colonnes : Famille | Exemple concret que tu connais (ou que tu as déjà rencontré en ligne, dans un livre, dans ton entourage) | Capital que cela nécessiterait | Première réaction spontanée (attrayant / réaliste / inquiétant / autre).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Remplis au moins 2 lignes par famille (8 exemples minimum).</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 2 exemples qui t'avaient semblé « vraiment passifs » avant cette leçon et qui, à la lumière du tableau comparatif, méritent d'être reclassés.</w:t>
      </w:r>
    </w:p>
    <w:p>
      <w:pPr>
        <w:spacing w:after="80" w:before="80"/>
      </w:pPr>
      <w:r>
        <w:rPr>
          <w:rFonts w:ascii="Times New Roman" w:cs="Times New Roman" w:eastAsia="Times New Roman" w:hAnsi="Times New Roman"/>
          <w:color w:val="1F2937"/>
          <w:sz w:val="22"/>
          <w:szCs w:val="22"/>
        </w:rPr>
        <w:t xml:space="preserve">Corrigé-type : il n'y a pas de réponse unique — mais un exemple fréquent : la « location Airbnb » est souvent perçue comme passive ; elle appartient à la famille immobilier, mais son niveau de maintenance (accueil, ménage, communication) la rend très active. Le but de cet exercice est de faire travailler ton sens critique, pas de mémoriser une liste.</w:t>
      </w:r>
    </w:p>
    <w:p>
      <w:pPr>
        <w:pStyle w:val="Heading3"/>
        <w:spacing w:after="80" w:before="200"/>
      </w:pPr>
      <w:r>
        <w:rPr>
          <w:rFonts w:ascii="Times New Roman" w:cs="Times New Roman" w:eastAsia="Times New Roman" w:hAnsi="Times New Roman"/>
          <w:b/>
          <w:bCs/>
          <w:color w:val="1F2937"/>
          <w:sz w:val="26"/>
          <w:szCs w:val="26"/>
        </w:rPr>
        <w:t xml:space="preserve">Exercice 2 — Simulation fiscale comparée</w:t>
      </w:r>
    </w:p>
    <w:p>
      <w:pPr>
        <w:spacing w:after="80" w:before="80"/>
      </w:pPr>
      <w:r>
        <w:rPr>
          <w:rFonts w:ascii="Times New Roman" w:cs="Times New Roman" w:eastAsia="Times New Roman" w:hAnsi="Times New Roman"/>
          <w:color w:val="1F2937"/>
          <w:sz w:val="22"/>
          <w:szCs w:val="22"/>
        </w:rPr>
        <w:t xml:space="preserve">Durée estimée : 30–45 minutes.</w:t>
      </w:r>
    </w:p>
    <w:p>
      <w:pPr>
        <w:spacing w:after="80" w:before="80"/>
      </w:pPr>
      <w:r>
        <w:rPr>
          <w:rFonts w:ascii="Times New Roman" w:cs="Times New Roman" w:eastAsia="Times New Roman" w:hAnsi="Times New Roman"/>
          <w:color w:val="1F2937"/>
          <w:sz w:val="22"/>
          <w:szCs w:val="22"/>
        </w:rPr>
        <w:t xml:space="preserve">Objectif : comprendre l'impact de la fiscalité sur le revenu net réel selon la famille.</w:t>
      </w:r>
    </w:p>
    <w:p>
      <w:pPr>
        <w:spacing w:after="80" w:before="80"/>
      </w:pPr>
      <w:r>
        <w:rPr>
          <w:rFonts w:ascii="Times New Roman" w:cs="Times New Roman" w:eastAsia="Times New Roman" w:hAnsi="Times New Roman"/>
          <w:color w:val="1F2937"/>
          <w:sz w:val="22"/>
          <w:szCs w:val="22"/>
        </w:rPr>
        <w:t xml:space="preserve">Données de départ : suppose que tu perçois 1 200 € bruts annuels de revenus passifs, répartis en 3 scénarios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A : 1 200 € d'intérêts sur un Livret A.</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B : 1 200 € de dividendes d'ETF (PEA exclu pour simplifier, PFU applicable).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C : 1 200 € de revenus fonciers nets de charges (micro-foncier, abattement 30 %).</w:t>
      </w:r>
    </w:p>
    <w:p>
      <w:pPr>
        <w:spacing w:after="80" w:before="80"/>
      </w:pPr>
      <w:r>
        <w:rPr>
          <w:rFonts w:ascii="Times New Roman" w:cs="Times New Roman" w:eastAsia="Times New Roman" w:hAnsi="Times New Roman"/>
          <w:color w:val="1F2937"/>
          <w:sz w:val="22"/>
          <w:szCs w:val="22"/>
        </w:rPr>
        <w:t xml:space="preserve">Questions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1. Combien gardes-tu dans chaque scénario (calcul en net)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2. Quel écart y a-t-il entre le scénario le plus favorable et le moins favorable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3. Comment la tranche marginale d'imposition influence-t-elle le scénario C (calcule pour TMI 11 % et TMI 30 %) ?</w:t>
      </w:r>
    </w:p>
    <w:p>
      <w:pPr>
        <w:spacing w:after="80" w:before="80"/>
      </w:pPr>
      <w:r>
        <w:rPr>
          <w:rFonts w:ascii="Times New Roman" w:cs="Times New Roman" w:eastAsia="Times New Roman" w:hAnsi="Times New Roman"/>
          <w:color w:val="1F2937"/>
          <w:sz w:val="22"/>
          <w:szCs w:val="22"/>
        </w:rPr>
        <w:t xml:space="preserve">Corrigé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A : 0 % (Livret A exonéré) → 1 200 € nets.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B : PFU 31,4 % sur 1 200 € → 31,4 % × 1 200 = 376,80 € d'impôts → net = 823,20 €.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Scénario C : abattement micro-foncier 30 % → base imposable = 840 €. Puis IR selon TMI + 17,2 % PS (revenus 2025). Pour TMI 11 % : IR = 92,40 € + PS = 144,48 € = 236,88 € → net = 963,12 €. Pour TMI 30 % : IR = 252 € + PS = 144,48 € = 396,48 € → net = 803,52 €.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Écart maximal : entre scénario A (1 200 € nets) et scénario B à TMI 30 % (~823 €) → presque 400 € d'écart sur 1 200 € bruts. La famille de revenu et le régime fiscal comptent autant que le taux de rendement brut affiché.</w:t>
      </w:r>
    </w:p>
    <w:p>
      <w:pPr>
        <w:pBdr>
          <w:left w:val="single" w:color="D97706" w:sz="12"/>
        </w:pBdr>
        <w:shd w:fill="FFF4E5" w:val="clear"/>
        <w:spacing w:after="120" w:before="120"/>
        <w:ind w:left="360"/>
      </w:pPr>
      <w:r>
        <w:rPr>
          <w:rFonts w:ascii="Times New Roman" w:cs="Times New Roman" w:eastAsia="Times New Roman" w:hAnsi="Times New Roman"/>
          <w:color w:val="1F2937"/>
          <w:sz w:val="22"/>
          <w:szCs w:val="22"/>
        </w:rPr>
        <w:t xml:space="preserve">⚠️ Ces calculs utilisent les taux sourcés sur impots.gouv.fr (PFU 12,8 % + PS 18,6 % en 2026 ; micro-foncier abattement 30 %). Vérifie toujours ta situation personnelle sur impots.gouv.fr ou avec un professionnel, car TMI et situations varient.</w:t>
      </w:r>
    </w:p>
    <w:p>
      <w:pPr>
        <w:pStyle w:val="Heading3"/>
        <w:spacing w:after="80" w:before="200"/>
      </w:pPr>
      <w:r>
        <w:rPr>
          <w:rFonts w:ascii="Times New Roman" w:cs="Times New Roman" w:eastAsia="Times New Roman" w:hAnsi="Times New Roman"/>
          <w:b/>
          <w:bCs/>
          <w:color w:val="1F2937"/>
          <w:sz w:val="26"/>
          <w:szCs w:val="26"/>
        </w:rPr>
        <w:t xml:space="preserve">Exercice 3 — Analyse critique d'une proposition réelle</w:t>
      </w:r>
    </w:p>
    <w:p>
      <w:pPr>
        <w:spacing w:after="80" w:before="80"/>
      </w:pPr>
      <w:r>
        <w:rPr>
          <w:rFonts w:ascii="Times New Roman" w:cs="Times New Roman" w:eastAsia="Times New Roman" w:hAnsi="Times New Roman"/>
          <w:color w:val="1F2937"/>
          <w:sz w:val="22"/>
          <w:szCs w:val="22"/>
        </w:rPr>
        <w:t xml:space="preserve">Durée estimée : 20–30 minutes.</w:t>
      </w:r>
    </w:p>
    <w:p>
      <w:pPr>
        <w:spacing w:after="80" w:before="80"/>
      </w:pPr>
      <w:r>
        <w:rPr>
          <w:rFonts w:ascii="Times New Roman" w:cs="Times New Roman" w:eastAsia="Times New Roman" w:hAnsi="Times New Roman"/>
          <w:color w:val="1F2937"/>
          <w:sz w:val="22"/>
          <w:szCs w:val="22"/>
        </w:rPr>
        <w:t xml:space="preserve">Objectif : appliquer la grille d'analyse et les signaux d'alerte AMF à une proposition concrète.</w:t>
      </w:r>
    </w:p>
    <w:p>
      <w:pPr>
        <w:spacing w:after="80" w:before="80"/>
      </w:pPr>
      <w:r>
        <w:rPr>
          <w:rFonts w:ascii="Times New Roman" w:cs="Times New Roman" w:eastAsia="Times New Roman" w:hAnsi="Times New Roman"/>
          <w:color w:val="1F2937"/>
          <w:sz w:val="22"/>
          <w:szCs w:val="22"/>
        </w:rPr>
        <w:t xml:space="preserve">Méthode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Choisis une publicité, une vidéo YouTube, un email ou un post de réseau social que tu as récemment vu et qui promettait un revenu passif.</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 tu n'en trouves pas, utilise cet exemple fictif fictif reconstruit à partir de patterns réels : « Rejoins notre programme exclusif de dropshipping IA : génère 3 000 €/mois en automatique, sans stock, sans expérience, dès les premières semaines. Accès limité, prix réduit jusqu'à dimanche. »</w:t>
      </w:r>
    </w:p>
    <w:p>
      <w:pPr>
        <w:spacing w:after="80" w:before="80"/>
      </w:pPr>
      <w:r>
        <w:rPr>
          <w:rFonts w:ascii="Times New Roman" w:cs="Times New Roman" w:eastAsia="Times New Roman" w:hAnsi="Times New Roman"/>
          <w:color w:val="1F2937"/>
          <w:sz w:val="22"/>
          <w:szCs w:val="22"/>
        </w:rPr>
        <w:t xml:space="preserve">Analyse en 4 points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1. À quelle famille appartient ce modèle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2. Quels signaux d'alerte AMF sont présents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3. Quels coûts cachés et quel effort réel sont passés sous silence ?</w:t>
      </w:r>
    </w:p>
    <w:p>
      <w:pPr>
        <w:pStyle w:val="ListParagraph"/>
        <w:numPr>
          <w:ilvl w:val="1"/>
          <w:numId w:val="1"/>
        </w:numPr>
        <w:spacing w:after="40" w:before="40"/>
      </w:pPr>
      <w:r>
        <w:rPr>
          <w:rFonts w:ascii="Times New Roman" w:cs="Times New Roman" w:eastAsia="Times New Roman" w:hAnsi="Times New Roman"/>
          <w:color w:val="1F2937"/>
          <w:sz w:val="22"/>
          <w:szCs w:val="22"/>
        </w:rPr>
        <w:t xml:space="preserve">4. Quel serait le capital (ou le temps initial) réaliste pour atteindre l'objectif annoncé ?</w:t>
      </w:r>
    </w:p>
    <w:p>
      <w:pPr>
        <w:spacing w:after="80" w:before="80"/>
      </w:pPr>
      <w:r>
        <w:rPr>
          <w:rFonts w:ascii="Times New Roman" w:cs="Times New Roman" w:eastAsia="Times New Roman" w:hAnsi="Times New Roman"/>
          <w:color w:val="1F2937"/>
          <w:sz w:val="22"/>
          <w:szCs w:val="22"/>
        </w:rPr>
        <w:t xml:space="preserve">Corrigé sur l'exemple fictif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1. Famille : modèles numériques (dropshipping = e-commerce automatisé).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2. Signaux AMF présents : rendement très élevé annoncé (3 000 €/mois), pression temporelle ("jusqu'à dimanche"), promesse "sans expérience".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3. Coûts cachés : frais de la "formation" elle-même (souvent plusieurs centaines à plusieurs milliers d'euros), outils (Shopify, publicités Meta/Google), gestion des retours clients, TVA à collecter selon CA.</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4. Effort réel : création et gestion d'une boutique, publicités, service client, sourcing fournisseurs — loin d'être automatique dès le départ.</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Challenge — Matrice de sélection personnelle</w:t>
      </w:r>
    </w:p>
    <w:p>
      <w:pPr>
        <w:spacing w:after="80" w:before="80"/>
      </w:pPr>
      <w:r>
        <w:rPr>
          <w:rFonts w:ascii="Times New Roman" w:cs="Times New Roman" w:eastAsia="Times New Roman" w:hAnsi="Times New Roman"/>
          <w:color w:val="1F2937"/>
          <w:sz w:val="22"/>
          <w:szCs w:val="22"/>
        </w:rPr>
        <w:t xml:space="preserve">Durée estimée : 45 minutes à 1 heure.</w:t>
      </w:r>
    </w:p>
    <w:p>
      <w:pPr>
        <w:spacing w:after="80" w:before="80"/>
      </w:pPr>
      <w:r>
        <w:rPr>
          <w:rFonts w:ascii="Times New Roman" w:cs="Times New Roman" w:eastAsia="Times New Roman" w:hAnsi="Times New Roman"/>
          <w:color w:val="1F2937"/>
          <w:sz w:val="22"/>
          <w:szCs w:val="22"/>
        </w:rPr>
        <w:t xml:space="preserve">Construis ta propre matrice de priorisation des 4 familles, adaptée à ta situation actuelle. L'objectif n'est pas de prendre une décision d'investissement (ce n'est pas le rôle de ce cours), mais de cartographier ce qui est réaliste pour toi aujourd'hui.</w:t>
      </w:r>
    </w:p>
    <w:p>
      <w:pPr>
        <w:spacing w:after="80" w:before="80"/>
      </w:pPr>
      <w:r>
        <w:rPr>
          <w:rFonts w:ascii="Times New Roman" w:cs="Times New Roman" w:eastAsia="Times New Roman" w:hAnsi="Times New Roman"/>
          <w:color w:val="1F2937"/>
          <w:sz w:val="22"/>
          <w:szCs w:val="22"/>
        </w:rPr>
        <w:t xml:space="preserve">Format suggéré (tableau)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Colonne 1 : Famille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Colonne 2 : Capital que j'aurais (ou pourrais mobiliser dans 12 mois) — en ordre de grandeur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Colonne 3 : Temps disponible par semaine pour l'effort initial (en heures)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Colonne 4 : Tolérance au risque perçue (faible / moyenne / élevée)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Colonne 5 : Famille compatible avec mes contraintes ? (oui / non / peut-être)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Colonne 6 : Un point de vigilance spécifique que je retiens pour cette famille</w:t>
      </w:r>
    </w:p>
    <w:p>
      <w:pPr>
        <w:spacing w:after="80" w:before="80"/>
      </w:pPr>
      <w:r>
        <w:rPr>
          <w:rFonts w:ascii="Times New Roman" w:cs="Times New Roman" w:eastAsia="Times New Roman" w:hAnsi="Times New Roman"/>
          <w:color w:val="1F2937"/>
          <w:sz w:val="22"/>
          <w:szCs w:val="22"/>
        </w:rPr>
        <w:t xml:space="preserve">Ensuite, formule une conclusion en 3 phrases maximum : quelle famille te semble la plus réaliste à explorer en priorité dans le cadre de ce parcours, et pourquoi ?</w:t>
      </w:r>
    </w:p>
    <w:p>
      <w:pPr>
        <w:pBdr>
          <w:left w:val="single" w:color="D97706" w:sz="12"/>
        </w:pBdr>
        <w:shd w:fill="FFF4E5" w:val="clear"/>
        <w:spacing w:after="120" w:before="120"/>
        <w:ind w:left="360"/>
      </w:pPr>
      <w:r>
        <w:rPr>
          <w:rFonts w:ascii="Times New Roman" w:cs="Times New Roman" w:eastAsia="Times New Roman" w:hAnsi="Times New Roman"/>
          <w:color w:val="1F2937"/>
          <w:sz w:val="22"/>
          <w:szCs w:val="22"/>
        </w:rPr>
        <w:t xml:space="preserve">Rappel déontologique : cette matrice est un outil pédagogique d'exploration, pas un conseil en investissement. Si tu envisages d'agir sur la base de cette réflexion, consulte un conseiller agréé (CIF inscrit à l'ORIAS).</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color w:val="1F2937"/>
          <w:sz w:val="22"/>
          <w:szCs w:val="22"/>
        </w:rPr>
        <w:t xml:space="preserve">Sources consultées pendant cette leçon :</w:t>
      </w:r>
    </w:p>
    <w:p>
      <w:pPr>
        <w:spacing w:after="40" w:before="80"/>
      </w:pPr>
      <w:r>
        <w:rPr>
          <w:rFonts w:ascii="Times New Roman" w:cs="Times New Roman" w:eastAsia="Times New Roman" w:hAnsi="Times New Roman"/>
          <w:b/>
          <w:bCs/>
          <w:color w:val="1F2937"/>
          <w:sz w:val="22"/>
          <w:szCs w:val="22"/>
        </w:rPr>
        <w:t xml:space="preserve">Sources officielles :</w:t>
      </w:r>
    </w:p>
    <w:p>
      <w:pPr>
        <w:pStyle w:val="ListParagraph"/>
        <w:numPr>
          <w:ilvl w:val="0"/>
          <w:numId w:val="1"/>
        </w:numPr>
        <w:spacing w:after="60" w:before="60"/>
      </w:pPr>
      <w:hyperlink w:history="1" r:id="rIdxtngzyei1lfrqrxiinerm">
        <w:r>
          <w:rPr>
            <w:rFonts w:ascii="Times New Roman" w:cs="Times New Roman" w:eastAsia="Times New Roman" w:hAnsi="Times New Roman"/>
            <w:color w:val="1155CC"/>
            <w:sz w:val="22"/>
            <w:szCs w:val="22"/>
            <w:u w:val="single"/>
          </w:rPr>
          <w:t xml:space="preserve">impots.gouv.fr — Les revenus mobiliers (PFU, PS, catégories)</w:t>
        </w:r>
      </w:hyperlink>
    </w:p>
    <w:p>
      <w:pPr>
        <w:pStyle w:val="ListParagraph"/>
        <w:numPr>
          <w:ilvl w:val="0"/>
          <w:numId w:val="1"/>
        </w:numPr>
        <w:spacing w:after="60" w:before="60"/>
      </w:pPr>
      <w:hyperlink w:history="1" r:id="rIdx5oux5k-5wttuhea0fqsm">
        <w:r>
          <w:rPr>
            <w:rFonts w:ascii="Times New Roman" w:cs="Times New Roman" w:eastAsia="Times New Roman" w:hAnsi="Times New Roman"/>
            <w:color w:val="1155CC"/>
            <w:sz w:val="22"/>
            <w:szCs w:val="22"/>
            <w:u w:val="single"/>
          </w:rPr>
          <w:t xml:space="preserve">bofip.impots.gouv.fr — Régime micro-foncier (revenus fonciers, seuil 15 000 €)</w:t>
        </w:r>
      </w:hyperlink>
    </w:p>
    <w:p>
      <w:pPr>
        <w:pStyle w:val="ListParagraph"/>
        <w:numPr>
          <w:ilvl w:val="0"/>
          <w:numId w:val="1"/>
        </w:numPr>
        <w:spacing w:after="60" w:before="60"/>
      </w:pPr>
      <w:hyperlink w:history="1" r:id="rIdqqkrdk4z3lbbcqmrcez8w">
        <w:r>
          <w:rPr>
            <w:rFonts w:ascii="Times New Roman" w:cs="Times New Roman" w:eastAsia="Times New Roman" w:hAnsi="Times New Roman"/>
            <w:color w:val="1155CC"/>
            <w:sz w:val="22"/>
            <w:szCs w:val="22"/>
            <w:u w:val="single"/>
          </w:rPr>
          <w:t xml:space="preserve">impots.gouv.fr — Location vide de meubles (revenus fonciers)</w:t>
        </w:r>
      </w:hyperlink>
    </w:p>
    <w:p>
      <w:pPr>
        <w:pStyle w:val="ListParagraph"/>
        <w:numPr>
          <w:ilvl w:val="0"/>
          <w:numId w:val="1"/>
        </w:numPr>
        <w:spacing w:after="60" w:before="60"/>
      </w:pPr>
      <w:hyperlink w:history="1" r:id="rIdxpmifej3rq7zh5wlh_ev1">
        <w:r>
          <w:rPr>
            <w:rFonts w:ascii="Times New Roman" w:cs="Times New Roman" w:eastAsia="Times New Roman" w:hAnsi="Times New Roman"/>
            <w:color w:val="1155CC"/>
            <w:sz w:val="22"/>
            <w:szCs w:val="22"/>
            <w:u w:val="single"/>
          </w:rPr>
          <w:t xml:space="preserve">AMF — Espace Épargnants (protection, listes noires, mises en garde)</w:t>
        </w:r>
      </w:hyperlink>
    </w:p>
    <w:p>
      <w:pPr>
        <w:pStyle w:val="ListParagraph"/>
        <w:numPr>
          <w:ilvl w:val="0"/>
          <w:numId w:val="1"/>
        </w:numPr>
        <w:spacing w:after="60" w:before="60"/>
      </w:pPr>
      <w:hyperlink w:history="1" r:id="rId99to6wwtegp5naacrwmwc">
        <w:r>
          <w:rPr>
            <w:rFonts w:ascii="Times New Roman" w:cs="Times New Roman" w:eastAsia="Times New Roman" w:hAnsi="Times New Roman"/>
            <w:color w:val="1155CC"/>
            <w:sz w:val="22"/>
            <w:szCs w:val="22"/>
            <w:u w:val="single"/>
          </w:rPr>
          <w:t xml:space="preserve">AMF — Listes noires et mises en garde (acteurs non autorisés)</w:t>
        </w:r>
      </w:hyperlink>
    </w:p>
    <w:p>
      <w:pPr>
        <w:pStyle w:val="ListParagraph"/>
        <w:numPr>
          <w:ilvl w:val="0"/>
          <w:numId w:val="1"/>
        </w:numPr>
        <w:spacing w:after="60" w:before="60"/>
      </w:pPr>
      <w:hyperlink w:history="1" r:id="rIdhmtvnt0nuk2w-jmniahi1">
        <w:r>
          <w:rPr>
            <w:rFonts w:ascii="Times New Roman" w:cs="Times New Roman" w:eastAsia="Times New Roman" w:hAnsi="Times New Roman"/>
            <w:color w:val="1155CC"/>
            <w:sz w:val="22"/>
            <w:szCs w:val="22"/>
            <w:u w:val="single"/>
          </w:rPr>
          <w:t xml:space="preserve">AMF Protect Épargne — Vérifier un acteur financier</w:t>
        </w:r>
      </w:hyperlink>
    </w:p>
    <w:p>
      <w:pPr>
        <w:spacing w:after="40" w:before="80"/>
      </w:pPr>
      <w:r>
        <w:rPr>
          <w:rFonts w:ascii="Times New Roman" w:cs="Times New Roman" w:eastAsia="Times New Roman" w:hAnsi="Times New Roman"/>
          <w:b/>
          <w:bCs/>
          <w:color w:val="1F2937"/>
          <w:sz w:val="22"/>
          <w:szCs w:val="22"/>
        </w:rPr>
        <w:t xml:space="preserve">Sources secondaires consultées :</w:t>
      </w:r>
    </w:p>
    <w:p>
      <w:pPr>
        <w:pStyle w:val="ListParagraph"/>
        <w:numPr>
          <w:ilvl w:val="0"/>
          <w:numId w:val="1"/>
        </w:numPr>
        <w:spacing w:after="60" w:before="60"/>
      </w:pPr>
      <w:hyperlink w:history="1" r:id="rIdg70wqhfleogbwo-3wrccg">
        <w:r>
          <w:rPr>
            <w:rFonts w:ascii="Times New Roman" w:cs="Times New Roman" w:eastAsia="Times New Roman" w:hAnsi="Times New Roman"/>
            <w:color w:val="1155CC"/>
            <w:sz w:val="22"/>
            <w:szCs w:val="22"/>
            <w:u w:val="single"/>
          </w:rPr>
          <w:t xml:space="preserve">european-funding-guide.eu — Revenu passif en France 2026 : sources réalistes, fiscalité et erreurs à éviter. ⚠️ Agrégateur utile pour la vue d'ensemble, mais dont les valeurs chiffrées ne sont PAS tenues à jour : c'est de là que venaient le taux du Livret A et le SMIC périmés de la première version. À ne jamais utiliser comme source d'un taux ou d'un montant.</w:t>
        </w:r>
      </w:hyperlink>
    </w:p>
    <w:p>
      <w:pPr>
        <w:pStyle w:val="ListParagraph"/>
        <w:numPr>
          <w:ilvl w:val="0"/>
          <w:numId w:val="1"/>
        </w:numPr>
        <w:spacing w:after="60" w:before="60"/>
      </w:pPr>
      <w:hyperlink w:history="1" r:id="rIdte2026">
        <w:r>
          <w:rPr>
            <w:rFonts w:ascii="Times New Roman" w:cs="Times New Roman" w:eastAsia="Times New Roman" w:hAnsi="Times New Roman"/>
            <w:color w:val="1155CC"/>
            <w:sz w:val="22"/>
            <w:szCs w:val="22"/>
            <w:u w:val="single"/>
          </w:rPr>
          <w:t xml:space="preserve">travail-emploi.gouv.fr — Revalorisation du SMIC au 1er juin 2026</w:t>
        </w:r>
      </w:hyperlink>
      <w:r>
        <w:rPr>
          <w:rFonts w:ascii="Times New Roman" w:cs="Times New Roman" w:eastAsia="Times New Roman" w:hAnsi="Times New Roman"/>
          <w:color w:val="1155CC"/>
          <w:sz w:val="22"/>
          <w:szCs w:val="22"/>
          <w:u w:val="single"/>
        </w:rPr>
        <w:t xml:space="preserve"> — AJOUTÉE LE 12/09/2026 : source primaire du SMIC net (1 477,93 €) cité dans l'illustration chiffrée ; page derrière un contrôle anti-robot pour l'agent du job, lisible dans un navigateur. Chiffres vérifiés sur la reprise de la DREETS Normandie, liée dans le texte.</w:t>
      </w:r>
    </w:p>
    <w:p>
      <w:pPr>
        <w:pStyle w:val="ListParagraph"/>
        <w:numPr>
          <w:ilvl w:val="0"/>
          <w:numId w:val="1"/>
        </w:numPr>
        <w:spacing w:after="60" w:before="60"/>
      </w:pPr>
      <w:hyperlink w:history="1" r:id="rIdpresse2026">
        <w:r>
          <w:rPr>
            <w:rFonts w:ascii="Times New Roman" w:cs="Times New Roman" w:eastAsia="Times New Roman" w:hAnsi="Times New Roman"/>
            <w:color w:val="1155CC"/>
            <w:sz w:val="22"/>
            <w:szCs w:val="22"/>
            <w:u w:val="single"/>
          </w:rPr>
          <w:t xml:space="preserve">presse.economie.gouv.fr — Épargne réglementée : le Livret A passe à 1,7 % et le LEP se maintient à 2,5 % à compter du 1er août 2026 (communiqué du 15/07/2026)</w:t>
        </w:r>
      </w:hyperlink>
      <w:r>
        <w:rPr>
          <w:rFonts w:ascii="Times New Roman" w:cs="Times New Roman" w:eastAsia="Times New Roman" w:hAnsi="Times New Roman"/>
          <w:color w:val="1155CC"/>
          <w:sz w:val="22"/>
          <w:szCs w:val="22"/>
          <w:u w:val="single"/>
        </w:rPr>
        <w:t xml:space="preserve"> — AJOUTÉE LE 12/09/2026 : source primaire du taux cité dans la Famille 1, nommée sans lien depuis la correction du 02/08.</w:t>
      </w:r>
    </w:p>
    <w:p>
      <w:pPr>
        <w:spacing w:after="40" w:before="80"/>
      </w:pPr>
      <w:r>
        <w:rPr>
          <w:rFonts w:ascii="Times New Roman" w:cs="Times New Roman" w:eastAsia="Times New Roman" w:hAnsi="Times New Roman"/>
          <w:b/>
          <w:bCs/>
          <w:color w:val="1F2937"/>
          <w:sz w:val="22"/>
          <w:szCs w:val="22"/>
        </w:rPr>
        <w:t xml:space="preserve">Sources non accessibles (⛔) :</w:t>
      </w:r>
    </w:p>
    <w:p>
      <w:pPr>
        <w:spacing w:after="80" w:before="80"/>
      </w:pPr>
      <w:r>
        <w:rPr>
          <w:rFonts w:ascii="Times New Roman" w:cs="Times New Roman" w:eastAsia="Times New Roman" w:hAnsi="Times New Roman"/>
          <w:color w:val="1F2937"/>
          <w:sz w:val="22"/>
          <w:szCs w:val="22"/>
        </w:rPr>
        <w:t xml:space="preserve">⛔ AMF — Comprendre les produits financiers (404 au moment de la consultation)</w:t>
      </w:r>
    </w:p>
    <w:p>
      <w:pPr>
        <w:spacing w:after="80" w:before="80"/>
      </w:pPr>
      <w:r>
        <w:rPr>
          <w:rFonts w:ascii="Times New Roman" w:cs="Times New Roman" w:eastAsia="Times New Roman" w:hAnsi="Times New Roman"/>
          <w:color w:val="1F2937"/>
          <w:sz w:val="22"/>
          <w:szCs w:val="22"/>
        </w:rPr>
        <w:t xml:space="preserve">⛔ impots.gouv.fr — Les revenus de capitaux mobiliers (URL directe — 404 ; accès via WebSearch sur les pages secondaires)</w:t>
      </w:r>
    </w:p>
    <w:p>
      <w:pPr>
        <w:spacing w:after="80" w:before="80"/>
      </w:pPr>
      <w:r>
        <w:rPr>
          <w:rFonts w:ascii="Times New Roman" w:cs="Times New Roman" w:eastAsia="Times New Roman" w:hAnsi="Times New Roman"/>
          <w:color w:val="1F2937"/>
          <w:sz w:val="22"/>
          <w:szCs w:val="22"/>
        </w:rPr>
        <w:t xml:space="preserve">⛔ investopedia.com (bloqué en mode headless)</w:t>
      </w:r>
    </w:p>
    <w:p>
      <w:pPr>
        <w:spacing w:after="80" w:before="80"/>
      </w:pPr>
      <w:r>
        <w:rPr>
          <w:rFonts w:ascii="Times New Roman" w:cs="Times New Roman" w:eastAsia="Times New Roman" w:hAnsi="Times New Roman"/>
          <w:color w:val="1F2937"/>
          <w:sz w:val="22"/>
          <w:szCs w:val="22"/>
        </w:rPr>
        <w:t xml:space="preserve">⛔ service-public.gouv.fr/N20072 (404 après redirection)</w:t>
      </w:r>
    </w:p>
    <w:p>
      <w:pPr>
        <w:pBdr>
          <w:bottom w:val="single" w:color="1B3A6B" w:sz="6"/>
        </w:pBdr>
        <w:spacing w:after="160" w:before="160"/>
      </w:pPr>
    </w:p>
    <w:p>
      <w:pPr>
        <w:pStyle w:val="Heading2"/>
        <w:spacing w:after="120" w:before="320"/>
      </w:pPr>
      <w:r>
        <w:rPr>
          <w:rFonts w:ascii="Times New Roman" w:cs="Times New Roman" w:eastAsia="Times New Roman" w:hAnsi="Times New Roman"/>
          <w:b/>
          <w:bCs/>
          <w:color w:val="1B3A6B"/>
          <w:sz w:val="30"/>
          <w:szCs w:val="30"/>
        </w:rPr>
        <w:t xml:space="preserve">🔜 Prochaine leçon — n°03</w:t>
      </w:r>
    </w:p>
    <w:p>
      <w:pPr>
        <w:spacing w:after="80" w:before="80"/>
      </w:pPr>
      <w:r>
        <w:rPr>
          <w:rFonts w:ascii="Times New Roman" w:cs="Times New Roman" w:eastAsia="Times New Roman" w:hAnsi="Times New Roman"/>
          <w:color w:val="1F2937"/>
          <w:sz w:val="22"/>
          <w:szCs w:val="22"/>
        </w:rPr>
        <w:t xml:space="preserve">Thème : La mécanique d'un modèle passif — les trois intrants (capital, temps, compétence) et le point de bascule.</w:t>
      </w:r>
    </w:p>
    <w:p>
      <w:pPr>
        <w:spacing w:after="80" w:before="80"/>
      </w:pPr>
      <w:r>
        <w:rPr>
          <w:rFonts w:ascii="Times New Roman" w:cs="Times New Roman" w:eastAsia="Times New Roman" w:hAnsi="Times New Roman"/>
          <w:color w:val="1F2937"/>
          <w:sz w:val="22"/>
          <w:szCs w:val="22"/>
        </w:rPr>
        <w:t xml:space="preserve">Tu verras comment tout modèle passif combine ces trois ressources en proportions variables, et à partir de quel seuil le revenu commence à compenser l'investissement initial. Cette leçon introduira les concepts de ROI temporel, de point de bascule et de durée d'amortissement.</w:t>
      </w:r>
    </w:p>
    <w:p>
      <w:pPr>
        <w:spacing w:after="40" w:before="40"/>
      </w:pPr>
    </w:p>
    <w:p>
      <w:pPr>
        <w:pBdr>
          <w:bottom w:val="single" w:color="1B3A6B" w:sz="6"/>
        </w:pBdr>
        <w:spacing w:after="160" w:before="160"/>
      </w:pPr>
    </w:p>
    <w:p>
      <w:pPr>
        <w:spacing w:after="40" w:before="80"/>
        <w:jc w:val="center"/>
      </w:pPr>
      <w:r>
        <w:rPr>
          <w:rFonts w:ascii="Times New Roman" w:cs="Times New Roman" w:eastAsia="Times New Roman" w:hAnsi="Times New Roman"/>
          <w:i/>
          <w:iCs/>
          <w:color w:val="1F2937"/>
          <w:sz w:val="18"/>
          <w:szCs w:val="18"/>
        </w:rPr>
        <w:t xml:space="preserve">Leçon éducative et généraliste — Pas de conseil en investissement</w:t>
      </w:r>
    </w:p>
    <w:p>
      <w:pPr>
        <w:spacing w:after="80" w:before="0"/>
        <w:jc w:val="center"/>
      </w:pPr>
      <w:r>
        <w:rPr>
          <w:rFonts w:ascii="Times New Roman" w:cs="Times New Roman" w:eastAsia="Times New Roman" w:hAnsi="Times New Roman"/>
          <w:i/>
          <w:iCs/>
          <w:color w:val="1F2937"/>
          <w:sz w:val="18"/>
          <w:szCs w:val="18"/>
        </w:rPr>
        <w:t xml:space="preserve">Décision : ta responsabilité — le cas échéant avec un professionnel agréé (CIF/ORIAS)</w:t>
      </w:r>
    </w:p>
    <w:p>
      <w:pPr>
        <w:spacing w:after="120" w:before="320"/>
      </w:pPr>
      <w:r>
        <w:rPr>
          <w:rFonts w:ascii="Times New Roman" w:cs="Times New Roman" w:eastAsia="Times New Roman" w:hAnsi="Times New Roman"/>
          <w:b/>
          <w:bCs/>
          <w:color w:val="1B3A6B"/>
          <w:sz w:val="28"/>
          <w:szCs w:val="28"/>
        </w:rPr>
        <w:t xml:space="preserve">📝 Journal des corrections — 12 septembre 2026</w:t>
      </w:r>
    </w:p>
    <w:p>
      <w:pPr>
        <w:spacing w:after="80"/>
      </w:pPr>
      <w:r>
        <w:rPr>
          <w:rFonts w:ascii="Times New Roman" w:cs="Times New Roman" w:eastAsia="Times New Roman" w:hAnsi="Times New Roman"/>
          <w:color w:val="1F2937"/>
          <w:sz w:val="22"/>
          <w:szCs w:val="22"/>
        </w:rPr>
        <w:t xml:space="preserve">Leçon produite le 02/08/2026 et corrigée le jour même (taux du Livret A, SMIC), relue le 12/09/2026 au cours d'un contrôle d'attribution des 221 documents du dépôt. Une correction de forme, sur les corrections du 02/08 elles-mêmes.</w:t>
      </w:r>
    </w:p>
    <w:p>
      <w:pPr>
        <w:spacing w:after="80"/>
      </w:pPr>
      <w:r>
        <w:rPr>
          <w:rFonts w:ascii="Times New Roman" w:cs="Times New Roman" w:eastAsia="Times New Roman" w:hAnsi="Times New Roman"/>
          <w:color w:val="1F2937"/>
          <w:sz w:val="22"/>
          <w:szCs w:val="22"/>
        </w:rPr>
        <w:t xml:space="preserve">Les deux passages corrigés le 02/08 écrivaient « source primaire : communiqué du ministère de l'Économie, presse.economie.gouv.fr » et « source primaire : travail-emploi.gouv.fr » — la bonne source, nommée, sans lien ni adresse. Les valeurs (1,7 % au 1er août 2026 ; 1 477,93 € net, +2,41 %, seuil franchi le 13 mai) sont vérifiées le 12/09/2026 : le communiqué du 15/07/2026 porte le taux ; la page du ministère du Travail répond à un navigateur mais oppose un contrôle anti-robot à l'agent du job — la reprise de la DREETS Normandie, lisible, porte tous les chiffres et est liée aussi. Deux ressources ajoutées.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tngzyei1lfrqrxiinerm" Type="http://schemas.openxmlformats.org/officeDocument/2006/relationships/hyperlink" Target="https://www.impots.gouv.fr/particulier/les-revenus-mobiliers" TargetMode="External"/><Relationship Id="rIdx5oux5k-5wttuhea0fqsm" Type="http://schemas.openxmlformats.org/officeDocument/2006/relationships/hyperlink" Target="https://bofip.impots.gouv.fr/bofip/3973-PGP.html/identifiant=BOI-RFPI-DECLA-10-20250306" TargetMode="External"/><Relationship Id="rIdqqkrdk4z3lbbcqmrcez8w" Type="http://schemas.openxmlformats.org/officeDocument/2006/relationships/hyperlink" Target="https://www.impots.gouv.fr/particulier/location-vide-de-meubles" TargetMode="External"/><Relationship Id="rIdxpmifej3rq7zh5wlh_ev1" Type="http://schemas.openxmlformats.org/officeDocument/2006/relationships/hyperlink" Target="https://www.amf-france.org/fr/espace-epargnants" TargetMode="External"/><Relationship Id="rId99to6wwtegp5naacrwmwc" Type="http://schemas.openxmlformats.org/officeDocument/2006/relationships/hyperlink" Target="https://www.amf-france.org/fr/espace-epargnants/proteger-son-epargne/listes-noires-et-mises-en-garde" TargetMode="External"/><Relationship Id="rIdhmtvnt0nuk2w-jmniahi1" Type="http://schemas.openxmlformats.org/officeDocument/2006/relationships/hyperlink" Target="https://protectepargne.amf-france.org/" TargetMode="External"/><Relationship Id="rIdg70wqhfleogbwo-3wrccg" Type="http://schemas.openxmlformats.org/officeDocument/2006/relationships/hyperlink" Target="https://www.european-funding-guide.eu/fr/revenu-passif" TargetMode="External"/><Relationship Id="rId14" Type="http://schemas.openxmlformats.org/officeDocument/2006/relationships/fontTable" Target="fontTable.xml"/><Relationship Id="rIdpresse2026" Type="http://schemas.openxmlformats.org/officeDocument/2006/relationships/hyperlink" Target="https://presse.economie.gouv.fr/epargne-reglementee-le-livret-a-passe-a-17-et-le-lep-se-maintient-a-25-a-compter-du-1er-aout-2026/" TargetMode="External"/><Relationship Id="rIdte2026" Type="http://schemas.openxmlformats.org/officeDocument/2006/relationships/hyperlink" Target="https://travail-emploi.gouv.fr/revalorisation-du-smic-au-1er-juin-2026" TargetMode="External"/><Relationship Id="rIddreets2026" Type="http://schemas.openxmlformats.org/officeDocument/2006/relationships/hyperlink" Target="https://normandie.dreets.gouv.fr/Revalorisation-annuelle-du-SMIC-au-1er-juin-2026"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2026-08-02T05:08:07.196Z</dcterms:created>
  <dcterms:modified xsi:type="dcterms:W3CDTF">2026-08-02T05:08:07.214Z</dcterms:modified>
</cp:coreProperties>
</file>

<file path=docProps/custom.xml><?xml version="1.0" encoding="utf-8"?>
<Properties xmlns="http://schemas.openxmlformats.org/officeDocument/2006/custom-properties" xmlns:vt="http://schemas.openxmlformats.org/officeDocument/2006/docPropsVTypes"/>
</file>