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60"/>
        <w:jc w:val="center"/>
      </w:pPr>
      <w:r>
        <w:rPr>
          <w:rFonts w:ascii="Times New Roman" w:cs="Times New Roman" w:eastAsia="Times New Roman" w:hAnsi="Times New Roman"/>
          <w:b/>
          <w:bCs/>
          <w:color w:val="1B3A6B"/>
          <w:sz w:val="52"/>
          <w:szCs w:val="52"/>
        </w:rPr>
        <w:t xml:space="preserve">Leçon Revenus passifs n°03 / 10</w:t>
      </w:r>
    </w:p>
    <w:p>
      <w:pPr>
        <w:pStyle w:val="Heading1"/>
        <w:spacing w:after="160" w:before="160"/>
        <w:jc w:val="center"/>
      </w:pPr>
      <w:r>
        <w:rPr>
          <w:rFonts w:ascii="Times New Roman" w:cs="Times New Roman" w:eastAsia="Times New Roman" w:hAnsi="Times New Roman"/>
          <w:b/>
          <w:bCs/>
          <w:color w:val="1B3A6B"/>
          <w:sz w:val="52"/>
          <w:szCs w:val="52"/>
        </w:rPr>
        <w:t xml:space="preserve">La mécanique d'un modèle passif</w:t>
      </w:r>
    </w:p>
    <w:p>
      <w:pPr>
        <w:pStyle w:val="Heading1"/>
        <w:spacing w:after="160" w:before="160"/>
        <w:jc w:val="center"/>
      </w:pPr>
      <w:r>
        <w:rPr>
          <w:rFonts w:ascii="Times New Roman" w:cs="Times New Roman" w:eastAsia="Times New Roman" w:hAnsi="Times New Roman"/>
          <w:b/>
          <w:bCs/>
          <w:color w:val="1B3A6B"/>
          <w:sz w:val="52"/>
          <w:szCs w:val="52"/>
        </w:rPr>
        <w:t xml:space="preserve">Les trois intrants et le point de bascule</w:t>
      </w:r>
    </w:p>
    <w:p>
      <w:pPr>
        <w:spacing w:after="80" w:before="80"/>
        <w:jc w:val="center"/>
      </w:pPr>
      <w:r>
        <w:rPr>
          <w:rFonts w:ascii="Times New Roman" w:cs="Times New Roman" w:eastAsia="Times New Roman" w:hAnsi="Times New Roman"/>
          <w:i/>
          <w:iCs/>
          <w:color w:val="1F2937"/>
          <w:sz w:val="20"/>
          <w:szCs w:val="20"/>
        </w:rPr>
        <w:t xml:space="preserve">Date : 9 août 2026  |  Leçon 03 / 10  |  Parcours Revenus passifs</w:t>
      </w:r>
    </w:p>
    <w:p>
      <w:pPr>
        <w:spacing w:after="80" w:before="80"/>
      </w:pPr>
    </w:p>
    <w:p>
      <w:pPr>
        <w:pStyle w:val="Heading2"/>
        <w:spacing w:after="120" w:before="280"/>
      </w:pPr>
      <w:r>
        <w:rPr>
          <w:rFonts w:ascii="Times New Roman" w:cs="Times New Roman" w:eastAsia="Times New Roman" w:hAnsi="Times New Roman"/>
          <w:b/>
          <w:bCs/>
          <w:color w:val="1B3A6B"/>
          <w:sz w:val="30"/>
          <w:szCs w:val="30"/>
        </w:rPr>
        <w:t xml:space="preserve">⚠️ Cadre déontologique</w:t>
      </w:r>
    </w:p>
    <w:p>
      <w:pPr>
        <w:pBdr>
          <w:left w:val="thick" w:color="D97706" w:sz="12"/>
        </w:pBdr>
        <w:shd w:fill="FFF4E5" w:val="clear"/>
        <w:spacing w:after="80" w:before="80"/>
        <w:ind w:left="360"/>
      </w:pPr>
      <w:r>
        <w:rPr>
          <w:rFonts w:ascii="Times New Roman" w:cs="Times New Roman" w:eastAsia="Times New Roman" w:hAnsi="Times New Roman"/>
          <w:b w:val="false"/>
          <w:bCs w:val="false"/>
          <w:color w:val="1F2937"/>
          <w:sz w:val="22"/>
          <w:szCs w:val="22"/>
        </w:rPr>
        <w:t xml:space="preserve">Ces leçons sont ÉDUCATIVES et GÉNÉRALISTES. Elles n'ont PAS valeur de conseil en investissement ni de recommandation personnalisée. En France, le conseil en investissement financier est une activité réglementée (statut CIF, registre ORIAS). Aucune leçon ne dit quoi acheter, quand, ni pour quel montant. Toute décision relève de ta seule responsabilité, le cas échéant avec un conseiller agréé.</w:t>
      </w:r>
    </w:p>
    <w:p>
      <w:pPr>
        <w:spacing w:after="80" w:before="80"/>
      </w:pPr>
    </w:p>
    <w:p>
      <w:pPr>
        <w:pStyle w:val="Heading2"/>
        <w:spacing w:after="120" w:before="280"/>
      </w:pPr>
      <w:r>
        <w:rPr>
          <w:rFonts w:ascii="Times New Roman" w:cs="Times New Roman" w:eastAsia="Times New Roman" w:hAnsi="Times New Roman"/>
          <w:b/>
          <w:bCs/>
          <w:color w:val="1B3A6B"/>
          <w:sz w:val="30"/>
          <w:szCs w:val="30"/>
        </w:rPr>
        <w:t xml:space="preserve">🎯 Objectif et continuité du parcours</w:t>
      </w:r>
    </w:p>
    <w:p>
      <w:pPr>
        <w:spacing w:after="80" w:before="80"/>
      </w:pPr>
      <w:r>
        <w:rPr>
          <w:rFonts w:ascii="Times New Roman" w:cs="Times New Roman" w:eastAsia="Times New Roman" w:hAnsi="Times New Roman"/>
          <w:color w:val="1F2937"/>
          <w:sz w:val="22"/>
          <w:szCs w:val="22"/>
        </w:rPr>
        <w:t xml:space="preserve">Après cette leçon, tu seras capable 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Identifier les trois intrants de tout modèle passif (capital, temps, compétence) et mesurer leur poids relatif pour un modèle donné.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Calculer le point de bascule d'un modèle simple : moment où les revenus générés compensent les coûts et l'effort initial.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Diagnostiquer pourquoi un modèle « passif » reste en réalité actif — et jusqu'à quand.</w:t>
      </w:r>
    </w:p>
    <w:p>
      <w:pPr>
        <w:spacing w:after="80" w:before="80"/>
      </w:pP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Lien avec la leçon 02 : tu as cartographié les grandes familles de revenus passifs (capital requis, effort initial, maintenance, risque). La leçon 03 entre dans le moteur : comment fonctionne une machine à revenus passifs, quels carburants elle consomme, et quand elle devient réellement « autonome ».</w:t>
      </w:r>
    </w:p>
    <w:p>
      <w:pPr>
        <w:spacing w:after="80" w:before="80"/>
      </w:pPr>
    </w:p>
    <w:p>
      <w:pPr>
        <w:pStyle w:val="Heading2"/>
        <w:spacing w:after="120" w:before="280"/>
      </w:pPr>
      <w:r>
        <w:rPr>
          <w:rFonts w:ascii="Times New Roman" w:cs="Times New Roman" w:eastAsia="Times New Roman" w:hAnsi="Times New Roman"/>
          <w:b/>
          <w:bCs/>
          <w:color w:val="1B3A6B"/>
          <w:sz w:val="30"/>
          <w:szCs w:val="30"/>
        </w:rPr>
        <w:t xml:space="preserve">🔬 Théorie (20%) — Le moteur d'un modèle passif</w:t>
      </w:r>
    </w:p>
    <w:p>
      <w:pPr>
        <w:pStyle w:val="Heading3"/>
        <w:spacing w:after="80" w:before="200"/>
      </w:pPr>
      <w:r>
        <w:rPr>
          <w:rFonts w:ascii="Times New Roman" w:cs="Times New Roman" w:eastAsia="Times New Roman" w:hAnsi="Times New Roman"/>
          <w:b/>
          <w:bCs/>
          <w:color w:val="1F2937"/>
          <w:sz w:val="26"/>
          <w:szCs w:val="26"/>
        </w:rPr>
        <w:t xml:space="preserve">1. Les trois intrants universels</w:t>
      </w:r>
    </w:p>
    <w:p>
      <w:pPr>
        <w:spacing w:after="80" w:before="80"/>
      </w:pPr>
      <w:r>
        <w:rPr>
          <w:rFonts w:ascii="Times New Roman" w:cs="Times New Roman" w:eastAsia="Times New Roman" w:hAnsi="Times New Roman"/>
          <w:color w:val="1F2937"/>
          <w:sz w:val="22"/>
          <w:szCs w:val="22"/>
        </w:rPr>
        <w:t xml:space="preserve">Tout modèle productif repose sur trois intrants. Leur combinaison varie selon le type de modèle, mais aucun n'est jamais absent.</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vAlign w:val="center"/>
          </w:tcPr>
          <w:p>
            <w:pPr>
              <w:jc w:val="center"/>
            </w:pPr>
            <w:r>
              <w:rPr>
                <w:rFonts w:ascii="Times New Roman" w:cs="Times New Roman" w:eastAsia="Times New Roman" w:hAnsi="Times New Roman"/>
                <w:b/>
                <w:bCs/>
                <w:color w:val="FFFFFF"/>
                <w:sz w:val="18"/>
                <w:szCs w:val="18"/>
              </w:rPr>
              <w:t xml:space="preserve">Intrant</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Définition</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Exemple — locatif</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Exemple — produit numérique</w:t>
            </w:r>
          </w:p>
        </w:tc>
      </w:tr>
      <w:tr>
        <w:tc>
          <w:tcPr>
            <w:shd w:fill="FFFFFF" w:val="clear"/>
            <w:vAlign w:val="center"/>
          </w:tcPr>
          <w:p>
            <w:r>
              <w:rPr>
                <w:rFonts w:ascii="Times New Roman" w:cs="Times New Roman" w:eastAsia="Times New Roman" w:hAnsi="Times New Roman"/>
                <w:color w:val="1F2937"/>
                <w:sz w:val="18"/>
                <w:szCs w:val="18"/>
              </w:rPr>
              <w:t xml:space="preserve">Capital (€)</w:t>
            </w:r>
          </w:p>
        </w:tc>
        <w:tc>
          <w:tcPr>
            <w:shd w:fill="FFFFFF" w:val="clear"/>
            <w:vAlign w:val="center"/>
          </w:tcPr>
          <w:p>
            <w:r>
              <w:rPr>
                <w:rFonts w:ascii="Times New Roman" w:cs="Times New Roman" w:eastAsia="Times New Roman" w:hAnsi="Times New Roman"/>
                <w:color w:val="1F2937"/>
                <w:sz w:val="18"/>
                <w:szCs w:val="18"/>
              </w:rPr>
              <w:t xml:space="preserve">Argent immobilisé dans l'actif</w:t>
            </w:r>
          </w:p>
        </w:tc>
        <w:tc>
          <w:tcPr>
            <w:shd w:fill="FFFFFF" w:val="clear"/>
            <w:vAlign w:val="center"/>
          </w:tcPr>
          <w:p>
            <w:r>
              <w:rPr>
                <w:rFonts w:ascii="Times New Roman" w:cs="Times New Roman" w:eastAsia="Times New Roman" w:hAnsi="Times New Roman"/>
                <w:color w:val="1F2937"/>
                <w:sz w:val="18"/>
                <w:szCs w:val="18"/>
              </w:rPr>
              <w:t xml:space="preserve">Apport + crédit → bien immobilier</w:t>
            </w:r>
          </w:p>
        </w:tc>
        <w:tc>
          <w:tcPr>
            <w:shd w:fill="FFFFFF" w:val="clear"/>
            <w:vAlign w:val="center"/>
          </w:tcPr>
          <w:p>
            <w:r>
              <w:rPr>
                <w:rFonts w:ascii="Times New Roman" w:cs="Times New Roman" w:eastAsia="Times New Roman" w:hAnsi="Times New Roman"/>
                <w:color w:val="1F2937"/>
                <w:sz w:val="18"/>
                <w:szCs w:val="18"/>
              </w:rPr>
              <w:t xml:space="preserve">Outils, hébergement (coût mensuel)</w:t>
            </w:r>
          </w:p>
        </w:tc>
      </w:tr>
      <w:tr>
        <w:tc>
          <w:tcPr>
            <w:shd w:fill="EEF2F7" w:val="clear"/>
            <w:vAlign w:val="center"/>
          </w:tcPr>
          <w:p>
            <w:r>
              <w:rPr>
                <w:rFonts w:ascii="Times New Roman" w:cs="Times New Roman" w:eastAsia="Times New Roman" w:hAnsi="Times New Roman"/>
                <w:color w:val="1F2937"/>
                <w:sz w:val="18"/>
                <w:szCs w:val="18"/>
              </w:rPr>
              <w:t xml:space="preserve">Temps (h)</w:t>
            </w:r>
          </w:p>
        </w:tc>
        <w:tc>
          <w:tcPr>
            <w:shd w:fill="EEF2F7" w:val="clear"/>
            <w:vAlign w:val="center"/>
          </w:tcPr>
          <w:p>
            <w:r>
              <w:rPr>
                <w:rFonts w:ascii="Times New Roman" w:cs="Times New Roman" w:eastAsia="Times New Roman" w:hAnsi="Times New Roman"/>
                <w:color w:val="1F2937"/>
                <w:sz w:val="18"/>
                <w:szCs w:val="18"/>
              </w:rPr>
              <w:t xml:space="preserve">Heures investies avant que l'actif génère des flux</w:t>
            </w:r>
          </w:p>
        </w:tc>
        <w:tc>
          <w:tcPr>
            <w:shd w:fill="EEF2F7" w:val="clear"/>
            <w:vAlign w:val="center"/>
          </w:tcPr>
          <w:p>
            <w:r>
              <w:rPr>
                <w:rFonts w:ascii="Times New Roman" w:cs="Times New Roman" w:eastAsia="Times New Roman" w:hAnsi="Times New Roman"/>
                <w:color w:val="1F2937"/>
                <w:sz w:val="18"/>
                <w:szCs w:val="18"/>
              </w:rPr>
              <w:t xml:space="preserve">Recherche, travaux, mise en location</w:t>
            </w:r>
          </w:p>
        </w:tc>
        <w:tc>
          <w:tcPr>
            <w:shd w:fill="EEF2F7" w:val="clear"/>
            <w:vAlign w:val="center"/>
          </w:tcPr>
          <w:p>
            <w:r>
              <w:rPr>
                <w:rFonts w:ascii="Times New Roman" w:cs="Times New Roman" w:eastAsia="Times New Roman" w:hAnsi="Times New Roman"/>
                <w:color w:val="1F2937"/>
                <w:sz w:val="18"/>
                <w:szCs w:val="18"/>
              </w:rPr>
              <w:t xml:space="preserve">Création du cours, enregistrement, montage</w:t>
            </w:r>
          </w:p>
        </w:tc>
      </w:tr>
      <w:tr>
        <w:tc>
          <w:tcPr>
            <w:shd w:fill="FFFFFF" w:val="clear"/>
            <w:vAlign w:val="center"/>
          </w:tcPr>
          <w:p>
            <w:r>
              <w:rPr>
                <w:rFonts w:ascii="Times New Roman" w:cs="Times New Roman" w:eastAsia="Times New Roman" w:hAnsi="Times New Roman"/>
                <w:color w:val="1F2937"/>
                <w:sz w:val="18"/>
                <w:szCs w:val="18"/>
              </w:rPr>
              <w:t xml:space="preserve">Compétence</w:t>
            </w:r>
          </w:p>
        </w:tc>
        <w:tc>
          <w:tcPr>
            <w:shd w:fill="FFFFFF" w:val="clear"/>
            <w:vAlign w:val="center"/>
          </w:tcPr>
          <w:p>
            <w:r>
              <w:rPr>
                <w:rFonts w:ascii="Times New Roman" w:cs="Times New Roman" w:eastAsia="Times New Roman" w:hAnsi="Times New Roman"/>
                <w:color w:val="1F2937"/>
                <w:sz w:val="18"/>
                <w:szCs w:val="18"/>
              </w:rPr>
              <w:t xml:space="preserve">Expertise pour créer, gérer, maintenir l'actif</w:t>
            </w:r>
          </w:p>
        </w:tc>
        <w:tc>
          <w:tcPr>
            <w:shd w:fill="FFFFFF" w:val="clear"/>
            <w:vAlign w:val="center"/>
          </w:tcPr>
          <w:p>
            <w:r>
              <w:rPr>
                <w:rFonts w:ascii="Times New Roman" w:cs="Times New Roman" w:eastAsia="Times New Roman" w:hAnsi="Times New Roman"/>
                <w:color w:val="1F2937"/>
                <w:sz w:val="18"/>
                <w:szCs w:val="18"/>
              </w:rPr>
              <w:t xml:space="preserve">Analyse renta, droit locatif, fiscalité</w:t>
            </w:r>
          </w:p>
        </w:tc>
        <w:tc>
          <w:tcPr>
            <w:shd w:fill="FFFFFF" w:val="clear"/>
            <w:vAlign w:val="center"/>
          </w:tcPr>
          <w:p>
            <w:r>
              <w:rPr>
                <w:rFonts w:ascii="Times New Roman" w:cs="Times New Roman" w:eastAsia="Times New Roman" w:hAnsi="Times New Roman"/>
                <w:color w:val="1F2937"/>
                <w:sz w:val="18"/>
                <w:szCs w:val="18"/>
              </w:rPr>
              <w:t xml:space="preserve">Copywriting, SEO, pédagogie, technique</w:t>
            </w:r>
          </w:p>
        </w:tc>
      </w:tr>
    </w:tbl>
    <w:p>
      <w:pPr>
        <w:spacing w:after="80" w:before="80"/>
      </w:pPr>
    </w:p>
    <w:p>
      <w:pPr>
        <w:spacing w:after="80" w:before="80"/>
      </w:pPr>
      <w:r>
        <w:rPr>
          <w:rFonts w:ascii="Times New Roman" w:cs="Times New Roman" w:eastAsia="Times New Roman" w:hAnsi="Times New Roman"/>
          <w:b/>
          <w:bCs/>
          <w:color w:val="1F2937"/>
          <w:sz w:val="22"/>
          <w:szCs w:val="22"/>
        </w:rPr>
        <w:t xml:space="preserve">Point clé : augmenter un intrant peut réduire les autres — mais jamais les éliminer tous.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Beaucoup de capital → moins de temps (délégation) mais compétence exigée pour arbitrer.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Beaucoup de compétence → capital initial plus faible (ex. créer un produit numérique soi-même) mais temps maximal.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Beaucoup de temps initial → peut compenser capital et compétence, mais c'est exactement ce que l'on cherche à minimiser dans un modèle passif.</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2. La courbe d'effort — du lancement à l'autonomie</w:t>
      </w:r>
    </w:p>
    <w:p>
      <w:pPr>
        <w:spacing w:after="80" w:before="80"/>
      </w:pPr>
      <w:r>
        <w:rPr>
          <w:rFonts w:ascii="Times New Roman" w:cs="Times New Roman" w:eastAsia="Times New Roman" w:hAnsi="Times New Roman"/>
          <w:color w:val="1F2937"/>
          <w:sz w:val="22"/>
          <w:szCs w:val="22"/>
        </w:rPr>
        <w:t xml:space="preserve">Un modèle passif ne devient réellement passif qu'après une phase active initiale. Cette courbe est quasi universelle :</w:t>
      </w:r>
    </w:p>
    <w:p>
      <w:pPr>
        <w:spacing w:after="80" w:before="80"/>
      </w:pPr>
    </w:p>
    <w:p>
      <w:pPr>
        <w:pBdr>
          <w:left w:val="thick" w:color="1B3A6B" w:sz="12"/>
        </w:pBdr>
        <w:shd w:fill="EEF2F7" w:val="clear"/>
        <w:spacing w:after="80" w:before="80"/>
        <w:ind w:left="360"/>
      </w:pPr>
      <w:r>
        <w:rPr>
          <w:rFonts w:ascii="Times New Roman" w:cs="Times New Roman" w:eastAsia="Times New Roman" w:hAnsi="Times New Roman"/>
          <w:b/>
          <w:bCs/>
          <w:i/>
          <w:iCs/>
          <w:color w:val="1F2937"/>
          <w:sz w:val="22"/>
          <w:szCs w:val="22"/>
        </w:rPr>
        <w:t xml:space="preserve">Phase 1 — Création : effort maximal, revenus nuls ou marginaux.</w:t>
      </w:r>
    </w:p>
    <w:p>
      <w:pPr>
        <w:pBdr>
          <w:left w:val="thick" w:color="1B3A6B" w:sz="12"/>
        </w:pBdr>
        <w:shd w:fill="EEF2F7" w:val="clear"/>
        <w:spacing w:after="80" w:before="80"/>
        <w:ind w:left="360"/>
      </w:pPr>
      <w:r>
        <w:rPr>
          <w:rFonts w:ascii="Times New Roman" w:cs="Times New Roman" w:eastAsia="Times New Roman" w:hAnsi="Times New Roman"/>
          <w:b/>
          <w:bCs/>
          <w:i/>
          <w:iCs/>
          <w:color w:val="1F2937"/>
          <w:sz w:val="22"/>
          <w:szCs w:val="22"/>
        </w:rPr>
        <w:t xml:space="preserve">Phase 2 — Lancement : effort décroissant, premiers revenus, frais encore élevés.</w:t>
      </w:r>
    </w:p>
    <w:p>
      <w:pPr>
        <w:pBdr>
          <w:left w:val="thick" w:color="1B3A6B" w:sz="12"/>
        </w:pBdr>
        <w:shd w:fill="EEF2F7" w:val="clear"/>
        <w:spacing w:after="80" w:before="80"/>
        <w:ind w:left="360"/>
      </w:pPr>
      <w:r>
        <w:rPr>
          <w:rFonts w:ascii="Times New Roman" w:cs="Times New Roman" w:eastAsia="Times New Roman" w:hAnsi="Times New Roman"/>
          <w:b/>
          <w:bCs/>
          <w:i/>
          <w:iCs/>
          <w:color w:val="1F2937"/>
          <w:sz w:val="22"/>
          <w:szCs w:val="22"/>
        </w:rPr>
        <w:t xml:space="preserve">Phase 3 — Croisière : effort de maintenance résiduel, revenus stables.</w:t>
      </w:r>
    </w:p>
    <w:p>
      <w:pPr>
        <w:pBdr>
          <w:left w:val="thick" w:color="1B3A6B" w:sz="12"/>
        </w:pBdr>
        <w:shd w:fill="EEF2F7" w:val="clear"/>
        <w:spacing w:after="80" w:before="80"/>
        <w:ind w:left="360"/>
      </w:pPr>
      <w:r>
        <w:rPr>
          <w:rFonts w:ascii="Times New Roman" w:cs="Times New Roman" w:eastAsia="Times New Roman" w:hAnsi="Times New Roman"/>
          <w:b/>
          <w:bCs/>
          <w:i/>
          <w:iCs/>
          <w:color w:val="1F2937"/>
          <w:sz w:val="22"/>
          <w:szCs w:val="22"/>
        </w:rPr>
        <w:t xml:space="preserve">Phase 4 — Déclin éventuel : saturation, obsolescence, concurrence — à anticiper (leçon 10).</w:t>
      </w:r>
    </w:p>
    <w:p>
      <w:pPr>
        <w:spacing w:after="80" w:before="80"/>
      </w:pPr>
    </w:p>
    <w:p>
      <w:pPr>
        <w:pBdr>
          <w:left w:val="thick" w:color="D97706" w:sz="12"/>
        </w:pBdr>
        <w:shd w:fill="FFF4E5" w:val="clear"/>
        <w:spacing w:after="80" w:before="80"/>
        <w:ind w:left="360"/>
      </w:pPr>
      <w:r>
        <w:rPr>
          <w:rFonts w:ascii="Times New Roman" w:cs="Times New Roman" w:eastAsia="Times New Roman" w:hAnsi="Times New Roman"/>
          <w:color w:val="1F2937"/>
          <w:sz w:val="22"/>
          <w:szCs w:val="22"/>
        </w:rPr>
        <w:t xml:space="preserve">Ce que les vendeurs de méthode ne montrent jamais : la Phase 1 est toujours plus longue et plus coûteuse que prévu. La courbe d'effort présentée dans les formations commerciales saute directement de « tu crées » à « ça rapporte » en omettant la Phase 2.</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3. Le point de bascule</w:t>
      </w:r>
    </w:p>
    <w:p>
      <w:pPr>
        <w:spacing w:after="80" w:before="80"/>
      </w:pPr>
      <w:r>
        <w:rPr>
          <w:rFonts w:ascii="Times New Roman" w:cs="Times New Roman" w:eastAsia="Times New Roman" w:hAnsi="Times New Roman"/>
          <w:color w:val="1F2937"/>
          <w:sz w:val="22"/>
          <w:szCs w:val="22"/>
        </w:rPr>
        <w:t xml:space="preserve">Le point de bascule est le moment où deux conditions sont réunies simultanément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revenus cumulés couvrent l'ensemble des coûts engagés (breakeven financier)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ET l'effort résiduel de maintenance passe sous un seuil jugé acceptable (breakeven effort).</w:t>
      </w:r>
    </w:p>
    <w:p>
      <w:pPr>
        <w:spacing w:after="80" w:before="80"/>
      </w:pPr>
    </w:p>
    <w:p>
      <w:pPr>
        <w:spacing w:after="80" w:before="80"/>
      </w:pPr>
      <w:r>
        <w:rPr>
          <w:rFonts w:ascii="Times New Roman" w:cs="Times New Roman" w:eastAsia="Times New Roman" w:hAnsi="Times New Roman"/>
          <w:color w:val="1F2937"/>
          <w:sz w:val="22"/>
          <w:szCs w:val="22"/>
        </w:rPr>
        <w:t xml:space="preserve">Ces deux breakevens ne coïncident pas toujours. Un modèle peut être rentable financièrement (coûts remboursés) tout en exigeant encore un effort hebdomadaire significatif.</w:t>
      </w:r>
    </w:p>
    <w:p>
      <w:pPr>
        <w:spacing w:after="80" w:before="80"/>
      </w:pPr>
    </w:p>
    <w:p>
      <w:pPr>
        <w:spacing w:after="80" w:before="80"/>
      </w:pPr>
      <w:r>
        <w:rPr>
          <w:rFonts w:ascii="Times New Roman" w:cs="Times New Roman" w:eastAsia="Times New Roman" w:hAnsi="Times New Roman"/>
          <w:b/>
          <w:bCs/>
          <w:color w:val="1F2937"/>
          <w:sz w:val="22"/>
          <w:szCs w:val="22"/>
        </w:rPr>
        <w:t xml:space="preserve">Formule de base du breakeven financier (modèle à placement de capital) :</w:t>
      </w:r>
    </w:p>
    <w:p>
      <w:pPr>
        <w:pBdr>
          <w:left w:val="thick" w:color="1B3A6B" w:sz="12"/>
        </w:pBdr>
        <w:shd w:fill="EEF2F7" w:val="clear"/>
        <w:spacing w:after="80" w:before="80"/>
        <w:ind w:left="360"/>
      </w:pPr>
      <w:r>
        <w:rPr>
          <w:rFonts w:ascii="Times New Roman" w:cs="Times New Roman" w:eastAsia="Times New Roman" w:hAnsi="Times New Roman"/>
          <w:b/>
          <w:bCs/>
          <w:i/>
          <w:iCs/>
          <w:color w:val="1B3A6B"/>
          <w:sz w:val="22"/>
          <w:szCs w:val="22"/>
        </w:rPr>
        <w:t xml:space="preserve">Capital requis = Revenu mensuel cible × 12 ÷ Rendement net annuel attendu</w:t>
      </w:r>
    </w:p>
    <w:p>
      <w:pPr>
        <w:spacing w:after="80" w:before="80"/>
      </w:pPr>
      <w:r>
        <w:rPr>
          <w:rFonts w:ascii="Times New Roman" w:cs="Times New Roman" w:eastAsia="Times New Roman" w:hAnsi="Times New Roman"/>
          <w:color w:val="1F2937"/>
          <w:sz w:val="22"/>
          <w:szCs w:val="22"/>
        </w:rPr>
        <w:t xml:space="preserve">Exemple (source : european-funding-guide.eu, revenu-passif, testé 200 le 09/08/2026) : à 5 % de rendement net annuel, il faut environ 72 000 € de capital pour viser 300 € bruts par mois. Le calcul a été refait et vérifié : 300 × 12 ÷ 0,05 = 72 000 € exactement. ⚠️ Avertissement sur cette source : european-funding-guide.eu est un agrégateur dont les VALEURS CHIFFRÉES ne sont pas tenues à jour — c'est de là que provenaient un taux de Livret A et un montant de SMIC périmés, corrigés dans la leçon n°02 le 02/08/2026. Il est acceptable ici parce qu'il ne sert qu'à un ordre de grandeur issu d'un calcul reproductible, et non à un taux réglementaire. Ne jamais lui emprunter un taux, un seuil ou un plafond.</w:t>
      </w:r>
    </w:p>
    <w:p>
      <w:pPr>
        <w:spacing w:after="80" w:before="80"/>
      </w:pPr>
      <w:r>
        <w:rPr>
          <w:rFonts w:ascii="Times New Roman" w:cs="Times New Roman" w:eastAsia="Times New Roman" w:hAnsi="Times New Roman"/>
          <w:color w:val="1F2937"/>
          <w:sz w:val="22"/>
          <w:szCs w:val="22"/>
        </w:rPr>
        <w:t xml:space="preserve">À 31,4 % de PFU (taux en vigueur depuis le 1er janvier 2026 — voir section Ancrage), ces 300 € bruts ne produisent qu'environ 206 € nets.</w:t>
      </w:r>
    </w:p>
    <w:p>
      <w:pPr>
        <w:spacing w:after="80" w:before="80"/>
      </w:pPr>
    </w:p>
    <w:p>
      <w:pPr>
        <w:pStyle w:val="Heading2"/>
        <w:spacing w:after="120" w:before="280"/>
      </w:pPr>
      <w:r>
        <w:rPr>
          <w:rFonts w:ascii="Times New Roman" w:cs="Times New Roman" w:eastAsia="Times New Roman" w:hAnsi="Times New Roman"/>
          <w:b/>
          <w:bCs/>
          <w:color w:val="1B3A6B"/>
          <w:sz w:val="30"/>
          <w:szCs w:val="30"/>
        </w:rPr>
        <w:t xml:space="preserve">📉 Ancrage réaliste — Ce que les chiffres disent vraiment</w:t>
      </w:r>
    </w:p>
    <w:p>
      <w:pPr>
        <w:pBdr>
          <w:left w:val="thick" w:color="D97706" w:sz="12"/>
        </w:pBdr>
        <w:shd w:fill="FFF4E5" w:val="clear"/>
        <w:spacing w:after="80" w:before="80"/>
        <w:ind w:left="360"/>
      </w:pPr>
      <w:r>
        <w:rPr>
          <w:rFonts w:ascii="Times New Roman" w:cs="Times New Roman" w:eastAsia="Times New Roman" w:hAnsi="Times New Roman"/>
          <w:b/>
          <w:bCs/>
          <w:color w:val="1F2937"/>
          <w:sz w:val="22"/>
          <w:szCs w:val="22"/>
        </w:rPr>
        <w:t xml:space="preserve">⚠️ Section obligatoire. Aucun chiffre n'est inventé. Les données non directement vérifiées sur source primaire sont explicitement signalées comme telles.</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A. Fiscalité des revenus du capital en France (2026) — Sources primaires</w:t>
      </w:r>
    </w:p>
    <w:p>
      <w:pPr>
        <w:spacing w:after="80" w:before="80"/>
      </w:pPr>
      <w:r>
        <w:rPr>
          <w:rFonts w:ascii="Times New Roman" w:cs="Times New Roman" w:eastAsia="Times New Roman" w:hAnsi="Times New Roman"/>
          <w:color w:val="1F2937"/>
          <w:sz w:val="22"/>
          <w:szCs w:val="22"/>
        </w:rPr>
        <w:t xml:space="preserve">Sources : impots.gouv.fr (page « Les revenus mobiliers », testée HTTP 200 le 09/08/2026) et service-public.gouv.fr (fiche F2613, testée HTTP 200 le 09/08/2026).</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vAlign w:val="center"/>
          </w:tcPr>
          <w:p>
            <w:pPr>
              <w:jc w:val="center"/>
            </w:pPr>
            <w:r>
              <w:rPr>
                <w:rFonts w:ascii="Times New Roman" w:cs="Times New Roman" w:eastAsia="Times New Roman" w:hAnsi="Times New Roman"/>
                <w:b/>
                <w:bCs/>
                <w:color w:val="FFFFFF"/>
                <w:sz w:val="18"/>
                <w:szCs w:val="18"/>
              </w:rPr>
              <w:t xml:space="preserve">Régime</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Taux IR</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Prélèvements sociaux</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Taux total</w:t>
            </w:r>
          </w:p>
        </w:tc>
      </w:tr>
      <w:tr>
        <w:tc>
          <w:tcPr>
            <w:shd w:fill="FFFFFF" w:val="clear"/>
            <w:vAlign w:val="center"/>
          </w:tcPr>
          <w:p>
            <w:r>
              <w:rPr>
                <w:rFonts w:ascii="Times New Roman" w:cs="Times New Roman" w:eastAsia="Times New Roman" w:hAnsi="Times New Roman"/>
                <w:color w:val="1F2937"/>
                <w:sz w:val="18"/>
                <w:szCs w:val="18"/>
              </w:rPr>
              <w:t xml:space="preserve">PFU (flat tax) — revenus mobiliers standard</w:t>
            </w:r>
          </w:p>
        </w:tc>
        <w:tc>
          <w:tcPr>
            <w:shd w:fill="FFFFFF" w:val="clear"/>
            <w:vAlign w:val="center"/>
          </w:tcPr>
          <w:p>
            <w:r>
              <w:rPr>
                <w:rFonts w:ascii="Times New Roman" w:cs="Times New Roman" w:eastAsia="Times New Roman" w:hAnsi="Times New Roman"/>
                <w:color w:val="1F2937"/>
                <w:sz w:val="18"/>
                <w:szCs w:val="18"/>
              </w:rPr>
              <w:t xml:space="preserve">12,8 %</w:t>
            </w:r>
          </w:p>
        </w:tc>
        <w:tc>
          <w:tcPr>
            <w:shd w:fill="FFFFFF" w:val="clear"/>
            <w:vAlign w:val="center"/>
          </w:tcPr>
          <w:p>
            <w:r>
              <w:rPr>
                <w:rFonts w:ascii="Times New Roman" w:cs="Times New Roman" w:eastAsia="Times New Roman" w:hAnsi="Times New Roman"/>
                <w:color w:val="1F2937"/>
                <w:sz w:val="18"/>
                <w:szCs w:val="18"/>
              </w:rPr>
              <w:t xml:space="preserve">18,6 % (depuis 01/01/2026)</w:t>
            </w:r>
          </w:p>
        </w:tc>
        <w:tc>
          <w:tcPr>
            <w:shd w:fill="FFFFFF" w:val="clear"/>
            <w:vAlign w:val="center"/>
          </w:tcPr>
          <w:p>
            <w:r>
              <w:rPr>
                <w:rFonts w:ascii="Times New Roman" w:cs="Times New Roman" w:eastAsia="Times New Roman" w:hAnsi="Times New Roman"/>
                <w:color w:val="1F2937"/>
                <w:sz w:val="18"/>
                <w:szCs w:val="18"/>
              </w:rPr>
              <w:t xml:space="preserve">31,4 %</w:t>
            </w:r>
          </w:p>
        </w:tc>
      </w:tr>
      <w:tr>
        <w:tc>
          <w:tcPr>
            <w:shd w:fill="EEF2F7" w:val="clear"/>
            <w:vAlign w:val="center"/>
          </w:tcPr>
          <w:p>
            <w:r>
              <w:rPr>
                <w:rFonts w:ascii="Times New Roman" w:cs="Times New Roman" w:eastAsia="Times New Roman" w:hAnsi="Times New Roman"/>
                <w:color w:val="1F2937"/>
                <w:sz w:val="18"/>
                <w:szCs w:val="18"/>
              </w:rPr>
              <w:t xml:space="preserve">Exceptions (PEL/CEL antérieurs à 2018, PEP exonérés, certains contrats d'assurance-vie)</w:t>
            </w:r>
          </w:p>
        </w:tc>
        <w:tc>
          <w:tcPr>
            <w:shd w:fill="EEF2F7" w:val="clear"/>
            <w:vAlign w:val="center"/>
          </w:tcPr>
          <w:p>
            <w:r>
              <w:rPr>
                <w:rFonts w:ascii="Times New Roman" w:cs="Times New Roman" w:eastAsia="Times New Roman" w:hAnsi="Times New Roman"/>
                <w:color w:val="1F2937"/>
                <w:sz w:val="18"/>
                <w:szCs w:val="18"/>
              </w:rPr>
              <w:t xml:space="preserve">12,8 % ou 7,5 %</w:t>
            </w:r>
          </w:p>
        </w:tc>
        <w:tc>
          <w:tcPr>
            <w:shd w:fill="EEF2F7" w:val="clear"/>
            <w:vAlign w:val="center"/>
          </w:tcPr>
          <w:p>
            <w:r>
              <w:rPr>
                <w:rFonts w:ascii="Times New Roman" w:cs="Times New Roman" w:eastAsia="Times New Roman" w:hAnsi="Times New Roman"/>
                <w:color w:val="1F2937"/>
                <w:sz w:val="18"/>
                <w:szCs w:val="18"/>
              </w:rPr>
              <w:t xml:space="preserve">17,2 %</w:t>
            </w:r>
          </w:p>
        </w:tc>
        <w:tc>
          <w:tcPr>
            <w:shd w:fill="EEF2F7" w:val="clear"/>
            <w:vAlign w:val="center"/>
          </w:tcPr>
          <w:p>
            <w:r>
              <w:rPr>
                <w:rFonts w:ascii="Times New Roman" w:cs="Times New Roman" w:eastAsia="Times New Roman" w:hAnsi="Times New Roman"/>
                <w:color w:val="1F2937"/>
                <w:sz w:val="18"/>
                <w:szCs w:val="18"/>
              </w:rPr>
              <w:t xml:space="preserve">30 % ou 24,7 %</w:t>
            </w:r>
          </w:p>
        </w:tc>
      </w:tr>
      <w:tr>
        <w:tc>
          <w:tcPr>
            <w:shd w:fill="FFFFFF" w:val="clear"/>
            <w:vAlign w:val="center"/>
          </w:tcPr>
          <w:p>
            <w:r>
              <w:rPr>
                <w:rFonts w:ascii="Times New Roman" w:cs="Times New Roman" w:eastAsia="Times New Roman" w:hAnsi="Times New Roman"/>
                <w:color w:val="1F2937"/>
                <w:sz w:val="18"/>
                <w:szCs w:val="18"/>
              </w:rPr>
              <w:t xml:space="preserve">Barème progressif (option)</w:t>
            </w:r>
          </w:p>
        </w:tc>
        <w:tc>
          <w:tcPr>
            <w:shd w:fill="FFFFFF" w:val="clear"/>
            <w:vAlign w:val="center"/>
          </w:tcPr>
          <w:p>
            <w:r>
              <w:rPr>
                <w:rFonts w:ascii="Times New Roman" w:cs="Times New Roman" w:eastAsia="Times New Roman" w:hAnsi="Times New Roman"/>
                <w:color w:val="1F2937"/>
                <w:sz w:val="18"/>
                <w:szCs w:val="18"/>
              </w:rPr>
              <w:t xml:space="preserve">TMI variable</w:t>
            </w:r>
          </w:p>
        </w:tc>
        <w:tc>
          <w:tcPr>
            <w:shd w:fill="FFFFFF" w:val="clear"/>
            <w:vAlign w:val="center"/>
          </w:tcPr>
          <w:p>
            <w:r>
              <w:rPr>
                <w:rFonts w:ascii="Times New Roman" w:cs="Times New Roman" w:eastAsia="Times New Roman" w:hAnsi="Times New Roman"/>
                <w:color w:val="1F2937"/>
                <w:sz w:val="18"/>
                <w:szCs w:val="18"/>
              </w:rPr>
              <w:t xml:space="preserve">18,6 %</w:t>
            </w:r>
          </w:p>
        </w:tc>
        <w:tc>
          <w:tcPr>
            <w:shd w:fill="FFFFFF" w:val="clear"/>
            <w:vAlign w:val="center"/>
          </w:tcPr>
          <w:p>
            <w:r>
              <w:rPr>
                <w:rFonts w:ascii="Times New Roman" w:cs="Times New Roman" w:eastAsia="Times New Roman" w:hAnsi="Times New Roman"/>
                <w:color w:val="1F2937"/>
                <w:sz w:val="18"/>
                <w:szCs w:val="18"/>
              </w:rPr>
              <w:t xml:space="preserve">TMI + 18,6 %</w:t>
            </w:r>
          </w:p>
        </w:tc>
      </w:tr>
    </w:tbl>
    <w:p>
      <w:pPr>
        <w:spacing w:after="80" w:before="80"/>
      </w:pPr>
    </w:p>
    <w:p>
      <w:pPr>
        <w:pBdr>
          <w:left w:val="thick" w:color="D97706" w:sz="12"/>
        </w:pBdr>
        <w:shd w:fill="FFF4E5" w:val="clear"/>
        <w:spacing w:after="80" w:before="80"/>
        <w:ind w:left="360"/>
      </w:pPr>
      <w:r>
        <w:rPr>
          <w:rFonts w:ascii="Times New Roman" w:cs="Times New Roman" w:eastAsia="Times New Roman" w:hAnsi="Times New Roman"/>
          <w:color w:val="1F2937"/>
          <w:sz w:val="22"/>
          <w:szCs w:val="22"/>
        </w:rPr>
        <w:t xml:space="preserve">CHANGEMENT 2026 : le taux des prélèvements sociaux sur les revenus de placements passe à 18,6 % à compter du 1er janvier 2026 — c'est la formulation exacte de service-public.gouv.fr (fiche F2613). Le taux total standard est donc 31,4 %, et non 30 % comme souvent recopié dans les articles et agrégateurs. ⚠️ Précision de sourçage (vérification du 09/08/2026) : la fiche F2613 énonce le taux de 18,6 % et signale que « des règles particulières s'appliquent à certains placements ou pour certaines situations (notamment antérieures à 2018) », mais elle ne donne NI le taux de 17,2 % applicable à ces exceptions, NI la composition détaillée des prélèvements — elle renvoie sur ce point à l'établissement financier. Ces deux informations (CSG portée à 10,6 % pour les revenus du capital, maintien d'une CSG à 9,2 % — donc de prélèvements sociaux à 17,2 % — pour l'assurance-vie, les livrets et les revenus fonciers) proviennent d'autres sources publiques et sont exactes, mais elles ne figurent pas sur la fiche citée. Pour ta situation précise, vérifie auprès de ton établissement.</w:t>
      </w:r>
    </w:p>
    <w:p>
      <w:pPr>
        <w:pBdr>
          <w:left w:val="thick" w:color="D97706" w:sz="12"/>
        </w:pBdr>
        <w:shd w:fill="FFF4E5" w:val="clear"/>
        <w:spacing w:after="80" w:before="80"/>
        <w:ind w:left="360"/>
      </w:pPr>
      <w:r>
        <w:rPr>
          <w:rFonts w:ascii="Times New Roman" w:cs="Times New Roman" w:eastAsia="Times New Roman" w:hAnsi="Times New Roman"/>
          <w:b/>
          <w:bCs/>
          <w:color w:val="1F2937"/>
          <w:sz w:val="22"/>
          <w:szCs w:val="22"/>
        </w:rPr>
        <w:t xml:space="preserve">⚠️ PIÈGE RÉEL (leçon 01 de ce parcours, 26/07/2026) : la leçon 01 avait incorrectement affiché 30 % en citant impots.gouv.fr — alors que cette même page indiquait 31,4 %. Les taux stables pendant des années peuvent changer : un chiffre mémorisé n'est pas un chiffre vérifié. Vérifie toujours la page primaire à la date d'exécution.</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B. Durée réelle avant le point de bascule — Données Indie Hackers</w:t>
      </w:r>
    </w:p>
    <w:p>
      <w:pPr>
        <w:spacing w:after="80" w:before="80"/>
      </w:pPr>
      <w:r>
        <w:rPr>
          <w:rFonts w:ascii="Times New Roman" w:cs="Times New Roman" w:eastAsia="Times New Roman" w:hAnsi="Times New Roman"/>
          <w:color w:val="1F2937"/>
          <w:sz w:val="22"/>
          <w:szCs w:val="22"/>
        </w:rPr>
        <w:t xml:space="preserve">Source : indiehackers.com (testée HTTP 200 le 09/08/2026). Cas réels publiés par les créateurs eux-mêmes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SaaS : de 60 jours à 3 ans avant une MRR significative. Exemple 1 : $10k MRR en 60 jours pour un fondateur SaaS post-agence. Exemple 2 : 3 ans de side-hustle avant de passer à temps plein, aboutissant à $6,4k MRR.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Talent marketplace : 2 ans de pertes initiales avant $2,5M/an de revenus.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Portfolio de micro-projets (profil data scientist) : $7k/mois tout en travaillant à temps plein — accumulation progressive sur plusieurs projets.</w:t>
      </w:r>
    </w:p>
    <w:p>
      <w:pPr>
        <w:spacing w:after="80" w:before="80"/>
      </w:pPr>
    </w:p>
    <w:p>
      <w:pPr>
        <w:spacing w:after="80" w:before="80"/>
      </w:pPr>
      <w:r>
        <w:rPr>
          <w:rFonts w:ascii="Times New Roman" w:cs="Times New Roman" w:eastAsia="Times New Roman" w:hAnsi="Times New Roman"/>
          <w:color w:val="1F2937"/>
          <w:sz w:val="22"/>
          <w:szCs w:val="22"/>
        </w:rPr>
        <w:t xml:space="preserve">Observation : la dispersion est très large (60 jours à 3 ans). Le point de bascule dépend autant du marché adressé que de la combinaison des trois intrants — et du fait d'avoir ou non une audience préexistante.</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C. Taux d'échec — ce que l'on sait et ce que l'on ne sait pas</w:t>
      </w:r>
    </w:p>
    <w:p>
      <w:pPr>
        <w:pBdr>
          <w:left w:val="thick" w:color="D97706" w:sz="12"/>
        </w:pBdr>
        <w:shd w:fill="FFF4E5" w:val="clear"/>
        <w:spacing w:after="80" w:before="80"/>
        <w:ind w:left="360"/>
      </w:pPr>
      <w:r>
        <w:rPr>
          <w:rFonts w:ascii="Times New Roman" w:cs="Times New Roman" w:eastAsia="Times New Roman" w:hAnsi="Times New Roman"/>
          <w:color w:val="1F2937"/>
          <w:sz w:val="22"/>
          <w:szCs w:val="22"/>
        </w:rPr>
        <w:t xml:space="preserve">DONNÉES NON TROUVÉES SUR SOURCE PRIMAIRE : des chiffres de type « 67 % des aspirants ne génèrent jamais de revenus significatifs » circulent massivement dans les articles de blog mais sans source primaire vérifiable dans cette exécution. Ils ne sont donc PAS cités comme faits établis. Méfie-toi de tout article qui cite un taux d'échec sans nommer l'étude exacte, sa date et sa méthodologie.</w:t>
      </w:r>
    </w:p>
    <w:p>
      <w:pPr>
        <w:spacing w:after="80" w:before="80"/>
      </w:pPr>
      <w:r>
        <w:rPr>
          <w:rFonts w:ascii="Times New Roman" w:cs="Times New Roman" w:eastAsia="Times New Roman" w:hAnsi="Times New Roman"/>
          <w:color w:val="1F2937"/>
          <w:sz w:val="22"/>
          <w:szCs w:val="22"/>
        </w:rPr>
        <w:t xml:space="preserve">Ce que les sources vérifiées permettent d'observer (synthèse, non citation)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Micro-SaaS et produits développeurs : taux d'échec élevé sur 12 à 24 mois. La raison la plus documentée parmi les cas Indie Hackers : sous-estimation massive de l'intrant « temps » en Phase 1.</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majorité des cas de succès présentés dans les retours d'expérience correspondent à des fondateurs qui avaient déjà une audience, un réseau professionnel ou une compétence rare — c'est-à-dire un intrant « compétence » ou « temps » déjà partiellement constitué avant le lancement.</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D. Signaux d'alerte — arnaque ou modèle non viable ?</w:t>
      </w:r>
    </w:p>
    <w:p>
      <w:pPr>
        <w:spacing w:after="80" w:before="80"/>
      </w:pPr>
      <w:r>
        <w:rPr>
          <w:rFonts w:ascii="Times New Roman" w:cs="Times New Roman" w:eastAsia="Times New Roman" w:hAnsi="Times New Roman"/>
          <w:color w:val="1F2937"/>
          <w:sz w:val="22"/>
          <w:szCs w:val="22"/>
        </w:rPr>
        <w:t xml:space="preserve">Signaux spécifiques à ce thème (manipulation des trois intrants)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On te dit que tu n'as besoin ni de capital, ni de temps, ni de compétence : impossibilité logique — si les trois intrants sont nuls, il n'y a pas de modèle.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formation pour « apprendre » le modèle coûte plus cher que le revenu mensuel promis : le seul revenu passif réel est celui du vendeur de la formation.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point de bascule annoncé est de quelques semaines sur un marché saturé (dropshipping générique, affiliation sans audience) : les marchés saturés allongent mécaniquement la Phase 1 et réduisent les marges.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témoignages ne mentionnent jamais le capital investi ni les heures réelles : biais de sélection des survivants (seuls les succès parlent).</w:t>
      </w:r>
    </w:p>
    <w:p>
      <w:pPr>
        <w:spacing w:after="80" w:before="80"/>
      </w:pPr>
      <w:r>
        <w:rPr>
          <w:rFonts w:ascii="Times New Roman" w:cs="Times New Roman" w:eastAsia="Times New Roman" w:hAnsi="Times New Roman"/>
          <w:color w:val="1F2937"/>
          <w:sz w:val="22"/>
          <w:szCs w:val="22"/>
        </w:rPr>
        <w:t xml:space="preserve">Pour vérifier une offre ou signaler une arnaque : AMF — Espace épargnants (testé HTTP 200 le 09/08/2026) : https://www.amf-france.org/fr/espace-epargnants</w:t>
      </w:r>
    </w:p>
    <w:p>
      <w:pPr>
        <w:spacing w:after="80" w:before="80"/>
      </w:pPr>
    </w:p>
    <w:p>
      <w:pPr>
        <w:pStyle w:val="Heading2"/>
        <w:spacing w:after="120" w:before="280"/>
      </w:pPr>
      <w:r>
        <w:rPr>
          <w:rFonts w:ascii="Times New Roman" w:cs="Times New Roman" w:eastAsia="Times New Roman" w:hAnsi="Times New Roman"/>
          <w:b/>
          <w:bCs/>
          <w:color w:val="1B3A6B"/>
          <w:sz w:val="30"/>
          <w:szCs w:val="30"/>
        </w:rPr>
        <w:t xml:space="preserve">🛠️ Pratique (80%) — Trois exercices actifs</w:t>
      </w:r>
    </w:p>
    <w:p>
      <w:pPr>
        <w:pStyle w:val="Heading3"/>
        <w:spacing w:after="80" w:before="200"/>
      </w:pPr>
      <w:r>
        <w:rPr>
          <w:rFonts w:ascii="Times New Roman" w:cs="Times New Roman" w:eastAsia="Times New Roman" w:hAnsi="Times New Roman"/>
          <w:b/>
          <w:bCs/>
          <w:color w:val="1F2937"/>
          <w:sz w:val="26"/>
          <w:szCs w:val="26"/>
        </w:rPr>
        <w:t xml:space="preserve">Exercice 1 — Cartographier les trois intrants d'un modèle</w:t>
      </w:r>
    </w:p>
    <w:p>
      <w:pPr>
        <w:spacing w:after="80" w:before="80"/>
      </w:pPr>
      <w:r>
        <w:rPr>
          <w:rFonts w:ascii="Times New Roman" w:cs="Times New Roman" w:eastAsia="Times New Roman" w:hAnsi="Times New Roman"/>
          <w:b/>
          <w:bCs/>
          <w:color w:val="1F2937"/>
          <w:sz w:val="22"/>
          <w:szCs w:val="22"/>
        </w:rPr>
        <w:t xml:space="preserve">Objectif :</w:t>
      </w:r>
    </w:p>
    <w:p>
      <w:pPr>
        <w:spacing w:after="80" w:before="80"/>
      </w:pPr>
      <w:r>
        <w:rPr>
          <w:rFonts w:ascii="Times New Roman" w:cs="Times New Roman" w:eastAsia="Times New Roman" w:hAnsi="Times New Roman"/>
          <w:color w:val="1F2937"/>
          <w:sz w:val="22"/>
          <w:szCs w:val="22"/>
        </w:rPr>
        <w:t xml:space="preserve">Appliquer le cadre des trois intrants à un modèle de ton choix parmi la feuille de route du parcours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Produit numérique (ebook, cours en ligne, template)</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ETF distribuants (dividendes)</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Location meublée courte durée (type Airbnb)</w:t>
      </w:r>
    </w:p>
    <w:p>
      <w:pPr>
        <w:spacing w:after="80" w:before="80"/>
      </w:pPr>
    </w:p>
    <w:p>
      <w:pPr>
        <w:spacing w:after="80" w:before="80"/>
      </w:pPr>
      <w:r>
        <w:rPr>
          <w:rFonts w:ascii="Times New Roman" w:cs="Times New Roman" w:eastAsia="Times New Roman" w:hAnsi="Times New Roman"/>
          <w:b/>
          <w:bCs/>
          <w:color w:val="1F2937"/>
          <w:sz w:val="22"/>
          <w:szCs w:val="22"/>
        </w:rPr>
        <w:t xml:space="preserve">Consigne :</w:t>
      </w:r>
    </w:p>
    <w:p>
      <w:pPr>
        <w:spacing w:after="80" w:before="80"/>
      </w:pPr>
      <w:r>
        <w:rPr>
          <w:rFonts w:ascii="Times New Roman" w:cs="Times New Roman" w:eastAsia="Times New Roman" w:hAnsi="Times New Roman"/>
          <w:color w:val="1F2937"/>
          <w:sz w:val="22"/>
          <w:szCs w:val="22"/>
        </w:rPr>
        <w:t xml:space="preserve">Pour le modèle choisi, remplis ce tableau. Note : les colonnes « volume estimé » et « source » doivent être remplies par toi, à partir de recherches réelles (pas de chiffres fictifs).</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vAlign w:val="center"/>
          </w:tcPr>
          <w:p>
            <w:pPr>
              <w:jc w:val="center"/>
            </w:pPr>
            <w:r>
              <w:rPr>
                <w:rFonts w:ascii="Times New Roman" w:cs="Times New Roman" w:eastAsia="Times New Roman" w:hAnsi="Times New Roman"/>
                <w:b/>
                <w:bCs/>
                <w:color w:val="FFFFFF"/>
                <w:sz w:val="18"/>
                <w:szCs w:val="18"/>
              </w:rPr>
              <w:t xml:space="preserve">Intrant</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Nature</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Volume estimé pour 200 €/mois nets</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Source de l'estimation</w:t>
            </w:r>
          </w:p>
        </w:tc>
      </w:tr>
      <w:tr>
        <w:tc>
          <w:tcPr>
            <w:shd w:fill="FFFFFF" w:val="clear"/>
            <w:vAlign w:val="center"/>
          </w:tcPr>
          <w:p>
            <w:r>
              <w:rPr>
                <w:rFonts w:ascii="Times New Roman" w:cs="Times New Roman" w:eastAsia="Times New Roman" w:hAnsi="Times New Roman"/>
                <w:color w:val="1F2937"/>
                <w:sz w:val="18"/>
                <w:szCs w:val="18"/>
              </w:rPr>
              <w:t xml:space="preserve">Capital (€)</w:t>
            </w:r>
          </w:p>
        </w:tc>
        <w:tc>
          <w:tcPr>
            <w:shd w:fill="FFFFFF" w:val="clear"/>
            <w:vAlign w:val="center"/>
          </w:tcPr>
          <w:p>
            <w:r>
              <w:rPr>
                <w:rFonts w:ascii="Times New Roman" w:cs="Times New Roman" w:eastAsia="Times New Roman" w:hAnsi="Times New Roman"/>
                <w:color w:val="1F2937"/>
                <w:sz w:val="18"/>
                <w:szCs w:val="18"/>
              </w:rPr>
              <w:t xml:space="preserve">Argent immobilisé</w:t>
            </w:r>
          </w:p>
        </w:tc>
        <w:tc>
          <w:tcPr>
            <w:shd w:fill="FFFFFF" w:val="clear"/>
            <w:vAlign w:val="center"/>
          </w:tcPr>
          <w:p>
            <w:r>
              <w:rPr>
                <w:rFonts w:ascii="Times New Roman" w:cs="Times New Roman" w:eastAsia="Times New Roman" w:hAnsi="Times New Roman"/>
                <w:color w:val="1F2937"/>
                <w:sz w:val="18"/>
                <w:szCs w:val="18"/>
              </w:rPr>
              <w:t xml:space="preserve">à compléter</w:t>
            </w:r>
          </w:p>
        </w:tc>
        <w:tc>
          <w:tcPr>
            <w:shd w:fill="FFFFFF" w:val="clear"/>
            <w:vAlign w:val="center"/>
          </w:tcPr>
          <w:p>
            <w:r>
              <w:rPr>
                <w:rFonts w:ascii="Times New Roman" w:cs="Times New Roman" w:eastAsia="Times New Roman" w:hAnsi="Times New Roman"/>
                <w:color w:val="1F2937"/>
                <w:sz w:val="18"/>
                <w:szCs w:val="18"/>
              </w:rPr>
              <w:t xml:space="preserve">à compléter</w:t>
            </w:r>
          </w:p>
        </w:tc>
      </w:tr>
      <w:tr>
        <w:tc>
          <w:tcPr>
            <w:shd w:fill="EEF2F7" w:val="clear"/>
            <w:vAlign w:val="center"/>
          </w:tcPr>
          <w:p>
            <w:r>
              <w:rPr>
                <w:rFonts w:ascii="Times New Roman" w:cs="Times New Roman" w:eastAsia="Times New Roman" w:hAnsi="Times New Roman"/>
                <w:color w:val="1F2937"/>
                <w:sz w:val="18"/>
                <w:szCs w:val="18"/>
              </w:rPr>
              <w:t xml:space="preserve">Temps Phase 1 (h)</w:t>
            </w:r>
          </w:p>
        </w:tc>
        <w:tc>
          <w:tcPr>
            <w:shd w:fill="EEF2F7" w:val="clear"/>
            <w:vAlign w:val="center"/>
          </w:tcPr>
          <w:p>
            <w:r>
              <w:rPr>
                <w:rFonts w:ascii="Times New Roman" w:cs="Times New Roman" w:eastAsia="Times New Roman" w:hAnsi="Times New Roman"/>
                <w:color w:val="1F2937"/>
                <w:sz w:val="18"/>
                <w:szCs w:val="18"/>
              </w:rPr>
              <w:t xml:space="preserve">Heures avant premier euro</w:t>
            </w:r>
          </w:p>
        </w:tc>
        <w:tc>
          <w:tcPr>
            <w:shd w:fill="EEF2F7" w:val="clear"/>
            <w:vAlign w:val="center"/>
          </w:tcPr>
          <w:p>
            <w:r>
              <w:rPr>
                <w:rFonts w:ascii="Times New Roman" w:cs="Times New Roman" w:eastAsia="Times New Roman" w:hAnsi="Times New Roman"/>
                <w:color w:val="1F2937"/>
                <w:sz w:val="18"/>
                <w:szCs w:val="18"/>
              </w:rPr>
              <w:t xml:space="preserve">à compléter</w:t>
            </w:r>
          </w:p>
        </w:tc>
        <w:tc>
          <w:tcPr>
            <w:shd w:fill="EEF2F7" w:val="clear"/>
            <w:vAlign w:val="center"/>
          </w:tcPr>
          <w:p>
            <w:r>
              <w:rPr>
                <w:rFonts w:ascii="Times New Roman" w:cs="Times New Roman" w:eastAsia="Times New Roman" w:hAnsi="Times New Roman"/>
                <w:color w:val="1F2937"/>
                <w:sz w:val="18"/>
                <w:szCs w:val="18"/>
              </w:rPr>
              <w:t xml:space="preserve">à compléter</w:t>
            </w:r>
          </w:p>
        </w:tc>
      </w:tr>
      <w:tr>
        <w:tc>
          <w:tcPr>
            <w:shd w:fill="FFFFFF" w:val="clear"/>
            <w:vAlign w:val="center"/>
          </w:tcPr>
          <w:p>
            <w:r>
              <w:rPr>
                <w:rFonts w:ascii="Times New Roman" w:cs="Times New Roman" w:eastAsia="Times New Roman" w:hAnsi="Times New Roman"/>
                <w:color w:val="1F2937"/>
                <w:sz w:val="18"/>
                <w:szCs w:val="18"/>
              </w:rPr>
              <w:t xml:space="preserve">Temps maintenance/mois (h)</w:t>
            </w:r>
          </w:p>
        </w:tc>
        <w:tc>
          <w:tcPr>
            <w:shd w:fill="FFFFFF" w:val="clear"/>
            <w:vAlign w:val="center"/>
          </w:tcPr>
          <w:p>
            <w:r>
              <w:rPr>
                <w:rFonts w:ascii="Times New Roman" w:cs="Times New Roman" w:eastAsia="Times New Roman" w:hAnsi="Times New Roman"/>
                <w:color w:val="1F2937"/>
                <w:sz w:val="18"/>
                <w:szCs w:val="18"/>
              </w:rPr>
              <w:t xml:space="preserve">Heures récurrentes</w:t>
            </w:r>
          </w:p>
        </w:tc>
        <w:tc>
          <w:tcPr>
            <w:shd w:fill="FFFFFF" w:val="clear"/>
            <w:vAlign w:val="center"/>
          </w:tcPr>
          <w:p>
            <w:r>
              <w:rPr>
                <w:rFonts w:ascii="Times New Roman" w:cs="Times New Roman" w:eastAsia="Times New Roman" w:hAnsi="Times New Roman"/>
                <w:color w:val="1F2937"/>
                <w:sz w:val="18"/>
                <w:szCs w:val="18"/>
              </w:rPr>
              <w:t xml:space="preserve">à compléter</w:t>
            </w:r>
          </w:p>
        </w:tc>
        <w:tc>
          <w:tcPr>
            <w:shd w:fill="FFFFFF" w:val="clear"/>
            <w:vAlign w:val="center"/>
          </w:tcPr>
          <w:p>
            <w:r>
              <w:rPr>
                <w:rFonts w:ascii="Times New Roman" w:cs="Times New Roman" w:eastAsia="Times New Roman" w:hAnsi="Times New Roman"/>
                <w:color w:val="1F2937"/>
                <w:sz w:val="18"/>
                <w:szCs w:val="18"/>
              </w:rPr>
              <w:t xml:space="preserve">à compléter</w:t>
            </w:r>
          </w:p>
        </w:tc>
      </w:tr>
      <w:tr>
        <w:tc>
          <w:tcPr>
            <w:shd w:fill="EEF2F7" w:val="clear"/>
            <w:vAlign w:val="center"/>
          </w:tcPr>
          <w:p>
            <w:r>
              <w:rPr>
                <w:rFonts w:ascii="Times New Roman" w:cs="Times New Roman" w:eastAsia="Times New Roman" w:hAnsi="Times New Roman"/>
                <w:color w:val="1F2937"/>
                <w:sz w:val="18"/>
                <w:szCs w:val="18"/>
              </w:rPr>
              <w:t xml:space="preserve">Compétences requises</w:t>
            </w:r>
          </w:p>
        </w:tc>
        <w:tc>
          <w:tcPr>
            <w:shd w:fill="EEF2F7" w:val="clear"/>
            <w:vAlign w:val="center"/>
          </w:tcPr>
          <w:p>
            <w:r>
              <w:rPr>
                <w:rFonts w:ascii="Times New Roman" w:cs="Times New Roman" w:eastAsia="Times New Roman" w:hAnsi="Times New Roman"/>
                <w:color w:val="1F2937"/>
                <w:sz w:val="18"/>
                <w:szCs w:val="18"/>
              </w:rPr>
              <w:t xml:space="preserve">Savoir-faire nécessaire</w:t>
            </w:r>
          </w:p>
        </w:tc>
        <w:tc>
          <w:tcPr>
            <w:shd w:fill="EEF2F7" w:val="clear"/>
            <w:vAlign w:val="center"/>
          </w:tcPr>
          <w:p>
            <w:r>
              <w:rPr>
                <w:rFonts w:ascii="Times New Roman" w:cs="Times New Roman" w:eastAsia="Times New Roman" w:hAnsi="Times New Roman"/>
                <w:color w:val="1F2937"/>
                <w:sz w:val="18"/>
                <w:szCs w:val="18"/>
              </w:rPr>
              <w:t xml:space="preserve">à compléter</w:t>
            </w:r>
          </w:p>
        </w:tc>
        <w:tc>
          <w:tcPr>
            <w:shd w:fill="EEF2F7" w:val="clear"/>
            <w:vAlign w:val="center"/>
          </w:tcPr>
          <w:p>
            <w:r>
              <w:rPr>
                <w:rFonts w:ascii="Times New Roman" w:cs="Times New Roman" w:eastAsia="Times New Roman" w:hAnsi="Times New Roman"/>
                <w:color w:val="1F2937"/>
                <w:sz w:val="18"/>
                <w:szCs w:val="18"/>
              </w:rPr>
              <w:t xml:space="preserve">à compléter</w:t>
            </w:r>
          </w:p>
        </w:tc>
      </w:tr>
    </w:tbl>
    <w:p>
      <w:pPr>
        <w:spacing w:after="80" w:before="80"/>
      </w:pPr>
    </w:p>
    <w:p>
      <w:pPr>
        <w:spacing w:after="80" w:before="80"/>
      </w:pPr>
      <w:r>
        <w:rPr>
          <w:rFonts w:ascii="Times New Roman" w:cs="Times New Roman" w:eastAsia="Times New Roman" w:hAnsi="Times New Roman"/>
          <w:b/>
          <w:bCs/>
          <w:color w:val="1F2937"/>
          <w:sz w:val="22"/>
          <w:szCs w:val="22"/>
        </w:rPr>
        <w:t xml:space="preserve">Corrigé indicatif — ETF distribuants (données vérifiées) :</w:t>
      </w: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Objectif : 200 € nets/mois = 2 400 € nets/an. Avec PFU 2026 à 31,4 % : 2 400 ÷ (1 – 0,314) = 3 499 € bruts/an nécessaires.</w:t>
      </w: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À 4 % de rendement brut annuel : capital requis = 3 499 ÷ 0,04 ≈ 87 500 €.</w:t>
      </w: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À 5 % de rendement brut annuel : capital requis = 3 499 ÷ 0,05 ≈ 70 000 € (cohérent avec l'ordre de grandeur cité par european-funding-guide.eu pour 300 € bruts/mois à 5 %).</w:t>
      </w: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Temps Phase 1 : ouverture d'un PEA ou CTO, compréhension de la fiscalité, sélection d'un ETF — estimé 10 à 20 h en autonomie. Maintenance : 1 à 2 h/mois de suivi. Compétences : lire une fiche ETF, comprendre la différence capitalisant/distribuant, maîtriser le PFU.</w:t>
      </w:r>
    </w:p>
    <w:p>
      <w:pPr>
        <w:pBdr>
          <w:left w:val="thick" w:color="1B3A6B" w:sz="12"/>
        </w:pBdr>
        <w:shd w:fill="EEF2F7" w:val="clear"/>
        <w:spacing w:after="80" w:before="80"/>
        <w:ind w:left="360"/>
      </w:pPr>
      <w:r>
        <w:rPr>
          <w:rFonts w:ascii="Times New Roman" w:cs="Times New Roman" w:eastAsia="Times New Roman" w:hAnsi="Times New Roman"/>
          <w:b/>
          <w:bCs/>
          <w:i/>
          <w:iCs/>
          <w:color w:val="1F2937"/>
          <w:sz w:val="22"/>
          <w:szCs w:val="22"/>
        </w:rPr>
        <w:t xml:space="preserve">ATTENTION : le taux de rendement (4 % ou 5 %) est une hypothèse illustrative, non une projection. Les performances passées ne préjugent pas des performances futures.</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Exercice 2 — Calculer son point de bascule personnel</w:t>
      </w:r>
    </w:p>
    <w:p>
      <w:pPr>
        <w:spacing w:after="80" w:before="80"/>
      </w:pPr>
      <w:r>
        <w:rPr>
          <w:rFonts w:ascii="Times New Roman" w:cs="Times New Roman" w:eastAsia="Times New Roman" w:hAnsi="Times New Roman"/>
          <w:b/>
          <w:bCs/>
          <w:color w:val="1F2937"/>
          <w:sz w:val="22"/>
          <w:szCs w:val="22"/>
        </w:rPr>
        <w:t xml:space="preserve">Objectif :</w:t>
      </w:r>
    </w:p>
    <w:p>
      <w:pPr>
        <w:spacing w:after="80" w:before="80"/>
      </w:pPr>
      <w:r>
        <w:rPr>
          <w:rFonts w:ascii="Times New Roman" w:cs="Times New Roman" w:eastAsia="Times New Roman" w:hAnsi="Times New Roman"/>
          <w:color w:val="1F2937"/>
          <w:sz w:val="22"/>
          <w:szCs w:val="22"/>
        </w:rPr>
        <w:t xml:space="preserve">Quantifier le breakeven financier et le breakeven effort pour le modèle choisi à l'exercice 1.</w:t>
      </w:r>
    </w:p>
    <w:p>
      <w:pPr>
        <w:spacing w:after="80" w:before="80"/>
      </w:pPr>
    </w:p>
    <w:p>
      <w:pPr>
        <w:spacing w:after="80" w:before="80"/>
      </w:pPr>
      <w:r>
        <w:rPr>
          <w:rFonts w:ascii="Times New Roman" w:cs="Times New Roman" w:eastAsia="Times New Roman" w:hAnsi="Times New Roman"/>
          <w:b/>
          <w:bCs/>
          <w:color w:val="1F2937"/>
          <w:sz w:val="22"/>
          <w:szCs w:val="22"/>
        </w:rPr>
        <w:t xml:space="preserve">Consigne (5 étapes) :</w:t>
      </w:r>
    </w:p>
    <w:p>
      <w:pPr>
        <w:spacing w:after="80" w:before="80"/>
      </w:pPr>
      <w:r>
        <w:rPr>
          <w:rFonts w:ascii="Times New Roman" w:cs="Times New Roman" w:eastAsia="Times New Roman" w:hAnsi="Times New Roman"/>
          <w:color w:val="1F2937"/>
          <w:sz w:val="22"/>
          <w:szCs w:val="22"/>
        </w:rPr>
        <w:t xml:space="preserve">1. Définis ton revenu mensuel cible net (ex. 200 €/mois).</w:t>
      </w:r>
    </w:p>
    <w:p>
      <w:pPr>
        <w:spacing w:after="80" w:before="80"/>
      </w:pPr>
      <w:r>
        <w:rPr>
          <w:rFonts w:ascii="Times New Roman" w:cs="Times New Roman" w:eastAsia="Times New Roman" w:hAnsi="Times New Roman"/>
          <w:color w:val="1F2937"/>
          <w:sz w:val="22"/>
          <w:szCs w:val="22"/>
        </w:rPr>
        <w:t xml:space="preserve">2. Applique la formule de capital :</w:t>
      </w:r>
    </w:p>
    <w:p>
      <w:pPr>
        <w:pBdr>
          <w:left w:val="thick" w:color="1B3A6B" w:sz="12"/>
        </w:pBdr>
        <w:shd w:fill="EEF2F7" w:val="clear"/>
        <w:spacing w:after="80" w:before="80"/>
        <w:ind w:left="360"/>
      </w:pPr>
      <w:r>
        <w:rPr>
          <w:rFonts w:ascii="Times New Roman" w:cs="Times New Roman" w:eastAsia="Times New Roman" w:hAnsi="Times New Roman"/>
          <w:b/>
          <w:bCs/>
          <w:i/>
          <w:iCs/>
          <w:color w:val="1B3A6B"/>
          <w:sz w:val="22"/>
          <w:szCs w:val="22"/>
        </w:rPr>
        <w:t xml:space="preserve">Capital requis = (Revenu mensuel net × 12) ÷ [(1 – 0,314) × Rendement brut annuel]</w:t>
      </w:r>
    </w:p>
    <w:p>
      <w:pPr>
        <w:spacing w:after="80" w:before="80"/>
      </w:pPr>
      <w:r>
        <w:rPr>
          <w:rFonts w:ascii="Times New Roman" w:cs="Times New Roman" w:eastAsia="Times New Roman" w:hAnsi="Times New Roman"/>
          <w:color w:val="1F2937"/>
          <w:sz w:val="22"/>
          <w:szCs w:val="22"/>
        </w:rPr>
        <w:t xml:space="preserve">3. Estime le nombre de mois pour accumuler ce capital à ta capacité d'épargne actuelle.</w:t>
      </w:r>
    </w:p>
    <w:p>
      <w:pPr>
        <w:spacing w:after="80" w:before="80"/>
      </w:pPr>
      <w:r>
        <w:rPr>
          <w:rFonts w:ascii="Times New Roman" w:cs="Times New Roman" w:eastAsia="Times New Roman" w:hAnsi="Times New Roman"/>
          <w:color w:val="1F2937"/>
          <w:sz w:val="22"/>
          <w:szCs w:val="22"/>
        </w:rPr>
        <w:t xml:space="preserve">4. Calcule la durée totale de la Phase 1 (en heures) et traduis-la en mois selon ton rythme hebdomadaire disponible.</w:t>
      </w:r>
    </w:p>
    <w:p>
      <w:pPr>
        <w:spacing w:after="80" w:before="80"/>
      </w:pPr>
      <w:r>
        <w:rPr>
          <w:rFonts w:ascii="Times New Roman" w:cs="Times New Roman" w:eastAsia="Times New Roman" w:hAnsi="Times New Roman"/>
          <w:color w:val="1F2937"/>
          <w:sz w:val="22"/>
          <w:szCs w:val="22"/>
        </w:rPr>
        <w:t xml:space="preserve">5. Ton point de bascule = la date la plus tardive entre : (a) capital atteint ET (b) fin de Phase 1.</w:t>
      </w:r>
    </w:p>
    <w:p>
      <w:pPr>
        <w:spacing w:after="80" w:before="80"/>
      </w:pPr>
    </w:p>
    <w:p>
      <w:pPr>
        <w:spacing w:after="80" w:before="80"/>
      </w:pPr>
      <w:r>
        <w:rPr>
          <w:rFonts w:ascii="Times New Roman" w:cs="Times New Roman" w:eastAsia="Times New Roman" w:hAnsi="Times New Roman"/>
          <w:b/>
          <w:bCs/>
          <w:color w:val="1F2937"/>
          <w:sz w:val="22"/>
          <w:szCs w:val="22"/>
        </w:rPr>
        <w:t xml:space="preserve">Corrigé indicatif — Cours en ligne :</w:t>
      </w: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Phase 1 estimée : 200 h de création (rédaction, enregistrements, montage). À 5 h/semaine → 40 semaines ≈ 10 mois.</w:t>
      </w: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Capital requis : plateforme (disons 30–50 €/mois), micro (100–200 €), logiciel montage (0–150 €). Faible mais non nul.</w:t>
      </w: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Breakeven financier : si coût total Phase 1 ≈ 500 € et prix de vente ≈ 30 € → 17 ventes pour couvrir les coûts. Délai très variable selon l'audience disponible.</w:t>
      </w: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Breakeven effort : quand la maintenance (mises à jour, support) passe sous 2 h/mois. Souvent 12 à 24 mois après lancement si l'audience est stabilisée.</w:t>
      </w:r>
    </w:p>
    <w:p>
      <w:pPr>
        <w:pBdr>
          <w:left w:val="thick" w:color="D97706" w:sz="12"/>
        </w:pBdr>
        <w:shd w:fill="FFF4E5" w:val="clear"/>
        <w:spacing w:after="80" w:before="80"/>
        <w:ind w:left="360"/>
      </w:pPr>
      <w:r>
        <w:rPr>
          <w:rFonts w:ascii="Times New Roman" w:cs="Times New Roman" w:eastAsia="Times New Roman" w:hAnsi="Times New Roman"/>
          <w:color w:val="1F2937"/>
          <w:sz w:val="22"/>
          <w:szCs w:val="22"/>
        </w:rPr>
        <w:t xml:space="preserve">Les chiffres du corrigé cours en ligne sont des ordres de grandeur illustratifs (coûts de plateforme varient selon l'outil). Ne les prends pas comme des données de marché.</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Exercice 3 — Analyse critique d'une offre réelle</w:t>
      </w:r>
    </w:p>
    <w:p>
      <w:pPr>
        <w:spacing w:after="80" w:before="80"/>
      </w:pPr>
      <w:r>
        <w:rPr>
          <w:rFonts w:ascii="Times New Roman" w:cs="Times New Roman" w:eastAsia="Times New Roman" w:hAnsi="Times New Roman"/>
          <w:b/>
          <w:bCs/>
          <w:color w:val="1F2937"/>
          <w:sz w:val="22"/>
          <w:szCs w:val="22"/>
        </w:rPr>
        <w:t xml:space="preserve">Objectif :</w:t>
      </w:r>
    </w:p>
    <w:p>
      <w:pPr>
        <w:spacing w:after="80" w:before="80"/>
      </w:pPr>
      <w:r>
        <w:rPr>
          <w:rFonts w:ascii="Times New Roman" w:cs="Times New Roman" w:eastAsia="Times New Roman" w:hAnsi="Times New Roman"/>
          <w:color w:val="1F2937"/>
          <w:sz w:val="22"/>
          <w:szCs w:val="22"/>
        </w:rPr>
        <w:t xml:space="preserve">Appliquer la grille des trois intrants pour diagnostiquer une offre commerciale de « revenu passif ».</w:t>
      </w:r>
    </w:p>
    <w:p>
      <w:pPr>
        <w:spacing w:after="80" w:before="80"/>
      </w:pPr>
    </w:p>
    <w:p>
      <w:pPr>
        <w:spacing w:after="80" w:before="80"/>
      </w:pPr>
      <w:r>
        <w:rPr>
          <w:rFonts w:ascii="Times New Roman" w:cs="Times New Roman" w:eastAsia="Times New Roman" w:hAnsi="Times New Roman"/>
          <w:b/>
          <w:bCs/>
          <w:color w:val="1F2937"/>
          <w:sz w:val="22"/>
          <w:szCs w:val="22"/>
        </w:rPr>
        <w:t xml:space="preserve">Consigne :</w:t>
      </w:r>
    </w:p>
    <w:p>
      <w:pPr>
        <w:spacing w:after="80" w:before="80"/>
      </w:pPr>
      <w:r>
        <w:rPr>
          <w:rFonts w:ascii="Times New Roman" w:cs="Times New Roman" w:eastAsia="Times New Roman" w:hAnsi="Times New Roman"/>
          <w:color w:val="1F2937"/>
          <w:sz w:val="22"/>
          <w:szCs w:val="22"/>
        </w:rPr>
        <w:t xml:space="preserve">Cherche sur le web une offre de formation, coaching ou « kit clé-en-main » promettant des revenus passifs (ex. dropshipping, formation affiliation, système de rente). Analyse-la avec cette grille :</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vAlign w:val="center"/>
          </w:tcPr>
          <w:p>
            <w:pPr>
              <w:jc w:val="center"/>
            </w:pPr>
            <w:r>
              <w:rPr>
                <w:rFonts w:ascii="Times New Roman" w:cs="Times New Roman" w:eastAsia="Times New Roman" w:hAnsi="Times New Roman"/>
                <w:b/>
                <w:bCs/>
                <w:color w:val="FFFFFF"/>
                <w:sz w:val="18"/>
                <w:szCs w:val="18"/>
              </w:rPr>
              <w:t xml:space="preserve">Question</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Ce que l'offre annonce</w:t>
            </w:r>
          </w:p>
        </w:tc>
        <w:tc>
          <w:tcPr>
            <w:shd w:fill="1B3A6B" w:val="clear"/>
            <w:vAlign w:val="center"/>
          </w:tcPr>
          <w:p>
            <w:pPr>
              <w:jc w:val="center"/>
            </w:pPr>
            <w:r>
              <w:rPr>
                <w:rFonts w:ascii="Times New Roman" w:cs="Times New Roman" w:eastAsia="Times New Roman" w:hAnsi="Times New Roman"/>
                <w:b/>
                <w:bCs/>
                <w:color w:val="FFFFFF"/>
                <w:sz w:val="18"/>
                <w:szCs w:val="18"/>
              </w:rPr>
              <w:t xml:space="preserve">Ce que la réalité exige (estimation documentée)</w:t>
            </w:r>
          </w:p>
        </w:tc>
      </w:tr>
      <w:tr>
        <w:tc>
          <w:tcPr>
            <w:shd w:fill="FFFFFF" w:val="clear"/>
            <w:vAlign w:val="center"/>
          </w:tcPr>
          <w:p>
            <w:r>
              <w:rPr>
                <w:rFonts w:ascii="Times New Roman" w:cs="Times New Roman" w:eastAsia="Times New Roman" w:hAnsi="Times New Roman"/>
                <w:color w:val="1F2937"/>
                <w:sz w:val="18"/>
                <w:szCs w:val="18"/>
              </w:rPr>
              <w:t xml:space="preserve">Capital minimum réel (€)</w:t>
            </w:r>
          </w:p>
        </w:tc>
        <w:tc>
          <w:tcPr>
            <w:shd w:fill="FFFFFF" w:val="clear"/>
            <w:vAlign w:val="center"/>
          </w:tcPr>
          <w:p>
            <w:r>
              <w:rPr>
                <w:rFonts w:ascii="Times New Roman" w:cs="Times New Roman" w:eastAsia="Times New Roman" w:hAnsi="Times New Roman"/>
                <w:color w:val="1F2937"/>
                <w:sz w:val="18"/>
                <w:szCs w:val="18"/>
              </w:rPr>
              <w:t xml:space="preserve"/>
            </w:r>
          </w:p>
        </w:tc>
        <w:tc>
          <w:tcPr>
            <w:shd w:fill="FFFFFF" w:val="clear"/>
            <w:vAlign w:val="center"/>
          </w:tcPr>
          <w:p>
            <w:r>
              <w:rPr>
                <w:rFonts w:ascii="Times New Roman" w:cs="Times New Roman" w:eastAsia="Times New Roman" w:hAnsi="Times New Roman"/>
                <w:color w:val="1F2937"/>
                <w:sz w:val="18"/>
                <w:szCs w:val="18"/>
              </w:rPr>
              <w:t xml:space="preserve"/>
            </w:r>
          </w:p>
        </w:tc>
      </w:tr>
      <w:tr>
        <w:tc>
          <w:tcPr>
            <w:shd w:fill="EEF2F7" w:val="clear"/>
            <w:vAlign w:val="center"/>
          </w:tcPr>
          <w:p>
            <w:r>
              <w:rPr>
                <w:rFonts w:ascii="Times New Roman" w:cs="Times New Roman" w:eastAsia="Times New Roman" w:hAnsi="Times New Roman"/>
                <w:color w:val="1F2937"/>
                <w:sz w:val="18"/>
                <w:szCs w:val="18"/>
              </w:rPr>
              <w:t xml:space="preserve">Temps Phase 1 honnête (h)</w:t>
            </w:r>
          </w:p>
        </w:tc>
        <w:tc>
          <w:tcPr>
            <w:shd w:fill="EEF2F7" w:val="clear"/>
            <w:vAlign w:val="center"/>
          </w:tcPr>
          <w:p>
            <w:r>
              <w:rPr>
                <w:rFonts w:ascii="Times New Roman" w:cs="Times New Roman" w:eastAsia="Times New Roman" w:hAnsi="Times New Roman"/>
                <w:color w:val="1F2937"/>
                <w:sz w:val="18"/>
                <w:szCs w:val="18"/>
              </w:rPr>
              <w:t xml:space="preserve"/>
            </w:r>
          </w:p>
        </w:tc>
        <w:tc>
          <w:tcPr>
            <w:shd w:fill="EEF2F7" w:val="clear"/>
            <w:vAlign w:val="center"/>
          </w:tcPr>
          <w:p>
            <w:r>
              <w:rPr>
                <w:rFonts w:ascii="Times New Roman" w:cs="Times New Roman" w:eastAsia="Times New Roman" w:hAnsi="Times New Roman"/>
                <w:color w:val="1F2937"/>
                <w:sz w:val="18"/>
                <w:szCs w:val="18"/>
              </w:rPr>
              <w:t xml:space="preserve"/>
            </w:r>
          </w:p>
        </w:tc>
      </w:tr>
      <w:tr>
        <w:tc>
          <w:tcPr>
            <w:shd w:fill="FFFFFF" w:val="clear"/>
            <w:vAlign w:val="center"/>
          </w:tcPr>
          <w:p>
            <w:r>
              <w:rPr>
                <w:rFonts w:ascii="Times New Roman" w:cs="Times New Roman" w:eastAsia="Times New Roman" w:hAnsi="Times New Roman"/>
                <w:color w:val="1F2937"/>
                <w:sz w:val="18"/>
                <w:szCs w:val="18"/>
              </w:rPr>
              <w:t xml:space="preserve">Compétences préalables requises</w:t>
            </w:r>
          </w:p>
        </w:tc>
        <w:tc>
          <w:tcPr>
            <w:shd w:fill="FFFFFF" w:val="clear"/>
            <w:vAlign w:val="center"/>
          </w:tcPr>
          <w:p>
            <w:r>
              <w:rPr>
                <w:rFonts w:ascii="Times New Roman" w:cs="Times New Roman" w:eastAsia="Times New Roman" w:hAnsi="Times New Roman"/>
                <w:color w:val="1F2937"/>
                <w:sz w:val="18"/>
                <w:szCs w:val="18"/>
              </w:rPr>
              <w:t xml:space="preserve"/>
            </w:r>
          </w:p>
        </w:tc>
        <w:tc>
          <w:tcPr>
            <w:shd w:fill="FFFFFF" w:val="clear"/>
            <w:vAlign w:val="center"/>
          </w:tcPr>
          <w:p>
            <w:r>
              <w:rPr>
                <w:rFonts w:ascii="Times New Roman" w:cs="Times New Roman" w:eastAsia="Times New Roman" w:hAnsi="Times New Roman"/>
                <w:color w:val="1F2937"/>
                <w:sz w:val="18"/>
                <w:szCs w:val="18"/>
              </w:rPr>
              <w:t xml:space="preserve"/>
            </w:r>
          </w:p>
        </w:tc>
      </w:tr>
      <w:tr>
        <w:tc>
          <w:tcPr>
            <w:shd w:fill="EEF2F7" w:val="clear"/>
            <w:vAlign w:val="center"/>
          </w:tcPr>
          <w:p>
            <w:r>
              <w:rPr>
                <w:rFonts w:ascii="Times New Roman" w:cs="Times New Roman" w:eastAsia="Times New Roman" w:hAnsi="Times New Roman"/>
                <w:color w:val="1F2937"/>
                <w:sz w:val="18"/>
                <w:szCs w:val="18"/>
              </w:rPr>
              <w:t xml:space="preserve">Point de bascule annoncé vs estimé</w:t>
            </w:r>
          </w:p>
        </w:tc>
        <w:tc>
          <w:tcPr>
            <w:shd w:fill="EEF2F7" w:val="clear"/>
            <w:vAlign w:val="center"/>
          </w:tcPr>
          <w:p>
            <w:r>
              <w:rPr>
                <w:rFonts w:ascii="Times New Roman" w:cs="Times New Roman" w:eastAsia="Times New Roman" w:hAnsi="Times New Roman"/>
                <w:color w:val="1F2937"/>
                <w:sz w:val="18"/>
                <w:szCs w:val="18"/>
              </w:rPr>
              <w:t xml:space="preserve"/>
            </w:r>
          </w:p>
        </w:tc>
        <w:tc>
          <w:tcPr>
            <w:shd w:fill="EEF2F7" w:val="clear"/>
            <w:vAlign w:val="center"/>
          </w:tcPr>
          <w:p>
            <w:r>
              <w:rPr>
                <w:rFonts w:ascii="Times New Roman" w:cs="Times New Roman" w:eastAsia="Times New Roman" w:hAnsi="Times New Roman"/>
                <w:color w:val="1F2937"/>
                <w:sz w:val="18"/>
                <w:szCs w:val="18"/>
              </w:rPr>
              <w:t xml:space="preserve"/>
            </w:r>
          </w:p>
        </w:tc>
      </w:tr>
      <w:tr>
        <w:tc>
          <w:tcPr>
            <w:shd w:fill="FFFFFF" w:val="clear"/>
            <w:vAlign w:val="center"/>
          </w:tcPr>
          <w:p>
            <w:r>
              <w:rPr>
                <w:rFonts w:ascii="Times New Roman" w:cs="Times New Roman" w:eastAsia="Times New Roman" w:hAnsi="Times New Roman"/>
                <w:color w:val="1F2937"/>
                <w:sz w:val="18"/>
                <w:szCs w:val="18"/>
              </w:rPr>
              <w:t xml:space="preserve">Signaux d'alerte identifiés</w:t>
            </w:r>
          </w:p>
        </w:tc>
        <w:tc>
          <w:tcPr>
            <w:shd w:fill="FFFFFF" w:val="clear"/>
            <w:vAlign w:val="center"/>
          </w:tcPr>
          <w:p>
            <w:r>
              <w:rPr>
                <w:rFonts w:ascii="Times New Roman" w:cs="Times New Roman" w:eastAsia="Times New Roman" w:hAnsi="Times New Roman"/>
                <w:color w:val="1F2937"/>
                <w:sz w:val="18"/>
                <w:szCs w:val="18"/>
              </w:rPr>
              <w:t xml:space="preserve"/>
            </w:r>
          </w:p>
        </w:tc>
        <w:tc>
          <w:tcPr>
            <w:shd w:fill="FFFFFF" w:val="clear"/>
            <w:vAlign w:val="center"/>
          </w:tcPr>
          <w:p>
            <w:r>
              <w:rPr>
                <w:rFonts w:ascii="Times New Roman" w:cs="Times New Roman" w:eastAsia="Times New Roman" w:hAnsi="Times New Roman"/>
                <w:color w:val="1F2937"/>
                <w:sz w:val="18"/>
                <w:szCs w:val="18"/>
              </w:rPr>
              <w:t xml:space="preserve"/>
            </w:r>
          </w:p>
        </w:tc>
      </w:tr>
    </w:tbl>
    <w:p>
      <w:pPr>
        <w:spacing w:after="80" w:before="80"/>
      </w:pPr>
    </w:p>
    <w:p>
      <w:pPr>
        <w:pBdr>
          <w:left w:val="thick" w:color="D97706" w:sz="12"/>
        </w:pBdr>
        <w:shd w:fill="FFF4E5" w:val="clear"/>
        <w:spacing w:after="80" w:before="80"/>
        <w:ind w:left="360"/>
      </w:pPr>
      <w:r>
        <w:rPr>
          <w:rFonts w:ascii="Times New Roman" w:cs="Times New Roman" w:eastAsia="Times New Roman" w:hAnsi="Times New Roman"/>
          <w:color w:val="1F2937"/>
          <w:sz w:val="22"/>
          <w:szCs w:val="22"/>
        </w:rPr>
        <w:t xml:space="preserve">Tu n'as pas à citer le nom de l'offre dans un cadre partagé. L'exercice est pour ton usage personnel. Son but : t'entraîner à détecter les manipulations des trois intrants avant toute décision.</w:t>
      </w:r>
    </w:p>
    <w:p>
      <w:pPr>
        <w:spacing w:after="80" w:before="80"/>
      </w:pPr>
    </w:p>
    <w:p>
      <w:pPr>
        <w:pStyle w:val="Heading2"/>
        <w:spacing w:after="120" w:before="280"/>
      </w:pPr>
      <w:r>
        <w:rPr>
          <w:rFonts w:ascii="Times New Roman" w:cs="Times New Roman" w:eastAsia="Times New Roman" w:hAnsi="Times New Roman"/>
          <w:b/>
          <w:bCs/>
          <w:color w:val="1B3A6B"/>
          <w:sz w:val="30"/>
          <w:szCs w:val="30"/>
        </w:rPr>
        <w:t xml:space="preserve">🎯 Challenge de synthèse — La matrice d'arbitrage personnel</w:t>
      </w:r>
    </w:p>
    <w:p>
      <w:pPr>
        <w:spacing w:after="80" w:before="80"/>
      </w:pPr>
      <w:r>
        <w:rPr>
          <w:rFonts w:ascii="Times New Roman" w:cs="Times New Roman" w:eastAsia="Times New Roman" w:hAnsi="Times New Roman"/>
          <w:color w:val="1F2937"/>
          <w:sz w:val="22"/>
          <w:szCs w:val="22"/>
        </w:rPr>
        <w:t xml:space="preserve">Objectif : construire une matrice qui t'aide à choisir entre deux modèles passifs en comparant leurs profils d'intrants et leurs points de bascule.</w:t>
      </w:r>
    </w:p>
    <w:p>
      <w:pPr>
        <w:spacing w:after="80" w:before="80"/>
      </w:pPr>
    </w:p>
    <w:p>
      <w:pPr>
        <w:spacing w:after="80" w:before="80"/>
      </w:pPr>
      <w:r>
        <w:rPr>
          <w:rFonts w:ascii="Times New Roman" w:cs="Times New Roman" w:eastAsia="Times New Roman" w:hAnsi="Times New Roman"/>
          <w:b/>
          <w:bCs/>
          <w:color w:val="1F2937"/>
          <w:sz w:val="22"/>
          <w:szCs w:val="22"/>
        </w:rPr>
        <w:t xml:space="preserve">Consigne (4 étapes) :</w:t>
      </w:r>
    </w:p>
    <w:p>
      <w:pPr>
        <w:spacing w:after="80" w:before="80"/>
      </w:pPr>
      <w:r>
        <w:rPr>
          <w:rFonts w:ascii="Times New Roman" w:cs="Times New Roman" w:eastAsia="Times New Roman" w:hAnsi="Times New Roman"/>
          <w:color w:val="1F2937"/>
          <w:sz w:val="22"/>
          <w:szCs w:val="22"/>
        </w:rPr>
        <w:t xml:space="preserve">1. Choisis deux modèles de la feuille de route (ex. produit numérique vs ETF distribuants).</w:t>
      </w:r>
    </w:p>
    <w:p>
      <w:pPr>
        <w:spacing w:after="80" w:before="80"/>
      </w:pPr>
      <w:r>
        <w:rPr>
          <w:rFonts w:ascii="Times New Roman" w:cs="Times New Roman" w:eastAsia="Times New Roman" w:hAnsi="Times New Roman"/>
          <w:color w:val="1F2937"/>
          <w:sz w:val="22"/>
          <w:szCs w:val="22"/>
        </w:rPr>
        <w:t xml:space="preserve">2. Pour chacun, complète le tableau des trois intrants (Exercice 1 adapté) + calcule ou estime le point de bascule financier ET effort.</w:t>
      </w:r>
    </w:p>
    <w:p>
      <w:pPr>
        <w:spacing w:after="80" w:before="80"/>
      </w:pPr>
      <w:r>
        <w:rPr>
          <w:rFonts w:ascii="Times New Roman" w:cs="Times New Roman" w:eastAsia="Times New Roman" w:hAnsi="Times New Roman"/>
          <w:color w:val="1F2937"/>
          <w:sz w:val="22"/>
          <w:szCs w:val="22"/>
        </w:rPr>
        <w:t xml:space="preserve">3. Attribue un score de 1 à 5 sur trois critères : Capital accessible pour toi aujourd'hui | Temps disponible par semaine | Compétences déjà acquises.</w:t>
      </w:r>
    </w:p>
    <w:p>
      <w:pPr>
        <w:spacing w:after="80" w:before="80"/>
      </w:pPr>
      <w:r>
        <w:rPr>
          <w:rFonts w:ascii="Times New Roman" w:cs="Times New Roman" w:eastAsia="Times New Roman" w:hAnsi="Times New Roman"/>
          <w:color w:val="1F2937"/>
          <w:sz w:val="22"/>
          <w:szCs w:val="22"/>
        </w:rPr>
        <w:t xml:space="preserve">4. Somme les scores. Le modèle le mieux adapté à ta situation actuelle = score le plus élevé.</w:t>
      </w:r>
    </w:p>
    <w:p>
      <w:pPr>
        <w:spacing w:after="80" w:before="80"/>
      </w:pPr>
    </w:p>
    <w:p>
      <w:pPr>
        <w:spacing w:after="80" w:before="80"/>
      </w:pPr>
      <w:r>
        <w:rPr>
          <w:rFonts w:ascii="Times New Roman" w:cs="Times New Roman" w:eastAsia="Times New Roman" w:hAnsi="Times New Roman"/>
          <w:b/>
          <w:bCs/>
          <w:color w:val="1F2937"/>
          <w:sz w:val="22"/>
          <w:szCs w:val="22"/>
        </w:rPr>
        <w:t xml:space="preserve">Attendu :</w:t>
      </w:r>
    </w:p>
    <w:p>
      <w:pPr>
        <w:spacing w:after="80" w:before="80"/>
      </w:pPr>
      <w:r>
        <w:rPr>
          <w:rFonts w:ascii="Times New Roman" w:cs="Times New Roman" w:eastAsia="Times New Roman" w:hAnsi="Times New Roman"/>
          <w:color w:val="1F2937"/>
          <w:sz w:val="22"/>
          <w:szCs w:val="22"/>
        </w:rPr>
        <w:t xml:space="preserve">Un tableau comparatif rempli + 5 lignes de conclusion personnelle : quel modèle tu prioriseras et pourquoi, en nommant explicitement l'intrant le plus limitant pour toi aujourd'hui.</w:t>
      </w:r>
    </w:p>
    <w:p>
      <w:pPr>
        <w:spacing w:after="80" w:before="80"/>
      </w:pP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Rappel déontologique : ce challenge est un exercice de réflexion structurée, non une recommandation d'investissement. Aucun modèle n'est « meilleur » en absolu — le bon est celui qui correspond à ta situation réelle.</w:t>
      </w:r>
    </w:p>
    <w:p>
      <w:pPr>
        <w:spacing w:after="80" w:before="80"/>
      </w:pPr>
    </w:p>
    <w:p>
      <w:pPr>
        <w:pStyle w:val="Heading2"/>
        <w:spacing w:after="120" w:before="280"/>
      </w:pPr>
      <w:r>
        <w:rPr>
          <w:rFonts w:ascii="Times New Roman" w:cs="Times New Roman" w:eastAsia="Times New Roman" w:hAnsi="Times New Roman"/>
          <w:b/>
          <w:bCs/>
          <w:color w:val="1B3A6B"/>
          <w:sz w:val="30"/>
          <w:szCs w:val="30"/>
        </w:rPr>
        <w:t xml:space="preserve">📚 Ressources (toutes testées HTTP 200 le 09/08/2026)</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Fiscalité des revenus mobiliers — impots.gouv.fr : </w:t>
      </w:r>
      <w:hyperlink w:history="1" r:id="rIdxkfnsmi-21ilqnzohjanq">
        <w:r>
          <w:rPr>
            <w:rFonts w:ascii="Times New Roman" w:cs="Times New Roman" w:eastAsia="Times New Roman" w:hAnsi="Times New Roman"/>
            <w:color w:val="1155CC"/>
            <w:sz w:val="22"/>
            <w:szCs w:val="22"/>
            <w:u w:val="single"/>
          </w:rPr>
          <w:t xml:space="preserve">https://www.impots.gouv.fr/particulier/les-revenus-mobiliers</w:t>
        </w:r>
      </w:hyperlink>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Revenus d'épargne et placement — service-public.gouv.fr (F2613) : </w:t>
      </w:r>
      <w:hyperlink w:history="1" r:id="rIdiu-pf9rflpod5laa_xwb4">
        <w:r>
          <w:rPr>
            <w:rFonts w:ascii="Times New Roman" w:cs="Times New Roman" w:eastAsia="Times New Roman" w:hAnsi="Times New Roman"/>
            <w:color w:val="1155CC"/>
            <w:sz w:val="22"/>
            <w:szCs w:val="22"/>
            <w:u w:val="single"/>
          </w:rPr>
          <w:t xml:space="preserve">https://www.service-public.gouv.fr/particuliers/vosdroits/F2613</w:t>
        </w:r>
      </w:hyperlink>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AMF — Espace épargnants (mises en garde, listes noires) : </w:t>
      </w:r>
      <w:hyperlink w:history="1" r:id="rIdjp8yu3lxunovtpavpauin">
        <w:r>
          <w:rPr>
            <w:rFonts w:ascii="Times New Roman" w:cs="Times New Roman" w:eastAsia="Times New Roman" w:hAnsi="Times New Roman"/>
            <w:color w:val="1155CC"/>
            <w:sz w:val="22"/>
            <w:szCs w:val="22"/>
            <w:u w:val="single"/>
          </w:rPr>
          <w:t xml:space="preserve">https://www.amf-france.org/fr/espace-epargnants</w:t>
        </w:r>
      </w:hyperlink>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Indie Hackers — Retours d'expérience réels de créateurs : </w:t>
      </w:r>
      <w:hyperlink w:history="1" r:id="rIdouiqe_dwhg8cj9jfkwkh8">
        <w:r>
          <w:rPr>
            <w:rFonts w:ascii="Times New Roman" w:cs="Times New Roman" w:eastAsia="Times New Roman" w:hAnsi="Times New Roman"/>
            <w:color w:val="1155CC"/>
            <w:sz w:val="22"/>
            <w:szCs w:val="22"/>
            <w:u w:val="single"/>
          </w:rPr>
          <w:t xml:space="preserve">https://www.indiehackers.com/</w:t>
        </w:r>
      </w:hyperlink>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Frugalisme — « Revenu passif : pourquoi il n'existe pas (et quoi viser) » : </w:t>
      </w:r>
      <w:hyperlink w:history="1" r:id="rIdrfvm96qrxkeoz-mwblvq1">
        <w:r>
          <w:rPr>
            <w:rFonts w:ascii="Times New Roman" w:cs="Times New Roman" w:eastAsia="Times New Roman" w:hAnsi="Times New Roman"/>
            <w:color w:val="1155CC"/>
            <w:sz w:val="22"/>
            <w:szCs w:val="22"/>
            <w:u w:val="single"/>
          </w:rPr>
          <w:t xml:space="preserve">https://www.lefrugalisme.com/revenu-passif/</w:t>
        </w:r>
      </w:hyperlink>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European Funding Guide — Revenu passif en 2026 : sources réalistes, fiscalité et erreurs : </w:t>
      </w:r>
      <w:hyperlink w:history="1" r:id="rIdkqj5gfbb4zj2r5yv6urdz">
        <w:r>
          <w:rPr>
            <w:rFonts w:ascii="Times New Roman" w:cs="Times New Roman" w:eastAsia="Times New Roman" w:hAnsi="Times New Roman"/>
            <w:color w:val="1155CC"/>
            <w:sz w:val="22"/>
            <w:szCs w:val="22"/>
            <w:u w:val="single"/>
          </w:rPr>
          <w:t xml:space="preserve">https://www.european-funding-guide.eu/fr/revenu-passif</w:t>
        </w:r>
      </w:hyperlink>
    </w:p>
    <w:p>
      <w:pPr>
        <w:spacing w:after="80" w:before="80"/>
      </w:pPr>
    </w:p>
    <w:p>
      <w:pPr>
        <w:pStyle w:val="Heading2"/>
        <w:spacing w:after="120" w:before="280"/>
      </w:pPr>
      <w:r>
        <w:rPr>
          <w:rFonts w:ascii="Times New Roman" w:cs="Times New Roman" w:eastAsia="Times New Roman" w:hAnsi="Times New Roman"/>
          <w:b/>
          <w:bCs/>
          <w:color w:val="1B3A6B"/>
          <w:sz w:val="30"/>
          <w:szCs w:val="30"/>
        </w:rPr>
        <w:t xml:space="preserve">🔜 Prochaine leçon — Leçon 04</w:t>
      </w:r>
    </w:p>
    <w:p>
      <w:pPr>
        <w:pBdr>
          <w:left w:val="thick" w:color="1B3A6B" w:sz="12"/>
        </w:pBdr>
        <w:shd w:fill="EEF2F7" w:val="clear"/>
        <w:spacing w:after="80" w:before="80"/>
        <w:ind w:left="360"/>
      </w:pPr>
      <w:r>
        <w:rPr>
          <w:rFonts w:ascii="Times New Roman" w:cs="Times New Roman" w:eastAsia="Times New Roman" w:hAnsi="Times New Roman"/>
          <w:b/>
          <w:bCs/>
          <w:i/>
          <w:iCs/>
          <w:color w:val="1F2937"/>
          <w:sz w:val="22"/>
          <w:szCs w:val="22"/>
        </w:rPr>
        <w:t xml:space="preserve">Leçon 04 — L'économie réelle : coûts cachés, maintenance obligatoire, fiscalité française complète et taux d'échec documentés.</w:t>
      </w:r>
    </w:p>
    <w:p>
      <w:pPr>
        <w:pBdr>
          <w:left w:val="thick" w:color="1B3A6B" w:sz="12"/>
        </w:pBdr>
        <w:shd w:fill="EEF2F7" w:val="clear"/>
        <w:spacing w:after="80" w:before="80"/>
        <w:ind w:left="360"/>
      </w:pPr>
      <w:r>
        <w:rPr>
          <w:rFonts w:ascii="Times New Roman" w:cs="Times New Roman" w:eastAsia="Times New Roman" w:hAnsi="Times New Roman"/>
          <w:i/>
          <w:iCs/>
          <w:color w:val="1F2937"/>
          <w:sz w:val="22"/>
          <w:szCs w:val="22"/>
        </w:rPr>
        <w:t xml:space="preserve">Tu iras plus loin que cette leçon 03 en appliquant les trois intrants aux coûts réels : charges fiscales complètes, frais de gestion, réparations, impôts fonciers. L'objectif : comparer le rendement net réel vs l'annonce promotionnelle, chiffres à l'appui.</w:t>
      </w:r>
    </w:p>
    <w:p>
      <w:pPr>
        <w:spacing w:after="80" w:before="80"/>
      </w:pPr>
    </w:p>
    <w:p>
      <w:pPr>
        <w:spacing w:after="0" w:before="240"/>
        <w:jc w:val="center"/>
      </w:pPr>
      <w:r>
        <w:rPr>
          <w:rFonts w:ascii="Times New Roman" w:cs="Times New Roman" w:eastAsia="Times New Roman" w:hAnsi="Times New Roman"/>
          <w:i/>
          <w:iCs/>
          <w:color w:val="888888"/>
          <w:sz w:val="18"/>
          <w:szCs w:val="18"/>
        </w:rPr>
        <w:t xml:space="preserve">Leçon Revenus passifs n°03 / 10 — 9 août 2026 — Usage personnel et éducatif uniquement — Pas de conseil en investissement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kfnsmi-21ilqnzohjanq" Type="http://schemas.openxmlformats.org/officeDocument/2006/relationships/hyperlink" Target="https://www.impots.gouv.fr/particulier/les-revenus-mobiliers" TargetMode="External"/><Relationship Id="rIdiu-pf9rflpod5laa_xwb4" Type="http://schemas.openxmlformats.org/officeDocument/2006/relationships/hyperlink" Target="https://www.service-public.gouv.fr/particuliers/vosdroits/F2613" TargetMode="External"/><Relationship Id="rIdjp8yu3lxunovtpavpauin" Type="http://schemas.openxmlformats.org/officeDocument/2006/relationships/hyperlink" Target="https://www.amf-france.org/fr/espace-epargnants" TargetMode="External"/><Relationship Id="rIdouiqe_dwhg8cj9jfkwkh8" Type="http://schemas.openxmlformats.org/officeDocument/2006/relationships/hyperlink" Target="https://www.indiehackers.com/" TargetMode="External"/><Relationship Id="rIdrfvm96qrxkeoz-mwblvq1" Type="http://schemas.openxmlformats.org/officeDocument/2006/relationships/hyperlink" Target="https://www.lefrugalisme.com/revenu-passif/" TargetMode="External"/><Relationship Id="rIdkqj5gfbb4zj2r5yv6urdz" Type="http://schemas.openxmlformats.org/officeDocument/2006/relationships/hyperlink" Target="https://www.european-funding-guide.eu/fr/revenu-passif"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Revenus passifs n°03 — Les trois intrants et le point de bascule</dc:title>
  <dc:creator>Claude – Parcours Revenus passifs</dc:creator>
  <dc:description>Leçon 03/10 — Parcours Revenus passifs</dc:description>
  <cp:lastModifiedBy>Un-named</cp:lastModifiedBy>
  <cp:revision>1</cp:revision>
  <dcterms:created xsi:type="dcterms:W3CDTF">2026-08-09T05:11:25.058Z</dcterms:created>
  <dcterms:modified xsi:type="dcterms:W3CDTF">2026-08-09T05:11:25.073Z</dcterms:modified>
</cp:coreProperties>
</file>

<file path=docProps/custom.xml><?xml version="1.0" encoding="utf-8"?>
<Properties xmlns="http://schemas.openxmlformats.org/officeDocument/2006/custom-properties" xmlns:vt="http://schemas.openxmlformats.org/officeDocument/2006/docPropsVTypes"/>
</file>