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52"/>
          <w:szCs w:val="52"/>
        </w:rPr>
        <w:t xml:space="preserve">Leçon Revenus passifs n°07</w:t>
      </w:r>
    </w:p>
    <w:p>
      <w:pPr>
        <w:spacing w:after="100"/>
        <w:jc w:val="center"/>
      </w:pPr>
      <w:r>
        <w:rPr>
          <w:rFonts w:ascii="Times New Roman" w:cs="Times New Roman" w:eastAsia="Times New Roman" w:hAnsi="Times New Roman"/>
          <w:b/>
          <w:bCs/>
          <w:color w:val="1B3A6B"/>
          <w:sz w:val="52"/>
          <w:szCs w:val="52"/>
        </w:rPr>
        <w:t xml:space="preserve">Idée 5 : Automatisations no-code, micro-SaaS et agents IA</w:t>
      </w:r>
    </w:p>
    <w:p>
      <w:pPr>
        <w:spacing w:after="200"/>
        <w:jc w:val="center"/>
      </w:pPr>
      <w:r>
        <w:rPr>
          <w:rFonts w:ascii="Times New Roman" w:cs="Times New Roman" w:eastAsia="Times New Roman" w:hAnsi="Times New Roman"/>
          <w:i/>
          <w:iCs/>
          <w:color w:val="6B7280"/>
          <w:sz w:val="22"/>
          <w:szCs w:val="22"/>
        </w:rPr>
        <w:t xml:space="preserve">6 septembre 2026  •  Leçon 07 / 10</w:t>
      </w:r>
    </w:p>
    <w:p>
      <w:pPr>
        <w:pBdr>
          <w:bottom w:val="single" w:color="E5E7EB" w:sz="4"/>
        </w:pBdr>
        <w:spacing w:after="120" w:before="12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Cadre déontologique</w:t>
      </w:r>
    </w:p>
    <w:p>
      <w:pPr>
        <w:pBdr>
          <w:left w:val="single" w:color="D97706" w:sz="12" w:space="200"/>
        </w:pBdr>
        <w:shd w:fill="FFF4E5" w:val="clear"/>
        <w:spacing w:after="60"/>
        <w:ind w:left="360" w:right="200"/>
      </w:pPr>
      <w:r>
        <w:rPr>
          <w:rFonts w:ascii="Times New Roman" w:cs="Times New Roman" w:eastAsia="Times New Roman" w:hAnsi="Times New Roman"/>
          <w:b/>
          <w:bCs/>
          <w:color w:val="92400E"/>
          <w:sz w:val="22"/>
          <w:szCs w:val="22"/>
        </w:rPr>
        <w:t xml:space="preserve">AVERTISSEMENT ÉDUCATIF — Cette leçon est éducative et généraliste. Elle n’a pas valeur de conseil en investissement ni de recommandation personnalisée. En France, le conseil en investissement financier est une activité réglementée (statut CIF, registre ORIAS). Aucune leçon de ce parcours ne prescrit quoi acheter, quand, ni pour quel montant.</w:t>
      </w:r>
    </w:p>
    <w:p>
      <w:pPr>
        <w:pBdr>
          <w:left w:val="single" w:color="D97706" w:sz="12" w:space="200"/>
        </w:pBdr>
        <w:shd w:fill="FFF4E5" w:val="clear"/>
        <w:spacing w:after="60"/>
        <w:ind w:left="360" w:right="200"/>
      </w:pPr>
      <w:r>
        <w:rPr>
          <w:rFonts w:ascii="Times New Roman" w:cs="Times New Roman" w:eastAsia="Times New Roman" w:hAnsi="Times New Roman"/>
          <w:b w:val="false"/>
          <w:bCs w:val="false"/>
          <w:color w:val="92400E"/>
          <w:sz w:val="22"/>
          <w:szCs w:val="22"/>
        </w:rPr>
        <w:t xml:space="preserve">Le secteur « revenus passifs via outils numériques » est saturé de promesses trompeuses et de formations creuses. Cette leçon expose sans complaisance les taux d’échec documentés, le travail non-passif exigé, les coûts réels et les signaux d’arnaque propres au secteur. Toute décision relève de votre responsabilité, le cas échéant avec un professionnel agréé.</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Objectif &amp; continuité</w:t>
      </w:r>
    </w:p>
    <w:p>
      <w:pPr>
        <w:spacing w:after="80" w:before="200"/>
      </w:pPr>
      <w:r>
        <w:rPr>
          <w:rFonts w:ascii="Times New Roman" w:cs="Times New Roman" w:eastAsia="Times New Roman" w:hAnsi="Times New Roman"/>
          <w:b/>
          <w:bCs/>
          <w:color w:val="1F2937"/>
          <w:sz w:val="26"/>
          <w:szCs w:val="26"/>
        </w:rPr>
        <w:t xml:space="preserve">Ce que vous saurez faire après cette leçon</w:t>
      </w:r>
    </w:p>
    <w:p>
      <w:pPr>
        <w:pStyle w:val="ListParagraph"/>
        <w:numPr>
          <w:ilvl w:val="0"/>
          <w:numId w:val="2"/>
        </w:numPr>
        <w:spacing w:after="60"/>
      </w:pPr>
      <w:r>
        <w:rPr>
          <w:rFonts w:ascii="Times New Roman" w:cs="Times New Roman" w:eastAsia="Times New Roman" w:hAnsi="Times New Roman"/>
          <w:color w:val="1F2937"/>
          <w:sz w:val="22"/>
          <w:szCs w:val="22"/>
        </w:rPr>
        <w:t xml:space="preserve">Distinguer les trois variantes du modèle numérique : automatisation no-code, micro-SaaS, AI wrapper</w:t>
      </w:r>
    </w:p>
    <w:p>
      <w:pPr>
        <w:pStyle w:val="ListParagraph"/>
        <w:numPr>
          <w:ilvl w:val="0"/>
          <w:numId w:val="2"/>
        </w:numPr>
        <w:spacing w:after="60"/>
      </w:pPr>
      <w:r>
        <w:rPr>
          <w:rFonts w:ascii="Times New Roman" w:cs="Times New Roman" w:eastAsia="Times New Roman" w:hAnsi="Times New Roman"/>
          <w:color w:val="1F2937"/>
          <w:sz w:val="22"/>
          <w:szCs w:val="22"/>
        </w:rPr>
        <w:t xml:space="preserve">Comprendre comment se structure un revenu récurrent (MRR) dans ces modèles</w:t>
      </w:r>
    </w:p>
    <w:p>
      <w:pPr>
        <w:pStyle w:val="ListParagraph"/>
        <w:numPr>
          <w:ilvl w:val="0"/>
          <w:numId w:val="2"/>
        </w:numPr>
        <w:spacing w:after="60"/>
      </w:pPr>
      <w:r>
        <w:rPr>
          <w:rFonts w:ascii="Times New Roman" w:cs="Times New Roman" w:eastAsia="Times New Roman" w:hAnsi="Times New Roman"/>
          <w:color w:val="1F2937"/>
          <w:sz w:val="22"/>
          <w:szCs w:val="22"/>
        </w:rPr>
        <w:t xml:space="preserve">Évaluer réalistement la charge de travail, les coûts et les risques propres à chaque variante</w:t>
      </w:r>
    </w:p>
    <w:p>
      <w:pPr>
        <w:pStyle w:val="ListParagraph"/>
        <w:numPr>
          <w:ilvl w:val="0"/>
          <w:numId w:val="2"/>
        </w:numPr>
        <w:spacing w:after="60"/>
      </w:pPr>
      <w:r>
        <w:rPr>
          <w:rFonts w:ascii="Times New Roman" w:cs="Times New Roman" w:eastAsia="Times New Roman" w:hAnsi="Times New Roman"/>
          <w:color w:val="1F2937"/>
          <w:sz w:val="22"/>
          <w:szCs w:val="22"/>
        </w:rPr>
        <w:t xml:space="preserve">Identifier les signaux d’arnaque AMF spécifiques au secteur « formation no-code / IA »</w:t>
      </w:r>
    </w:p>
    <w:p>
      <w:pPr>
        <w:pStyle w:val="ListParagraph"/>
        <w:numPr>
          <w:ilvl w:val="0"/>
          <w:numId w:val="2"/>
        </w:numPr>
        <w:spacing w:after="60"/>
      </w:pPr>
      <w:r>
        <w:rPr>
          <w:rFonts w:ascii="Times New Roman" w:cs="Times New Roman" w:eastAsia="Times New Roman" w:hAnsi="Times New Roman"/>
          <w:color w:val="1F2937"/>
          <w:sz w:val="22"/>
          <w:szCs w:val="22"/>
        </w:rPr>
        <w:t xml:space="preserve">Calculer la rentabilité d’un micro-SaaS à partir de données concrètes</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Lien avec la leçon précédente (n°06)</w:t>
      </w:r>
    </w:p>
    <w:p>
      <w:pPr>
        <w:spacing w:after="80"/>
      </w:pPr>
      <w:r>
        <w:rPr>
          <w:rFonts w:ascii="Times New Roman" w:cs="Times New Roman" w:eastAsia="Times New Roman" w:hAnsi="Times New Roman"/>
          <w:color w:val="1F2937"/>
          <w:sz w:val="22"/>
          <w:szCs w:val="22"/>
        </w:rPr>
        <w:t xml:space="preserve">La leçon 06 portait sur les placements à revenu (ETF distribuants, SCPI) : des modèles fondés sur le capital financier. Cette leçon explore l’autre extrémité du spectre : des modèles fondés sur la compétence technique et le temps de construction, avec peu ou pas de capital initial. Ces deux logiques sont profondément différentes — et leur comparaison est l’un des apprentissages clés du parcours.</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Théorie (20 %) — Les trois variantes du modèle numérique</w:t>
      </w:r>
    </w:p>
    <w:p>
      <w:pPr>
        <w:spacing w:after="80" w:before="200"/>
      </w:pPr>
      <w:r>
        <w:rPr>
          <w:rFonts w:ascii="Times New Roman" w:cs="Times New Roman" w:eastAsia="Times New Roman" w:hAnsi="Times New Roman"/>
          <w:b/>
          <w:bCs/>
          <w:color w:val="1F2937"/>
          <w:sz w:val="26"/>
          <w:szCs w:val="26"/>
        </w:rPr>
        <w:t xml:space="preserve">1. L’automatisation no-code</w:t>
      </w:r>
    </w:p>
    <w:p>
      <w:pPr>
        <w:spacing w:after="80"/>
      </w:pPr>
      <w:r>
        <w:rPr>
          <w:rFonts w:ascii="Times New Roman" w:cs="Times New Roman" w:eastAsia="Times New Roman" w:hAnsi="Times New Roman"/>
          <w:color w:val="1F2937"/>
          <w:sz w:val="22"/>
          <w:szCs w:val="22"/>
        </w:rPr>
        <w:t xml:space="preserve">Une automatisation no-code relie des applications entre elles sans écrire de code : un déclencheur (trigger) active une séquence d’actions prédéfinies. Exemple : chaque nouveau formulaire reçu déclenche l’envoi d’un email de confirmation, la création d’une ligne dans un tableur et l’ajout d’un contact dans un CRM.</w:t>
      </w:r>
    </w:p>
    <w:p>
      <w:pPr>
        <w:spacing w:after="80"/>
      </w:pPr>
      <w:r>
        <w:rPr>
          <w:rFonts w:ascii="Times New Roman" w:cs="Times New Roman" w:eastAsia="Times New Roman" w:hAnsi="Times New Roman"/>
          <w:color w:val="1F2937"/>
          <w:sz w:val="22"/>
          <w:szCs w:val="22"/>
        </w:rPr>
        <w:t xml:space="preserve">Les outils dominants du marché en 2026 sont Zapier, Make.com et n8n. Ils s’adressent à des profils non-développeurs. On peut les utiliser pour vendre des automatisations sur mesure comme prestataire, ou pour opérer les flux internes d’un micro-SaaS sans infrastructure de développement.</w:t>
      </w:r>
    </w:p>
    <w:p>
      <w:pPr>
        <w:pBdr>
          <w:left w:val="single" w:color="1B3A6B" w:sz="12" w:space="200"/>
        </w:pBdr>
        <w:shd w:fill="EEF2F7" w:val="clear"/>
        <w:spacing w:after="80"/>
        <w:ind w:left="360" w:right="200"/>
      </w:pPr>
      <w:r>
        <w:rPr>
          <w:rFonts w:ascii="Times New Roman" w:cs="Times New Roman" w:eastAsia="Times New Roman" w:hAnsi="Times New Roman"/>
          <w:i/>
          <w:iCs/>
          <w:color w:val="1F2937"/>
          <w:sz w:val="22"/>
          <w:szCs w:val="22"/>
        </w:rPr>
        <w:t xml:space="preserve">L’automatisation no-code est souvent présentée comme « le revenu passif le plus accessible ». C’est également le plus limité en scalabilité : automatiser pour un client crée de la valeur, mais ne génère pas automatiquement de revenu récurrent — il faut encore trouver et fidéliser des clients (synthèse, non citation).</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2. Le micro-SaaS</w:t>
      </w:r>
    </w:p>
    <w:p>
      <w:pPr>
        <w:spacing w:after="80"/>
      </w:pPr>
      <w:r>
        <w:rPr>
          <w:rFonts w:ascii="Times New Roman" w:cs="Times New Roman" w:eastAsia="Times New Roman" w:hAnsi="Times New Roman"/>
          <w:color w:val="1F2937"/>
          <w:sz w:val="22"/>
          <w:szCs w:val="22"/>
        </w:rPr>
        <w:t xml:space="preserve">Un micro-SaaS (Software as a Service de petite échelle) est un logiciel ciblant une niche très précise, vendu en abonnement mensuel ou annuel. Il est typiquement développé et opéré par une seule personne (solo founder) ou une très petite équipe.</w:t>
      </w:r>
    </w:p>
    <w:p>
      <w:pPr>
        <w:spacing w:after="80"/>
      </w:pPr>
      <w:r>
        <w:rPr>
          <w:rFonts w:ascii="Times New Roman" w:cs="Times New Roman" w:eastAsia="Times New Roman" w:hAnsi="Times New Roman"/>
          <w:color w:val="1F2937"/>
          <w:sz w:val="22"/>
          <w:szCs w:val="22"/>
        </w:rPr>
        <w:t xml:space="preserve">Ce qui le distingue d’un SaaS classique : l’ambition de croissance est délibérément limitée. L’objectif n’est pas de lever des fonds ni de scaler à grande échelle, mais d’atteindre un MRR couvrant les charges et générant un revenu stable.</w:t>
      </w:r>
    </w:p>
    <w:p>
      <w:pPr>
        <w:spacing w:after="80"/>
      </w:pPr>
      <w:r>
        <w:rPr>
          <w:rFonts w:ascii="Times New Roman" w:cs="Times New Roman" w:eastAsia="Times New Roman" w:hAnsi="Times New Roman"/>
          <w:color w:val="1F2937"/>
          <w:sz w:val="22"/>
          <w:szCs w:val="22"/>
        </w:rPr>
        <w:t xml:space="preserve">Exemples de niches typiques : outil de génération de factures pour auto-entrepreneurs, plugin de gestion de listes d’attente pour restaurants, système d’emails automatisés pour blogueurs.</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3. L’AI wrapper</w:t>
      </w:r>
    </w:p>
    <w:p>
      <w:pPr>
        <w:spacing w:after="80"/>
      </w:pPr>
      <w:r>
        <w:rPr>
          <w:rFonts w:ascii="Times New Roman" w:cs="Times New Roman" w:eastAsia="Times New Roman" w:hAnsi="Times New Roman"/>
          <w:color w:val="1F2937"/>
          <w:sz w:val="22"/>
          <w:szCs w:val="22"/>
        </w:rPr>
        <w:t xml:space="preserve">Un AI wrapper est une application qui encapsule l’accès à une API d’IA générative (OpenAI, Anthropic, Google Gemini…) dans une interface ou un workflow spécifique à un cas d’usage. L’utilisateur accède à une interface pré-paramétrée pour sa niche, sans maîtriser l’API brute.</w:t>
      </w:r>
    </w:p>
    <w:p>
      <w:pPr>
        <w:spacing w:after="80"/>
      </w:pPr>
      <w:r>
        <w:rPr>
          <w:rFonts w:ascii="Times New Roman" w:cs="Times New Roman" w:eastAsia="Times New Roman" w:hAnsi="Times New Roman"/>
          <w:color w:val="1F2937"/>
          <w:sz w:val="22"/>
          <w:szCs w:val="22"/>
        </w:rPr>
        <w:t xml:space="preserve">Exemples : générateur de fiches produit pour e-commerçants, assistant de rédaction pour agences immobilières, chatbot de FAQ interne pour PME.</w:t>
      </w:r>
    </w:p>
    <w:p>
      <w:pPr>
        <w:spacing w:after="80"/>
      </w:pPr>
      <w:r>
        <w:rPr>
          <w:rFonts w:ascii="Times New Roman" w:cs="Times New Roman" w:eastAsia="Times New Roman" w:hAnsi="Times New Roman"/>
          <w:color w:val="1F2937"/>
          <w:sz w:val="22"/>
          <w:szCs w:val="22"/>
        </w:rPr>
        <w:t xml:space="preserve">C’est le modèle le plus récent et le plus volatil : les barrières à l’entrée sont très faibles (quelques heures pour un prototype), ce qui entraîne une saturation rapide des niches. La concurrence directe avec les fournisseurs d’IA eux-mêmes est un risque structurel : ils enrichissent régulièrement leurs produits natifs et absorbent les cas d’usage des wrappers.</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La mécanique commune : le MRR et le revenu récurrent</w:t>
      </w:r>
    </w:p>
    <w:p>
      <w:pPr>
        <w:spacing w:after="80"/>
      </w:pPr>
      <w:r>
        <w:rPr>
          <w:rFonts w:ascii="Times New Roman" w:cs="Times New Roman" w:eastAsia="Times New Roman" w:hAnsi="Times New Roman"/>
          <w:color w:val="1F2937"/>
          <w:sz w:val="22"/>
          <w:szCs w:val="22"/>
        </w:rPr>
        <w:t xml:space="preserve">Les trois variantes partagent le même attrait : le revenu récurrent. Si 30 clients paient 15 €/mois, cela génère 450 € de MRR sans refacturer chaque mois. C’est la promesse de la passivité : une fois le produit construit, les revenus arrivent automatiquement.</w:t>
      </w:r>
    </w:p>
    <w:p>
      <w:pPr>
        <w:pBdr>
          <w:left w:val="single" w:color="1B3A6B" w:sz="12" w:space="200"/>
        </w:pBdr>
        <w:shd w:fill="EEF2F7" w:val="clear"/>
        <w:spacing w:after="80"/>
        <w:ind w:left="360" w:right="200"/>
      </w:pPr>
      <w:r>
        <w:rPr>
          <w:rFonts w:ascii="Times New Roman" w:cs="Times New Roman" w:eastAsia="Times New Roman" w:hAnsi="Times New Roman"/>
          <w:i/>
          <w:iCs/>
          <w:color w:val="1F2937"/>
          <w:sz w:val="22"/>
          <w:szCs w:val="22"/>
        </w:rPr>
        <w:t xml:space="preserve">La réalité est plus nuancée. Le MRR est récurrent, mais la maintenance, le support client, les mises à jour et la lutte contre le churn (désabonnements) ne le sont pas dans le sens « passif » du terme. Ils représentent une charge continue, difficile à déléguer en phase précoce, et souvent sous-estimée. (Synthèse, non citation.)</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Ancrage réaliste — Ce que les données disent vraiment</w:t>
      </w:r>
    </w:p>
    <w:p>
      <w:pPr>
        <w:spacing w:after="80" w:before="200"/>
      </w:pPr>
      <w:r>
        <w:rPr>
          <w:rFonts w:ascii="Times New Roman" w:cs="Times New Roman" w:eastAsia="Times New Roman" w:hAnsi="Times New Roman"/>
          <w:b/>
          <w:bCs/>
          <w:color w:val="1F2937"/>
          <w:sz w:val="26"/>
          <w:szCs w:val="26"/>
        </w:rPr>
        <w:t xml:space="preserve">Taux d’échec documentés (sources testées le 6 septembre 2026)</w:t>
      </w:r>
    </w:p>
    <w:p>
      <w:pPr>
        <w:pBdr>
          <w:left w:val="single" w:color="D97706" w:sz="12" w:space="200"/>
        </w:pBdr>
        <w:shd w:fill="FFF4E5" w:val="clear"/>
        <w:spacing w:after="60"/>
        <w:ind w:left="360" w:right="200"/>
      </w:pPr>
      <w:r>
        <w:rPr>
          <w:rFonts w:ascii="Times New Roman" w:cs="Times New Roman" w:eastAsia="Times New Roman" w:hAnsi="Times New Roman"/>
          <w:b/>
          <w:bCs/>
          <w:color w:val="92400E"/>
          <w:sz w:val="22"/>
          <w:szCs w:val="22"/>
        </w:rPr>
        <w:t xml:space="preserve">92 % des SaaS échouent en 3 ans, et 45 % des échecs se concentrent entre le 18e et le 24e mois — Rockingweb.com.au, « 18-Month Rule », page relue le 06/09/2026. ⚠️ Cette source se contredit elle-même : son titre annonce « 92% of Micro SaaS Fail Within 18 Months », son corps écrit « 92% of SaaS startups die within 3 years » et « 45% of all startup failures occur between months 18-24 ». Les chiffres retenus ici sont ceux du corps, pas du titre. La page s’appuie sur CB Insights (483 post-mortems), Harvard Business Review et 1 000 entreprises défaillantes. Source secondaire (blog d’agence web australienne), non un organisme officiel : estimation de marché, non statistique certifiée.</w:t>
      </w:r>
    </w:p>
    <w:p>
      <w:pPr>
        <w:pBdr>
          <w:left w:val="single" w:color="D97706" w:sz="12" w:space="200"/>
        </w:pBdr>
        <w:shd w:fill="FFF4E5" w:val="clear"/>
        <w:spacing w:after="60"/>
        <w:ind w:left="360" w:right="200"/>
      </w:pPr>
      <w:r>
        <w:rPr>
          <w:rFonts w:ascii="Times New Roman" w:cs="Times New Roman" w:eastAsia="Times New Roman" w:hAnsi="Times New Roman"/>
          <w:b w:val="false"/>
          <w:bCs w:val="false"/>
          <w:color w:val="92400E"/>
          <w:sz w:val="22"/>
          <w:szCs w:val="22"/>
        </w:rPr>
        <w:t xml:space="preserve">Distribution des revenus (Rockingweb.com.au, « 1,000 Micro SaaS Analysed », page relue mot pour mot le 06/09/2026) : 70 % restent sous 1 000 $/mois — la « validation zone » de 0 à 1 000 $ | 18 % seulement atteignent la « sustainability zone » de 1 000 à 5 000 $ de MRR | 1 à 2 % dépassent 50 000 $/mois. La source ajoute deux repères : 95 % des micro-SaaS deviennent rentables en moins de 12 mois, et la moyenne de 83 300 $/mois qu’elle cite ne porte que sur les « top performers », pas sur l’ensemble.</w:t>
      </w:r>
    </w:p>
    <w:p>
      <w:pPr>
        <w:pBdr>
          <w:left w:val="single" w:color="D97706" w:sz="12" w:space="200"/>
        </w:pBdr>
        <w:shd w:fill="FFF4E5" w:val="clear"/>
        <w:spacing w:after="60"/>
        <w:ind w:left="360" w:right="200"/>
      </w:pPr>
      <w:r>
        <w:rPr>
          <w:rFonts w:ascii="Times New Roman" w:cs="Times New Roman" w:eastAsia="Times New Roman" w:hAnsi="Times New Roman"/>
          <w:b w:val="false"/>
          <w:bCs w:val="false"/>
          <w:color w:val="92400E"/>
          <w:sz w:val="22"/>
          <w:szCs w:val="22"/>
        </w:rPr>
        <w:t xml:space="preserve">Lecture : la barre des 1 000 $/mois n’est pas un seuil de démarrage, c’est le plafond de 7 produits sur 10. Le modèle chiffré de l’exercice 3 ci-dessous — 30 abonnés à 15 €, soit 450 € de MRR — se situerait, s’il était atteint, dans les 30 % supérieurs de cette distribution.</w:t>
      </w:r>
    </w:p>
    <w:p>
      <w:pPr>
        <w:pBdr>
          <w:left w:val="single" w:color="D97706" w:sz="12" w:space="200"/>
        </w:pBdr>
        <w:shd w:fill="FFF4E5" w:val="clear"/>
        <w:spacing w:after="60"/>
        <w:ind w:left="360" w:right="200"/>
      </w:pPr>
      <w:r>
        <w:rPr>
          <w:rFonts w:ascii="Times New Roman" w:cs="Times New Roman" w:eastAsia="Times New Roman" w:hAnsi="Times New Roman"/>
          <w:b w:val="false"/>
          <w:bCs w:val="false"/>
          <w:color w:val="92400E"/>
          <w:sz w:val="22"/>
          <w:szCs w:val="22"/>
        </w:rPr>
        <w:t xml:space="preserve">Pour les AI wrappers : un taux d’échec de 90 % est évoqué dans des analyses de marché 2025. Donnée issue de sources secondaires non vérifiées directement pendant cette exécution — ordre de grandeur indicatif, non chiffre officiel.</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Le travail non-passif caché</w:t>
      </w:r>
    </w:p>
    <w:p>
      <w:pPr>
        <w:pStyle w:val="ListParagraph"/>
        <w:numPr>
          <w:ilvl w:val="0"/>
          <w:numId w:val="2"/>
        </w:numPr>
        <w:spacing w:after="60"/>
      </w:pPr>
      <w:r>
        <w:rPr>
          <w:rFonts w:ascii="Times New Roman" w:cs="Times New Roman" w:eastAsia="Times New Roman" w:hAnsi="Times New Roman"/>
          <w:color w:val="1F2937"/>
          <w:sz w:val="22"/>
          <w:szCs w:val="22"/>
        </w:rPr>
        <w:t xml:space="preserve">Support client : répondre aux questions, gérer les bugs signalés, rédiger et mettre à jour la documentation</w:t>
      </w:r>
    </w:p>
    <w:p>
      <w:pPr>
        <w:pStyle w:val="ListParagraph"/>
        <w:numPr>
          <w:ilvl w:val="0"/>
          <w:numId w:val="2"/>
        </w:numPr>
        <w:spacing w:after="60"/>
      </w:pPr>
      <w:r>
        <w:rPr>
          <w:rFonts w:ascii="Times New Roman" w:cs="Times New Roman" w:eastAsia="Times New Roman" w:hAnsi="Times New Roman"/>
          <w:color w:val="1F2937"/>
          <w:sz w:val="22"/>
          <w:szCs w:val="22"/>
        </w:rPr>
        <w:t xml:space="preserve">Mises à jour techniques : les API tierces (IA, outils no-code) évoluent et cassent régulièrement les intégrations existantes</w:t>
      </w:r>
    </w:p>
    <w:p>
      <w:pPr>
        <w:pStyle w:val="ListParagraph"/>
        <w:numPr>
          <w:ilvl w:val="0"/>
          <w:numId w:val="2"/>
        </w:numPr>
        <w:spacing w:after="60"/>
      </w:pPr>
      <w:r>
        <w:rPr>
          <w:rFonts w:ascii="Times New Roman" w:cs="Times New Roman" w:eastAsia="Times New Roman" w:hAnsi="Times New Roman"/>
          <w:color w:val="1F2937"/>
          <w:sz w:val="22"/>
          <w:szCs w:val="22"/>
        </w:rPr>
        <w:t xml:space="preserve">Marketing et acquisition : sans trafic qualifié, aucun client. Un micro-SaaS sans stratégie d’acquisition reste à 0 € de MRR</w:t>
      </w:r>
    </w:p>
    <w:p>
      <w:pPr>
        <w:pStyle w:val="ListParagraph"/>
        <w:numPr>
          <w:ilvl w:val="0"/>
          <w:numId w:val="2"/>
        </w:numPr>
        <w:spacing w:after="60"/>
      </w:pPr>
      <w:r>
        <w:rPr>
          <w:rFonts w:ascii="Times New Roman" w:cs="Times New Roman" w:eastAsia="Times New Roman" w:hAnsi="Times New Roman"/>
          <w:color w:val="1F2937"/>
          <w:sz w:val="22"/>
          <w:szCs w:val="22"/>
        </w:rPr>
        <w:t xml:space="preserve">Gestion du churn : les désabonnements érodent le MRR chaque mois. Les retenir exige d’améliorer le produit en continu</w:t>
      </w:r>
    </w:p>
    <w:p>
      <w:pPr>
        <w:pStyle w:val="ListParagraph"/>
        <w:numPr>
          <w:ilvl w:val="0"/>
          <w:numId w:val="2"/>
        </w:numPr>
        <w:spacing w:after="60"/>
      </w:pPr>
      <w:r>
        <w:rPr>
          <w:rFonts w:ascii="Times New Roman" w:cs="Times New Roman" w:eastAsia="Times New Roman" w:hAnsi="Times New Roman"/>
          <w:color w:val="1F2937"/>
          <w:sz w:val="22"/>
          <w:szCs w:val="22"/>
        </w:rPr>
        <w:t xml:space="preserve">Conformité légale : RGPD, CGU, politique de confidentialité — obligatoires dès le premier euro perçu en France</w:t>
      </w:r>
    </w:p>
    <w:p>
      <w:pPr>
        <w:pStyle w:val="ListParagraph"/>
        <w:numPr>
          <w:ilvl w:val="0"/>
          <w:numId w:val="2"/>
        </w:numPr>
        <w:spacing w:after="60"/>
      </w:pPr>
      <w:r>
        <w:rPr>
          <w:rFonts w:ascii="Times New Roman" w:cs="Times New Roman" w:eastAsia="Times New Roman" w:hAnsi="Times New Roman"/>
          <w:color w:val="1F2937"/>
          <w:sz w:val="22"/>
          <w:szCs w:val="22"/>
        </w:rPr>
        <w:t xml:space="preserve">Comptabilité et fiscalité : déclarations, cotisations sociales, TVA si applicable — même en micro-entrepreneur</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Coûts réels des outils en 2026</w:t>
      </w:r>
    </w:p>
    <w:p>
      <w:pPr>
        <w:spacing w:after="80"/>
      </w:pPr>
      <w:r>
        <w:rPr>
          <w:rFonts w:ascii="Times New Roman" w:cs="Times New Roman" w:eastAsia="Times New Roman" w:hAnsi="Times New Roman"/>
          <w:color w:val="1F2937"/>
          <w:sz w:val="22"/>
          <w:szCs w:val="22"/>
        </w:rPr>
        <w:t xml:space="preserve">Tarifs issus du comparatif Parseur.com (2026, URL testée le 6 septembre 2026 : HTTP 200), basé sur les grilles tarifaires officielles des éditeurs. Ces prix évoluent : vérifier directement sur les sites officiels avant tout engagement.</w:t>
      </w:r>
    </w:p>
    <w:p>
      <w:pPr>
        <w:spacing w:after="100"/>
      </w:pPr>
      <w:r>
        <w:t xml:space="preserve"/>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B3A6B" w:val="clear"/>
          </w:tcPr>
          <w:p>
            <w:pPr>
              <w:jc w:val="center"/>
            </w:pPr>
            <w:r>
              <w:rPr>
                <w:rFonts w:ascii="Times New Roman" w:cs="Times New Roman" w:eastAsia="Times New Roman" w:hAnsi="Times New Roman"/>
                <w:b/>
                <w:bCs/>
                <w:color w:val="FFFFFF"/>
                <w:sz w:val="20"/>
                <w:szCs w:val="20"/>
              </w:rPr>
              <w:t xml:space="preserve">Outil</w:t>
            </w:r>
          </w:p>
        </w:tc>
        <w:tc>
          <w:tcPr>
            <w:tcW w:type="dxa" w:w="2400"/>
            <w:shd w:fill="1B3A6B" w:val="clear"/>
          </w:tcPr>
          <w:p>
            <w:pPr>
              <w:jc w:val="center"/>
            </w:pPr>
            <w:r>
              <w:rPr>
                <w:rFonts w:ascii="Times New Roman" w:cs="Times New Roman" w:eastAsia="Times New Roman" w:hAnsi="Times New Roman"/>
                <w:b/>
                <w:bCs/>
                <w:color w:val="FFFFFF"/>
                <w:sz w:val="20"/>
                <w:szCs w:val="20"/>
              </w:rPr>
              <w:t xml:space="preserve">Plan de base (2026)</w:t>
            </w:r>
          </w:p>
        </w:tc>
        <w:tc>
          <w:tcPr>
            <w:tcW w:type="dxa" w:w="2200"/>
            <w:shd w:fill="1B3A6B" w:val="clear"/>
          </w:tcPr>
          <w:p>
            <w:pPr>
              <w:jc w:val="center"/>
            </w:pPr>
            <w:r>
              <w:rPr>
                <w:rFonts w:ascii="Times New Roman" w:cs="Times New Roman" w:eastAsia="Times New Roman" w:hAnsi="Times New Roman"/>
                <w:b/>
                <w:bCs/>
                <w:color w:val="FFFFFF"/>
                <w:sz w:val="20"/>
                <w:szCs w:val="20"/>
              </w:rPr>
              <w:t xml:space="preserve">Modèle de facturation</w:t>
            </w:r>
          </w:p>
        </w:tc>
        <w:tc>
          <w:tcPr>
            <w:tcW w:type="dxa" w:w="2100"/>
            <w:shd w:fill="1B3A6B" w:val="clear"/>
          </w:tcPr>
          <w:p>
            <w:pPr>
              <w:jc w:val="center"/>
            </w:pPr>
            <w:r>
              <w:rPr>
                <w:rFonts w:ascii="Times New Roman" w:cs="Times New Roman" w:eastAsia="Times New Roman" w:hAnsi="Times New Roman"/>
                <w:b/>
                <w:bCs/>
                <w:color w:val="FFFFFF"/>
                <w:sz w:val="20"/>
                <w:szCs w:val="20"/>
              </w:rPr>
              <w:t xml:space="preserve">Remarque</w:t>
            </w:r>
          </w:p>
        </w:tc>
      </w:tr>
      <w:tr>
        <w:tc>
          <w:tcPr>
            <w:tcW w:type="dxa" w:w="2200"/>
            <w:shd w:fill="FFFFFF" w:val="clear"/>
          </w:tcPr>
          <w:p>
            <w:pPr>
              <w:spacing w:after="0"/>
            </w:pPr>
            <w:r>
              <w:rPr>
                <w:rFonts w:ascii="Times New Roman" w:cs="Times New Roman" w:eastAsia="Times New Roman" w:hAnsi="Times New Roman"/>
                <w:color w:val="1F2937"/>
                <w:sz w:val="20"/>
                <w:szCs w:val="20"/>
              </w:rPr>
              <w:t xml:space="preserve">Zapier</w:t>
            </w:r>
          </w:p>
        </w:tc>
        <w:tc>
          <w:tcPr>
            <w:tcW w:type="dxa" w:w="2400"/>
            <w:shd w:fill="FFFFFF" w:val="clear"/>
          </w:tcPr>
          <w:p>
            <w:pPr>
              <w:spacing w:after="0"/>
            </w:pPr>
            <w:r>
              <w:rPr>
                <w:rFonts w:ascii="Times New Roman" w:cs="Times New Roman" w:eastAsia="Times New Roman" w:hAnsi="Times New Roman"/>
                <w:color w:val="1F2937"/>
                <w:sz w:val="20"/>
                <w:szCs w:val="20"/>
              </w:rPr>
              <w:t xml:space="preserve">19,99 $/mois (Professional, engagement annuel)</w:t>
            </w:r>
          </w:p>
        </w:tc>
        <w:tc>
          <w:tcPr>
            <w:tcW w:type="dxa" w:w="2200"/>
            <w:shd w:fill="FFFFFF" w:val="clear"/>
          </w:tcPr>
          <w:p>
            <w:pPr>
              <w:spacing w:after="0"/>
            </w:pPr>
            <w:r>
              <w:rPr>
                <w:rFonts w:ascii="Times New Roman" w:cs="Times New Roman" w:eastAsia="Times New Roman" w:hAnsi="Times New Roman"/>
                <w:color w:val="1F2937"/>
                <w:sz w:val="20"/>
                <w:szCs w:val="20"/>
              </w:rPr>
              <w:t xml:space="preserve">À l’étape</w:t>
            </w:r>
          </w:p>
        </w:tc>
        <w:tc>
          <w:tcPr>
            <w:tcW w:type="dxa" w:w="2100"/>
            <w:shd w:fill="FFFFFF" w:val="clear"/>
          </w:tcPr>
          <w:p>
            <w:pPr>
              <w:spacing w:after="0"/>
            </w:pPr>
            <w:r>
              <w:rPr>
                <w:rFonts w:ascii="Times New Roman" w:cs="Times New Roman" w:eastAsia="Times New Roman" w:hAnsi="Times New Roman"/>
                <w:color w:val="1F2937"/>
                <w:sz w:val="20"/>
                <w:szCs w:val="20"/>
              </w:rPr>
              <w:t xml:space="preserve">Sans engagement, le mensuel est plus cher (remise annuelle annoncée : 33 %). Monte vite à l’échelle</w:t>
            </w:r>
          </w:p>
        </w:tc>
      </w:tr>
      <w:tr>
        <w:tc>
          <w:tcPr>
            <w:tcW w:type="dxa" w:w="2200"/>
            <w:shd w:fill="EEF2F7" w:val="clear"/>
          </w:tcPr>
          <w:p>
            <w:pPr>
              <w:spacing w:after="0"/>
            </w:pPr>
            <w:r>
              <w:rPr>
                <w:rFonts w:ascii="Times New Roman" w:cs="Times New Roman" w:eastAsia="Times New Roman" w:hAnsi="Times New Roman"/>
                <w:color w:val="1F2937"/>
                <w:sz w:val="20"/>
                <w:szCs w:val="20"/>
              </w:rPr>
              <w:t xml:space="preserve">Make.com</w:t>
            </w:r>
          </w:p>
        </w:tc>
        <w:tc>
          <w:tcPr>
            <w:tcW w:type="dxa" w:w="2400"/>
            <w:shd w:fill="EEF2F7" w:val="clear"/>
          </w:tcPr>
          <w:p>
            <w:pPr>
              <w:spacing w:after="0"/>
            </w:pPr>
            <w:r>
              <w:rPr>
                <w:rFonts w:ascii="Times New Roman" w:cs="Times New Roman" w:eastAsia="Times New Roman" w:hAnsi="Times New Roman"/>
                <w:color w:val="1F2937"/>
                <w:sz w:val="20"/>
                <w:szCs w:val="20"/>
              </w:rPr>
              <w:t xml:space="preserve">9 $/mois (10 000 opérations/mois)</w:t>
            </w:r>
          </w:p>
        </w:tc>
        <w:tc>
          <w:tcPr>
            <w:tcW w:type="dxa" w:w="2200"/>
            <w:shd w:fill="EEF2F7" w:val="clear"/>
          </w:tcPr>
          <w:p>
            <w:pPr>
              <w:spacing w:after="0"/>
            </w:pPr>
            <w:r>
              <w:rPr>
                <w:rFonts w:ascii="Times New Roman" w:cs="Times New Roman" w:eastAsia="Times New Roman" w:hAnsi="Times New Roman"/>
                <w:color w:val="1F2937"/>
                <w:sz w:val="20"/>
                <w:szCs w:val="20"/>
              </w:rPr>
              <w:t xml:space="preserve">À l’opération</w:t>
            </w:r>
          </w:p>
        </w:tc>
        <w:tc>
          <w:tcPr>
            <w:tcW w:type="dxa" w:w="2100"/>
            <w:shd w:fill="EEF2F7" w:val="clear"/>
          </w:tcPr>
          <w:p>
            <w:pPr>
              <w:spacing w:after="0"/>
            </w:pPr>
            <w:r>
              <w:rPr>
                <w:rFonts w:ascii="Times New Roman" w:cs="Times New Roman" w:eastAsia="Times New Roman" w:hAnsi="Times New Roman"/>
                <w:color w:val="1F2937"/>
                <w:sz w:val="20"/>
                <w:szCs w:val="20"/>
              </w:rPr>
              <w:t xml:space="preserve">Très compétitif pour volumes modérés</w:t>
            </w:r>
          </w:p>
        </w:tc>
      </w:tr>
      <w:tr>
        <w:tc>
          <w:tcPr>
            <w:tcW w:type="dxa" w:w="2200"/>
            <w:shd w:fill="FFFFFF" w:val="clear"/>
          </w:tcPr>
          <w:p>
            <w:pPr>
              <w:spacing w:after="0"/>
            </w:pPr>
            <w:r>
              <w:rPr>
                <w:rFonts w:ascii="Times New Roman" w:cs="Times New Roman" w:eastAsia="Times New Roman" w:hAnsi="Times New Roman"/>
                <w:color w:val="1F2937"/>
                <w:sz w:val="20"/>
                <w:szCs w:val="20"/>
              </w:rPr>
              <w:t xml:space="preserve">n8n Cloud</w:t>
            </w:r>
          </w:p>
        </w:tc>
        <w:tc>
          <w:tcPr>
            <w:tcW w:type="dxa" w:w="2400"/>
            <w:shd w:fill="FFFFFF" w:val="clear"/>
          </w:tcPr>
          <w:p>
            <w:pPr>
              <w:spacing w:after="0"/>
            </w:pPr>
            <w:r>
              <w:rPr>
                <w:rFonts w:ascii="Times New Roman" w:cs="Times New Roman" w:eastAsia="Times New Roman" w:hAnsi="Times New Roman"/>
                <w:color w:val="1F2937"/>
                <w:sz w:val="20"/>
                <w:szCs w:val="20"/>
              </w:rPr>
              <w:t xml:space="preserve">20 $/mois</w:t>
            </w:r>
          </w:p>
        </w:tc>
        <w:tc>
          <w:tcPr>
            <w:tcW w:type="dxa" w:w="2200"/>
            <w:shd w:fill="FFFFFF" w:val="clear"/>
          </w:tcPr>
          <w:p>
            <w:pPr>
              <w:spacing w:after="0"/>
            </w:pPr>
            <w:r>
              <w:rPr>
                <w:rFonts w:ascii="Times New Roman" w:cs="Times New Roman" w:eastAsia="Times New Roman" w:hAnsi="Times New Roman"/>
                <w:color w:val="1F2937"/>
                <w:sz w:val="20"/>
                <w:szCs w:val="20"/>
              </w:rPr>
              <w:t xml:space="preserve">À l’exécution</w:t>
            </w:r>
          </w:p>
        </w:tc>
        <w:tc>
          <w:tcPr>
            <w:tcW w:type="dxa" w:w="2100"/>
            <w:shd w:fill="FFFFFF" w:val="clear"/>
          </w:tcPr>
          <w:p>
            <w:pPr>
              <w:spacing w:after="0"/>
            </w:pPr>
            <w:r>
              <w:rPr>
                <w:rFonts w:ascii="Times New Roman" w:cs="Times New Roman" w:eastAsia="Times New Roman" w:hAnsi="Times New Roman"/>
                <w:color w:val="1F2937"/>
                <w:sz w:val="20"/>
                <w:szCs w:val="20"/>
              </w:rPr>
              <w:t xml:space="preserve">Self-hosted gratuit, mais frais d’hébergement additionnels</w:t>
            </w:r>
          </w:p>
        </w:tc>
      </w:tr>
      <w:tr>
        <w:tc>
          <w:tcPr>
            <w:tcW w:type="dxa" w:w="2200"/>
            <w:shd w:fill="EEF2F7" w:val="clear"/>
          </w:tcPr>
          <w:p>
            <w:pPr>
              <w:spacing w:after="0"/>
            </w:pPr>
            <w:r>
              <w:rPr>
                <w:rFonts w:ascii="Times New Roman" w:cs="Times New Roman" w:eastAsia="Times New Roman" w:hAnsi="Times New Roman"/>
                <w:color w:val="1F2937"/>
                <w:sz w:val="20"/>
                <w:szCs w:val="20"/>
              </w:rPr>
              <w:t xml:space="preserve">OpenAI API</w:t>
            </w:r>
          </w:p>
        </w:tc>
        <w:tc>
          <w:tcPr>
            <w:tcW w:type="dxa" w:w="2400"/>
            <w:shd w:fill="EEF2F7" w:val="clear"/>
          </w:tcPr>
          <w:p>
            <w:pPr>
              <w:spacing w:after="0"/>
            </w:pPr>
            <w:r>
              <w:rPr>
                <w:rFonts w:ascii="Times New Roman" w:cs="Times New Roman" w:eastAsia="Times New Roman" w:hAnsi="Times New Roman"/>
                <w:color w:val="1F2937"/>
                <w:sz w:val="20"/>
                <w:szCs w:val="20"/>
              </w:rPr>
              <w:t xml:space="preserve">Consommation à la demande (tokens)</w:t>
            </w:r>
          </w:p>
        </w:tc>
        <w:tc>
          <w:tcPr>
            <w:tcW w:type="dxa" w:w="2200"/>
            <w:shd w:fill="EEF2F7" w:val="clear"/>
          </w:tcPr>
          <w:p>
            <w:pPr>
              <w:spacing w:after="0"/>
            </w:pPr>
            <w:r>
              <w:rPr>
                <w:rFonts w:ascii="Times New Roman" w:cs="Times New Roman" w:eastAsia="Times New Roman" w:hAnsi="Times New Roman"/>
                <w:color w:val="1F2937"/>
                <w:sz w:val="20"/>
                <w:szCs w:val="20"/>
              </w:rPr>
              <w:t xml:space="preserve">Usage réel</w:t>
            </w:r>
          </w:p>
        </w:tc>
        <w:tc>
          <w:tcPr>
            <w:tcW w:type="dxa" w:w="2100"/>
            <w:shd w:fill="EEF2F7" w:val="clear"/>
          </w:tcPr>
          <w:p>
            <w:pPr>
              <w:spacing w:after="0"/>
            </w:pPr>
            <w:r>
              <w:rPr>
                <w:rFonts w:ascii="Times New Roman" w:cs="Times New Roman" w:eastAsia="Times New Roman" w:hAnsi="Times New Roman"/>
                <w:color w:val="1F2937"/>
                <w:sz w:val="20"/>
                <w:szCs w:val="20"/>
              </w:rPr>
              <w:t xml:space="preserve">Coût variable selon le volume de requêtes</w:t>
            </w:r>
          </w:p>
        </w:tc>
      </w:tr>
      <w:tr>
        <w:tc>
          <w:tcPr>
            <w:tcW w:type="dxa" w:w="2200"/>
            <w:shd w:fill="FFFFFF" w:val="clear"/>
          </w:tcPr>
          <w:p>
            <w:pPr>
              <w:spacing w:after="0"/>
            </w:pPr>
            <w:r>
              <w:rPr>
                <w:rFonts w:ascii="Times New Roman" w:cs="Times New Roman" w:eastAsia="Times New Roman" w:hAnsi="Times New Roman"/>
                <w:color w:val="1F2937"/>
                <w:sz w:val="20"/>
                <w:szCs w:val="20"/>
              </w:rPr>
              <w:t xml:space="preserve">Stripe (Europe)</w:t>
            </w:r>
          </w:p>
        </w:tc>
        <w:tc>
          <w:tcPr>
            <w:tcW w:type="dxa" w:w="2400"/>
            <w:shd w:fill="FFFFFF" w:val="clear"/>
          </w:tcPr>
          <w:p>
            <w:pPr>
              <w:spacing w:after="0"/>
            </w:pPr>
            <w:r>
              <w:rPr>
                <w:rFonts w:ascii="Times New Roman" w:cs="Times New Roman" w:eastAsia="Times New Roman" w:hAnsi="Times New Roman"/>
                <w:color w:val="1F2937"/>
                <w:sz w:val="20"/>
                <w:szCs w:val="20"/>
              </w:rPr>
              <w:t xml:space="preserve">1,5 % + 0,25 € / transaction (cartes EEE)</w:t>
            </w:r>
          </w:p>
        </w:tc>
        <w:tc>
          <w:tcPr>
            <w:tcW w:type="dxa" w:w="2200"/>
            <w:shd w:fill="FFFFFF" w:val="clear"/>
          </w:tcPr>
          <w:p>
            <w:pPr>
              <w:spacing w:after="0"/>
            </w:pPr>
            <w:r>
              <w:rPr>
                <w:rFonts w:ascii="Times New Roman" w:cs="Times New Roman" w:eastAsia="Times New Roman" w:hAnsi="Times New Roman"/>
                <w:color w:val="1F2937"/>
                <w:sz w:val="20"/>
                <w:szCs w:val="20"/>
              </w:rPr>
              <w:t xml:space="preserve">Par transaction</w:t>
            </w:r>
          </w:p>
        </w:tc>
        <w:tc>
          <w:tcPr>
            <w:tcW w:type="dxa" w:w="2100"/>
            <w:shd w:fill="FFFFFF" w:val="clear"/>
          </w:tcPr>
          <w:p>
            <w:pPr>
              <w:spacing w:after="0"/>
            </w:pPr>
            <w:r>
              <w:rPr>
                <w:rFonts w:ascii="Times New Roman" w:cs="Times New Roman" w:eastAsia="Times New Roman" w:hAnsi="Times New Roman"/>
                <w:color w:val="1F2937"/>
                <w:sz w:val="20"/>
                <w:szCs w:val="20"/>
              </w:rPr>
              <w:t xml:space="preserve">Incontournable pour encaisser des abonnements</w:t>
            </w:r>
          </w:p>
        </w:tc>
      </w:tr>
    </w:tbl>
    <w:p>
      <w:pPr>
        <w:spacing w:after="100"/>
      </w:pPr>
      <w:r>
        <w:t xml:space="preserve"/>
      </w:r>
    </w:p>
    <w:p>
      <w:pPr>
        <w:pBdr>
          <w:left w:val="single" w:color="1B3A6B" w:sz="12" w:space="200"/>
        </w:pBdr>
        <w:shd w:fill="EEF2F7" w:val="clear"/>
        <w:spacing w:after="80"/>
        <w:ind w:left="360" w:right="200"/>
      </w:pPr>
      <w:r>
        <w:rPr>
          <w:rFonts w:ascii="Times New Roman" w:cs="Times New Roman" w:eastAsia="Times New Roman" w:hAnsi="Times New Roman"/>
          <w:i/>
          <w:iCs/>
          <w:color w:val="1F2937"/>
          <w:sz w:val="22"/>
          <w:szCs w:val="22"/>
        </w:rPr>
        <w:t xml:space="preserve">Note Stripe — grille relevée sur la source primaire stripe.com/fr/pricing le 06/09/2026, adresse ajoutée aux Ressources le 11/09/2026 où elle ne figurait pas, quatre lignes et non deux : 1,5 % + 0,25 € pour les cartes standard de l’EEE · 2,8 % + 0,25 € pour les cartes premium de l’EEE · 2,5 % + 0,25 € pour les cartes britanniques · 3,15 % + 0,25 € pour les cartes internationales, ces deux dernières majorées de 2 % en cas de conversion de devises. Le taux dépend donc de la carte du client, pas du pays du vendeur : une clientèle majoritairement hors EEE double le coût d’encaissement. Les calculs de l’exercice 3 retiennent 1,5 %, c’est-à-dire l’hypothèse d’une clientèle EEE standard.</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 Signaux d’arnaque AMF — spécifiques au secteur « no-code / IA »</w:t>
      </w:r>
    </w:p>
    <w:p>
      <w:pPr>
        <w:spacing w:after="80"/>
      </w:pPr>
      <w:r>
        <w:rPr>
          <w:rFonts w:ascii="Times New Roman" w:cs="Times New Roman" w:eastAsia="Times New Roman" w:hAnsi="Times New Roman"/>
          <w:color w:val="1F2937"/>
          <w:sz w:val="22"/>
          <w:szCs w:val="22"/>
        </w:rPr>
        <w:t xml:space="preserve">Sources : document AMF « Quelles sont les arnaques les plus courantes ? » et rapport OpinionWay pour AMF (octobre 2024), tous deux testés et accessibles le 6 septembre 2026 (HTTP 200).</w:t>
      </w:r>
    </w:p>
    <w:p>
      <w:pPr>
        <w:pStyle w:val="ListParagraph"/>
        <w:numPr>
          <w:ilvl w:val="0"/>
          <w:numId w:val="2"/>
        </w:numPr>
        <w:spacing w:after="60"/>
      </w:pPr>
      <w:r>
        <w:rPr>
          <w:rFonts w:ascii="Times New Roman" w:cs="Times New Roman" w:eastAsia="Times New Roman" w:hAnsi="Times New Roman"/>
          <w:color w:val="1F2937"/>
          <w:sz w:val="22"/>
          <w:szCs w:val="22"/>
        </w:rPr>
        <w:t xml:space="preserve">Promesse de revenus automatiques dès les premières semaines, sans compétence préalable ni travail réel</w:t>
      </w:r>
    </w:p>
    <w:p>
      <w:pPr>
        <w:pStyle w:val="ListParagraph"/>
        <w:numPr>
          <w:ilvl w:val="0"/>
          <w:numId w:val="2"/>
        </w:numPr>
        <w:spacing w:after="60"/>
      </w:pPr>
      <w:r>
        <w:rPr>
          <w:rFonts w:ascii="Times New Roman" w:cs="Times New Roman" w:eastAsia="Times New Roman" w:hAnsi="Times New Roman"/>
          <w:color w:val="1F2937"/>
          <w:sz w:val="22"/>
          <w:szCs w:val="22"/>
        </w:rPr>
        <w:t xml:space="preserve">Formations à prix élevé (500 €–5 000 €) présentées comme « la seule clé du succès »</w:t>
      </w:r>
    </w:p>
    <w:p>
      <w:pPr>
        <w:pStyle w:val="ListParagraph"/>
        <w:numPr>
          <w:ilvl w:val="0"/>
          <w:numId w:val="2"/>
        </w:numPr>
        <w:spacing w:after="60"/>
      </w:pPr>
      <w:r>
        <w:rPr>
          <w:rFonts w:ascii="Times New Roman" w:cs="Times New Roman" w:eastAsia="Times New Roman" w:hAnsi="Times New Roman"/>
          <w:color w:val="1F2937"/>
          <w:sz w:val="22"/>
          <w:szCs w:val="22"/>
        </w:rPr>
        <w:t xml:space="preserve">Pression à l’achat immédiat : « offre limitée », « cohorte qui ferme dans 24 h »</w:t>
      </w:r>
    </w:p>
    <w:p>
      <w:pPr>
        <w:pStyle w:val="ListParagraph"/>
        <w:numPr>
          <w:ilvl w:val="0"/>
          <w:numId w:val="2"/>
        </w:numPr>
        <w:spacing w:after="60"/>
      </w:pPr>
      <w:r>
        <w:rPr>
          <w:rFonts w:ascii="Times New Roman" w:cs="Times New Roman" w:eastAsia="Times New Roman" w:hAnsi="Times New Roman"/>
          <w:color w:val="1F2937"/>
          <w:sz w:val="22"/>
          <w:szCs w:val="22"/>
        </w:rPr>
        <w:t xml:space="preserve">Témoignages de réussite non vérifiables (prénoms seuls, revenus non audités)</w:t>
      </w:r>
    </w:p>
    <w:p>
      <w:pPr>
        <w:pStyle w:val="ListParagraph"/>
        <w:numPr>
          <w:ilvl w:val="0"/>
          <w:numId w:val="2"/>
        </w:numPr>
        <w:spacing w:after="60"/>
      </w:pPr>
      <w:r>
        <w:rPr>
          <w:rFonts w:ascii="Times New Roman" w:cs="Times New Roman" w:eastAsia="Times New Roman" w:hAnsi="Times New Roman"/>
          <w:color w:val="1F2937"/>
          <w:sz w:val="22"/>
          <w:szCs w:val="22"/>
        </w:rPr>
        <w:t xml:space="preserve">Outils « clés en main » présentés comme générant de l’argent automatiquement</w:t>
      </w:r>
    </w:p>
    <w:p>
      <w:pPr>
        <w:pStyle w:val="ListParagraph"/>
        <w:numPr>
          <w:ilvl w:val="0"/>
          <w:numId w:val="2"/>
        </w:numPr>
        <w:spacing w:after="60"/>
      </w:pPr>
      <w:r>
        <w:rPr>
          <w:rFonts w:ascii="Times New Roman" w:cs="Times New Roman" w:eastAsia="Times New Roman" w:hAnsi="Times New Roman"/>
          <w:color w:val="1F2937"/>
          <w:sz w:val="22"/>
          <w:szCs w:val="22"/>
        </w:rPr>
        <w:t xml:space="preserve">Utilisation de deepfakes ou de personnalités connues pour crédibiliser une offre (signalé explicitement par l’AMF en 2026)</w:t>
      </w:r>
    </w:p>
    <w:p>
      <w:pPr>
        <w:pStyle w:val="ListParagraph"/>
        <w:numPr>
          <w:ilvl w:val="0"/>
          <w:numId w:val="2"/>
        </w:numPr>
        <w:spacing w:after="60"/>
      </w:pPr>
      <w:r>
        <w:rPr>
          <w:rFonts w:ascii="Times New Roman" w:cs="Times New Roman" w:eastAsia="Times New Roman" w:hAnsi="Times New Roman"/>
          <w:color w:val="1F2937"/>
          <w:sz w:val="22"/>
          <w:szCs w:val="22"/>
        </w:rPr>
        <w:t xml:space="preserve">Arnaque à la récupération : escrocs proposant de « récupérer » les pertes d’une arnaque précédente</w:t>
      </w:r>
    </w:p>
    <w:p>
      <w:pPr>
        <w:spacing w:after="80"/>
      </w:pPr>
      <w:r>
        <w:rPr>
          <w:rFonts w:ascii="Times New Roman" w:cs="Times New Roman" w:eastAsia="Times New Roman" w:hAnsi="Times New Roman"/>
          <w:color w:val="1F2937"/>
          <w:sz w:val="22"/>
          <w:szCs w:val="22"/>
        </w:rPr>
        <w:t xml:space="preserve">Avant d’acheter une formation : vérifier l’identité légale (SIRET), consulter la liste noire AMF disponible sur amf-france.org et Signalconso (DGCCRF).</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La durabilité des modèles (aperçu — approfondissement en leçon 10)</w:t>
      </w:r>
    </w:p>
    <w:p>
      <w:pPr>
        <w:spacing w:after="80"/>
      </w:pPr>
      <w:r>
        <w:rPr>
          <w:rFonts w:ascii="Times New Roman" w:cs="Times New Roman" w:eastAsia="Times New Roman" w:hAnsi="Times New Roman"/>
          <w:color w:val="1F2937"/>
          <w:sz w:val="22"/>
          <w:szCs w:val="22"/>
        </w:rPr>
        <w:t xml:space="preserve">Le marché de l’IA générative évolue à une vitesse qui peut rendre certains AI wrappers obsolètes en quelques mois. OpenAI, Anthropic et Google enrichissent régulièrement leurs interfaces natives et absorbent les cas d’usage des wrappers. Un micro-SaaS construit sur la commodité d’accès à l’IA, sans valeur ajoutée propriétaire distinctive, est particulièrement exposé. La leçon 10 approfondira les scénarios de durabilité et la matrice de décision.</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Pratique (80 %) — Trois exercices actifs</w:t>
      </w:r>
    </w:p>
    <w:p>
      <w:pPr>
        <w:spacing w:after="80" w:before="200"/>
      </w:pPr>
      <w:r>
        <w:rPr>
          <w:rFonts w:ascii="Times New Roman" w:cs="Times New Roman" w:eastAsia="Times New Roman" w:hAnsi="Times New Roman"/>
          <w:b/>
          <w:bCs/>
          <w:color w:val="1F2937"/>
          <w:sz w:val="26"/>
          <w:szCs w:val="26"/>
        </w:rPr>
        <w:t xml:space="preserve">Exercice 1 — Cartographier une automatisation</w:t>
      </w:r>
    </w:p>
    <w:p>
      <w:pPr>
        <w:spacing w:after="80"/>
      </w:pPr>
      <w:r>
        <w:rPr>
          <w:rFonts w:ascii="Times New Roman" w:cs="Times New Roman" w:eastAsia="Times New Roman" w:hAnsi="Times New Roman"/>
          <w:color w:val="1F2937"/>
          <w:sz w:val="22"/>
          <w:szCs w:val="22"/>
        </w:rPr>
        <w:t xml:space="preserve">Objectif : identifier un problème répétitif et le structurer en flux automatisable.</w:t>
      </w:r>
    </w:p>
    <w:p>
      <w:pPr>
        <w:spacing w:after="10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a) Identifiez une tâche répétitive au moins une fois par semaine (copier des données, envoyer un email de rappel, archiver des fichiers)</w:t>
      </w:r>
    </w:p>
    <w:p>
      <w:pPr>
        <w:pStyle w:val="ListParagraph"/>
        <w:numPr>
          <w:ilvl w:val="0"/>
          <w:numId w:val="2"/>
        </w:numPr>
        <w:spacing w:after="60"/>
      </w:pPr>
      <w:r>
        <w:rPr>
          <w:rFonts w:ascii="Times New Roman" w:cs="Times New Roman" w:eastAsia="Times New Roman" w:hAnsi="Times New Roman"/>
          <w:color w:val="1F2937"/>
          <w:sz w:val="22"/>
          <w:szCs w:val="22"/>
        </w:rPr>
        <w:t xml:space="preserve">b) Décrivez-la selon trois colonnes : DÉCLENCHEUR | ACTIONS (dans l’ordre) | RÉSULTAT ATTENDU</w:t>
      </w:r>
    </w:p>
    <w:p>
      <w:pPr>
        <w:pStyle w:val="ListParagraph"/>
        <w:numPr>
          <w:ilvl w:val="0"/>
          <w:numId w:val="2"/>
        </w:numPr>
        <w:spacing w:after="60"/>
      </w:pPr>
      <w:r>
        <w:rPr>
          <w:rFonts w:ascii="Times New Roman" w:cs="Times New Roman" w:eastAsia="Times New Roman" w:hAnsi="Times New Roman"/>
          <w:color w:val="1F2937"/>
          <w:sz w:val="22"/>
          <w:szCs w:val="22"/>
        </w:rPr>
        <w:t xml:space="preserve">c) Identifiez quel outil no-code pourrait l’automatiser (Zapier, Make.com, n8n) et justifiez votre choix</w:t>
      </w:r>
    </w:p>
    <w:p>
      <w:pPr>
        <w:pStyle w:val="ListParagraph"/>
        <w:numPr>
          <w:ilvl w:val="0"/>
          <w:numId w:val="2"/>
        </w:numPr>
        <w:spacing w:after="60"/>
      </w:pPr>
      <w:r>
        <w:rPr>
          <w:rFonts w:ascii="Times New Roman" w:cs="Times New Roman" w:eastAsia="Times New Roman" w:hAnsi="Times New Roman"/>
          <w:color w:val="1F2937"/>
          <w:sz w:val="22"/>
          <w:szCs w:val="22"/>
        </w:rPr>
        <w:t xml:space="preserve">d) Estimez le temps économisé par mois</w:t>
      </w:r>
    </w:p>
    <w:p>
      <w:pPr>
        <w:pStyle w:val="ListParagraph"/>
        <w:numPr>
          <w:ilvl w:val="0"/>
          <w:numId w:val="2"/>
        </w:numPr>
        <w:spacing w:after="60"/>
      </w:pPr>
      <w:r>
        <w:rPr>
          <w:rFonts w:ascii="Times New Roman" w:cs="Times New Roman" w:eastAsia="Times New Roman" w:hAnsi="Times New Roman"/>
          <w:color w:val="1F2937"/>
          <w:sz w:val="22"/>
          <w:szCs w:val="22"/>
        </w:rPr>
        <w:t xml:space="preserve">e) Question bonus : comment cette automatisation pourrait-elle devenir un service vendu ? À quel prix mensuel ?</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Corrigé Exercice 1 — Exemple commenté</w:t>
      </w:r>
    </w:p>
    <w:p>
      <w:pPr>
        <w:spacing w:after="80"/>
      </w:pPr>
      <w:r>
        <w:rPr>
          <w:rFonts w:ascii="Times New Roman" w:cs="Times New Roman" w:eastAsia="Times New Roman" w:hAnsi="Times New Roman"/>
          <w:color w:val="1F2937"/>
          <w:sz w:val="22"/>
          <w:szCs w:val="22"/>
        </w:rPr>
        <w:t xml:space="preserve">Exemple : gestion automatisée des nouveaux inscrits à une newsletter</w:t>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B3A6B" w:val="clear"/>
          </w:tcPr>
          <w:p>
            <w:pPr>
              <w:jc w:val="center"/>
            </w:pPr>
            <w:r>
              <w:rPr>
                <w:rFonts w:ascii="Times New Roman" w:cs="Times New Roman" w:eastAsia="Times New Roman" w:hAnsi="Times New Roman"/>
                <w:b/>
                <w:bCs/>
                <w:color w:val="FFFFFF"/>
                <w:sz w:val="20"/>
                <w:szCs w:val="20"/>
              </w:rPr>
              <w:t xml:space="preserve">Déclencheur</w:t>
            </w:r>
          </w:p>
        </w:tc>
        <w:tc>
          <w:tcPr>
            <w:tcW w:type="dxa" w:w="4000"/>
            <w:shd w:fill="1B3A6B" w:val="clear"/>
          </w:tcPr>
          <w:p>
            <w:pPr>
              <w:jc w:val="center"/>
            </w:pPr>
            <w:r>
              <w:rPr>
                <w:rFonts w:ascii="Times New Roman" w:cs="Times New Roman" w:eastAsia="Times New Roman" w:hAnsi="Times New Roman"/>
                <w:b/>
                <w:bCs/>
                <w:color w:val="FFFFFF"/>
                <w:sz w:val="20"/>
                <w:szCs w:val="20"/>
              </w:rPr>
              <w:t xml:space="preserve">Actions</w:t>
            </w:r>
          </w:p>
        </w:tc>
        <w:tc>
          <w:tcPr>
            <w:tcW w:type="dxa" w:w="3606"/>
            <w:shd w:fill="1B3A6B" w:val="clear"/>
          </w:tcPr>
          <w:p>
            <w:pPr>
              <w:jc w:val="center"/>
            </w:pPr>
            <w:r>
              <w:rPr>
                <w:rFonts w:ascii="Times New Roman" w:cs="Times New Roman" w:eastAsia="Times New Roman" w:hAnsi="Times New Roman"/>
                <w:b/>
                <w:bCs/>
                <w:color w:val="FFFFFF"/>
                <w:sz w:val="20"/>
                <w:szCs w:val="20"/>
              </w:rPr>
              <w:t xml:space="preserve">Résultat</w:t>
            </w:r>
          </w:p>
        </w:tc>
      </w:tr>
      <w:tr>
        <w:tc>
          <w:tcPr>
            <w:tcW w:type="dxa" w:w="2800"/>
            <w:shd w:fill="FFFFFF" w:val="clear"/>
          </w:tcPr>
          <w:p>
            <w:pPr>
              <w:spacing w:after="0"/>
            </w:pPr>
            <w:r>
              <w:rPr>
                <w:rFonts w:ascii="Times New Roman" w:cs="Times New Roman" w:eastAsia="Times New Roman" w:hAnsi="Times New Roman"/>
                <w:color w:val="1F2937"/>
                <w:sz w:val="20"/>
                <w:szCs w:val="20"/>
              </w:rPr>
              <w:t xml:space="preserve">Formulaire Tally.so soumis avec tag « inscription »</w:t>
            </w:r>
          </w:p>
        </w:tc>
        <w:tc>
          <w:tcPr>
            <w:tcW w:type="dxa" w:w="4000"/>
            <w:shd w:fill="FFFFFF" w:val="clear"/>
          </w:tcPr>
          <w:p>
            <w:pPr>
              <w:spacing w:after="0"/>
            </w:pPr>
            <w:r>
              <w:rPr>
                <w:rFonts w:ascii="Times New Roman" w:cs="Times New Roman" w:eastAsia="Times New Roman" w:hAnsi="Times New Roman"/>
                <w:color w:val="1F2937"/>
                <w:sz w:val="20"/>
                <w:szCs w:val="20"/>
              </w:rPr>
              <w:t xml:space="preserve">1) Extraire prénom + email 2) Ajouter ligne Google Sheets 3) Envoyer email de bienvenue Gmail 4) Créer contact dans Brevo</w:t>
            </w:r>
          </w:p>
        </w:tc>
        <w:tc>
          <w:tcPr>
            <w:tcW w:type="dxa" w:w="3606"/>
            <w:shd w:fill="FFFFFF" w:val="clear"/>
          </w:tcPr>
          <w:p>
            <w:pPr>
              <w:spacing w:after="0"/>
            </w:pPr>
            <w:r>
              <w:rPr>
                <w:rFonts w:ascii="Times New Roman" w:cs="Times New Roman" w:eastAsia="Times New Roman" w:hAnsi="Times New Roman"/>
                <w:color w:val="1F2937"/>
                <w:sz w:val="20"/>
                <w:szCs w:val="20"/>
              </w:rPr>
              <w:t xml:space="preserve">Abonné enregistré, accueilli et intégré dans le CRM en &lt; 2 min, sans intervention manuelle</w:t>
            </w:r>
          </w:p>
        </w:tc>
      </w:tr>
    </w:tbl>
    <w:p>
      <w:pPr>
        <w:spacing w:after="10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Outil choisi : Make.com — plus économique que Zapier pour les flux multi-étapes à volume modéré (&lt; 10 000 opérations/mois)</w:t>
      </w:r>
    </w:p>
    <w:p>
      <w:pPr>
        <w:pStyle w:val="ListParagraph"/>
        <w:numPr>
          <w:ilvl w:val="0"/>
          <w:numId w:val="2"/>
        </w:numPr>
        <w:spacing w:after="60"/>
      </w:pPr>
      <w:r>
        <w:rPr>
          <w:rFonts w:ascii="Times New Roman" w:cs="Times New Roman" w:eastAsia="Times New Roman" w:hAnsi="Times New Roman"/>
          <w:color w:val="1F2937"/>
          <w:sz w:val="22"/>
          <w:szCs w:val="22"/>
        </w:rPr>
        <w:t xml:space="preserve">Temps économisé estimé : 3 min/inscription × 100 inscrits/mois = 5 h/mois</w:t>
      </w:r>
    </w:p>
    <w:p>
      <w:pPr>
        <w:pStyle w:val="ListParagraph"/>
        <w:numPr>
          <w:ilvl w:val="0"/>
          <w:numId w:val="2"/>
        </w:numPr>
        <w:spacing w:after="60"/>
      </w:pPr>
      <w:r>
        <w:rPr>
          <w:rFonts w:ascii="Times New Roman" w:cs="Times New Roman" w:eastAsia="Times New Roman" w:hAnsi="Times New Roman"/>
          <w:color w:val="1F2937"/>
          <w:sz w:val="22"/>
          <w:szCs w:val="22"/>
        </w:rPr>
        <w:t xml:space="preserve">Vers un service : proposer cette automatisation à d’autres créateurs pour 19–29 €/mois. 20 clients = MRR de 380–580 €.</w:t>
      </w:r>
    </w:p>
    <w:p>
      <w:pPr>
        <w:pBdr>
          <w:left w:val="single" w:color="1B3A6B" w:sz="12" w:space="200"/>
        </w:pBdr>
        <w:shd w:fill="EEF2F7" w:val="clear"/>
        <w:spacing w:after="80"/>
        <w:ind w:left="360" w:right="200"/>
      </w:pPr>
      <w:r>
        <w:rPr>
          <w:rFonts w:ascii="Times New Roman" w:cs="Times New Roman" w:eastAsia="Times New Roman" w:hAnsi="Times New Roman"/>
          <w:i/>
          <w:iCs/>
          <w:color w:val="1F2937"/>
          <w:sz w:val="22"/>
          <w:szCs w:val="22"/>
        </w:rPr>
        <w:t xml:space="preserve">Remarque : l’automatisation elle-même ne génère pas de revenu. C’est la décision de la packager, documenter et vendre qui crée le modèle économique. Ce passage exige du marketing et du support — ce n’est plus passif. (Synthèse, non citation.)</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Exercice 2 — Analyse critique d’une offre de formation</w:t>
      </w:r>
    </w:p>
    <w:p>
      <w:pPr>
        <w:spacing w:after="80"/>
      </w:pPr>
      <w:r>
        <w:rPr>
          <w:rFonts w:ascii="Times New Roman" w:cs="Times New Roman" w:eastAsia="Times New Roman" w:hAnsi="Times New Roman"/>
          <w:color w:val="1F2937"/>
          <w:sz w:val="22"/>
          <w:szCs w:val="22"/>
        </w:rPr>
        <w:t xml:space="preserve">Lisez l’offre fictive ci-dessous, construite à partir de schémas réels identifiés par l’AMF, puis répondez aux questions.</w:t>
      </w:r>
    </w:p>
    <w:p>
      <w:pPr>
        <w:spacing w:after="100"/>
      </w:pPr>
      <w:r>
        <w:t xml:space="preserve"/>
      </w:r>
    </w:p>
    <w:p>
      <w:pPr>
        <w:pBdr>
          <w:left w:val="single" w:color="D97706" w:sz="12" w:space="200"/>
        </w:pBdr>
        <w:shd w:fill="FFF4E5" w:val="clear"/>
        <w:spacing w:after="60"/>
        <w:ind w:left="360" w:right="200"/>
      </w:pPr>
      <w:r>
        <w:rPr>
          <w:rFonts w:ascii="Times New Roman" w:cs="Times New Roman" w:eastAsia="Times New Roman" w:hAnsi="Times New Roman"/>
          <w:b/>
          <w:bCs/>
          <w:color w:val="92400E"/>
          <w:sz w:val="22"/>
          <w:szCs w:val="22"/>
        </w:rPr>
        <w:t xml:space="preserve">« Formation “IA Passive Income Academy” — 1 997 € (prix barré 4 997 €). Accédez à notre méthode exclusive pour générer 2 000 €/mois en automatique dès le 30e jour. Nos étudiants témoignent : Kévin, 32 ans, a quitté son emploi en 3 mois. Sandrine génère 1 500 €/mois depuis son canapé. Accès à nos 47 outils IA pré-configurés + notre communauté privée. OFFRE VALABLE 48 H SEULEMENT. »</w:t>
      </w:r>
    </w:p>
    <w:p>
      <w:pPr>
        <w:spacing w:after="10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1. Identifiez au moins 5 signaux d’arnaque présents dans cette offre</w:t>
      </w:r>
    </w:p>
    <w:p>
      <w:pPr>
        <w:pStyle w:val="ListParagraph"/>
        <w:numPr>
          <w:ilvl w:val="0"/>
          <w:numId w:val="2"/>
        </w:numPr>
        <w:spacing w:after="60"/>
      </w:pPr>
      <w:r>
        <w:rPr>
          <w:rFonts w:ascii="Times New Roman" w:cs="Times New Roman" w:eastAsia="Times New Roman" w:hAnsi="Times New Roman"/>
          <w:color w:val="1F2937"/>
          <w:sz w:val="22"/>
          <w:szCs w:val="22"/>
        </w:rPr>
        <w:t xml:space="preserve">2. Qu’est-ce qui manque pour évaluer la crédibilité de cette offre ?</w:t>
      </w:r>
    </w:p>
    <w:p>
      <w:pPr>
        <w:pStyle w:val="ListParagraph"/>
        <w:numPr>
          <w:ilvl w:val="0"/>
          <w:numId w:val="2"/>
        </w:numPr>
        <w:spacing w:after="60"/>
      </w:pPr>
      <w:r>
        <w:rPr>
          <w:rFonts w:ascii="Times New Roman" w:cs="Times New Roman" w:eastAsia="Times New Roman" w:hAnsi="Times New Roman"/>
          <w:color w:val="1F2937"/>
          <w:sz w:val="22"/>
          <w:szCs w:val="22"/>
        </w:rPr>
        <w:t xml:space="preserve">3. Quelle question poseriez-vous à l’organisateur avant tout achat ?</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Corrigé Exercice 2</w:t>
      </w:r>
    </w:p>
    <w:p>
      <w:pPr>
        <w:spacing w:after="80"/>
      </w:pPr>
      <w:r>
        <w:rPr>
          <w:rFonts w:ascii="Times New Roman" w:cs="Times New Roman" w:eastAsia="Times New Roman" w:hAnsi="Times New Roman"/>
          <w:color w:val="1F2937"/>
          <w:sz w:val="22"/>
          <w:szCs w:val="22"/>
        </w:rPr>
        <w:t xml:space="preserve">Signaux d’arnaque (6 sur 6 présents) :</w:t>
      </w:r>
    </w:p>
    <w:p>
      <w:pPr>
        <w:pStyle w:val="ListParagraph"/>
        <w:numPr>
          <w:ilvl w:val="0"/>
          <w:numId w:val="2"/>
        </w:numPr>
        <w:spacing w:after="60"/>
      </w:pPr>
      <w:r>
        <w:rPr>
          <w:rFonts w:ascii="Times New Roman" w:cs="Times New Roman" w:eastAsia="Times New Roman" w:hAnsi="Times New Roman"/>
          <w:color w:val="1F2937"/>
          <w:sz w:val="22"/>
          <w:szCs w:val="22"/>
        </w:rPr>
        <w:t xml:space="preserve">1. Promesse chiffrée sans condition vérifiable (« 2 000 €/mois dès le 30e jour ») — aucun prérequis ni contexte</w:t>
      </w:r>
    </w:p>
    <w:p>
      <w:pPr>
        <w:pStyle w:val="ListParagraph"/>
        <w:numPr>
          <w:ilvl w:val="0"/>
          <w:numId w:val="2"/>
        </w:numPr>
        <w:spacing w:after="60"/>
      </w:pPr>
      <w:r>
        <w:rPr>
          <w:rFonts w:ascii="Times New Roman" w:cs="Times New Roman" w:eastAsia="Times New Roman" w:hAnsi="Times New Roman"/>
          <w:color w:val="1F2937"/>
          <w:sz w:val="22"/>
          <w:szCs w:val="22"/>
        </w:rPr>
        <w:t xml:space="preserve">2. Pression temporelle artificielle (« 48 H SEULEMENT ») — technique de manipulation répertoriée par l’AMF</w:t>
      </w:r>
    </w:p>
    <w:p>
      <w:pPr>
        <w:pStyle w:val="ListParagraph"/>
        <w:numPr>
          <w:ilvl w:val="0"/>
          <w:numId w:val="2"/>
        </w:numPr>
        <w:spacing w:after="60"/>
      </w:pPr>
      <w:r>
        <w:rPr>
          <w:rFonts w:ascii="Times New Roman" w:cs="Times New Roman" w:eastAsia="Times New Roman" w:hAnsi="Times New Roman"/>
          <w:color w:val="1F2937"/>
          <w:sz w:val="22"/>
          <w:szCs w:val="22"/>
        </w:rPr>
        <w:t xml:space="preserve">3. Témoignages non vérifiables (prénoms seuls, revenus non audités)</w:t>
      </w:r>
    </w:p>
    <w:p>
      <w:pPr>
        <w:pStyle w:val="ListParagraph"/>
        <w:numPr>
          <w:ilvl w:val="0"/>
          <w:numId w:val="2"/>
        </w:numPr>
        <w:spacing w:after="60"/>
      </w:pPr>
      <w:r>
        <w:rPr>
          <w:rFonts w:ascii="Times New Roman" w:cs="Times New Roman" w:eastAsia="Times New Roman" w:hAnsi="Times New Roman"/>
          <w:color w:val="1F2937"/>
          <w:sz w:val="22"/>
          <w:szCs w:val="22"/>
        </w:rPr>
        <w:t xml:space="preserve">4. Réduction massive factice (4 997 € → 1 997 €) — pratique commerciale trompeuse selon le Code de la consommation</w:t>
      </w:r>
    </w:p>
    <w:p>
      <w:pPr>
        <w:pStyle w:val="ListParagraph"/>
        <w:numPr>
          <w:ilvl w:val="0"/>
          <w:numId w:val="2"/>
        </w:numPr>
        <w:spacing w:after="60"/>
      </w:pPr>
      <w:r>
        <w:rPr>
          <w:rFonts w:ascii="Times New Roman" w:cs="Times New Roman" w:eastAsia="Times New Roman" w:hAnsi="Times New Roman"/>
          <w:color w:val="1F2937"/>
          <w:sz w:val="22"/>
          <w:szCs w:val="22"/>
        </w:rPr>
        <w:t xml:space="preserve">5. Promesse d’automaticité totale (« depuis son canapé ») sans mentionner le travail réel</w:t>
      </w:r>
    </w:p>
    <w:p>
      <w:pPr>
        <w:pStyle w:val="ListParagraph"/>
        <w:numPr>
          <w:ilvl w:val="0"/>
          <w:numId w:val="2"/>
        </w:numPr>
        <w:spacing w:after="60"/>
      </w:pPr>
      <w:r>
        <w:rPr>
          <w:rFonts w:ascii="Times New Roman" w:cs="Times New Roman" w:eastAsia="Times New Roman" w:hAnsi="Times New Roman"/>
          <w:color w:val="1F2937"/>
          <w:sz w:val="22"/>
          <w:szCs w:val="22"/>
        </w:rPr>
        <w:t xml:space="preserve">6. Bundle vague (« 47 outils IA ») sans description du contenu ni de leur utilité spécifique</w:t>
      </w:r>
    </w:p>
    <w:p>
      <w:pPr>
        <w:spacing w:after="100"/>
      </w:pPr>
      <w:r>
        <w:t xml:space="preserve"/>
      </w:r>
    </w:p>
    <w:p>
      <w:pPr>
        <w:spacing w:after="80"/>
      </w:pPr>
      <w:r>
        <w:rPr>
          <w:rFonts w:ascii="Times New Roman" w:cs="Times New Roman" w:eastAsia="Times New Roman" w:hAnsi="Times New Roman"/>
          <w:color w:val="1F2937"/>
          <w:sz w:val="22"/>
          <w:szCs w:val="22"/>
        </w:rPr>
        <w:t xml:space="preserve">Ce qui manque :</w:t>
      </w:r>
    </w:p>
    <w:p>
      <w:pPr>
        <w:pStyle w:val="ListParagraph"/>
        <w:numPr>
          <w:ilvl w:val="0"/>
          <w:numId w:val="2"/>
        </w:numPr>
        <w:spacing w:after="60"/>
      </w:pPr>
      <w:r>
        <w:rPr>
          <w:rFonts w:ascii="Times New Roman" w:cs="Times New Roman" w:eastAsia="Times New Roman" w:hAnsi="Times New Roman"/>
          <w:color w:val="1F2937"/>
          <w:sz w:val="22"/>
          <w:szCs w:val="22"/>
        </w:rPr>
        <w:t xml:space="preserve">Identité légale de l’organisateur (SIRET, statut juridique, adresse)</w:t>
      </w:r>
    </w:p>
    <w:p>
      <w:pPr>
        <w:pStyle w:val="ListParagraph"/>
        <w:numPr>
          <w:ilvl w:val="0"/>
          <w:numId w:val="2"/>
        </w:numPr>
        <w:spacing w:after="60"/>
      </w:pPr>
      <w:r>
        <w:rPr>
          <w:rFonts w:ascii="Times New Roman" w:cs="Times New Roman" w:eastAsia="Times New Roman" w:hAnsi="Times New Roman"/>
          <w:color w:val="1F2937"/>
          <w:sz w:val="22"/>
          <w:szCs w:val="22"/>
        </w:rPr>
        <w:t xml:space="preserve">Taux de réussite réel sur l’ensemble des étudiants (pas seulement les cas de succès)</w:t>
      </w:r>
    </w:p>
    <w:p>
      <w:pPr>
        <w:pStyle w:val="ListParagraph"/>
        <w:numPr>
          <w:ilvl w:val="0"/>
          <w:numId w:val="2"/>
        </w:numPr>
        <w:spacing w:after="60"/>
      </w:pPr>
      <w:r>
        <w:rPr>
          <w:rFonts w:ascii="Times New Roman" w:cs="Times New Roman" w:eastAsia="Times New Roman" w:hAnsi="Times New Roman"/>
          <w:color w:val="1F2937"/>
          <w:sz w:val="22"/>
          <w:szCs w:val="22"/>
        </w:rPr>
        <w:t xml:space="preserve">Conditions générales de vente et politique de remboursement</w:t>
      </w:r>
    </w:p>
    <w:p>
      <w:pPr>
        <w:pStyle w:val="ListParagraph"/>
        <w:numPr>
          <w:ilvl w:val="0"/>
          <w:numId w:val="2"/>
        </w:numPr>
        <w:spacing w:after="60"/>
      </w:pPr>
      <w:r>
        <w:rPr>
          <w:rFonts w:ascii="Times New Roman" w:cs="Times New Roman" w:eastAsia="Times New Roman" w:hAnsi="Times New Roman"/>
          <w:color w:val="1F2937"/>
          <w:sz w:val="22"/>
          <w:szCs w:val="22"/>
        </w:rPr>
        <w:t xml:space="preserve">Déclaration comme organisme de formation si applicable</w:t>
      </w:r>
    </w:p>
    <w:p>
      <w:pPr>
        <w:spacing w:after="100"/>
      </w:pPr>
      <w:r>
        <w:t xml:space="preserve"/>
      </w:r>
    </w:p>
    <w:p>
      <w:pPr>
        <w:spacing w:after="80"/>
      </w:pPr>
      <w:r>
        <w:rPr>
          <w:rFonts w:ascii="Times New Roman" w:cs="Times New Roman" w:eastAsia="Times New Roman" w:hAnsi="Times New Roman"/>
          <w:color w:val="1F2937"/>
          <w:sz w:val="22"/>
          <w:szCs w:val="22"/>
        </w:rPr>
        <w:t xml:space="preserve">Questions à poser avant achat :</w:t>
      </w:r>
    </w:p>
    <w:p>
      <w:pPr>
        <w:pStyle w:val="ListParagraph"/>
        <w:numPr>
          <w:ilvl w:val="0"/>
          <w:numId w:val="2"/>
        </w:numPr>
        <w:spacing w:after="60"/>
      </w:pPr>
      <w:r>
        <w:rPr>
          <w:rFonts w:ascii="Times New Roman" w:cs="Times New Roman" w:eastAsia="Times New Roman" w:hAnsi="Times New Roman"/>
          <w:color w:val="1F2937"/>
          <w:sz w:val="22"/>
          <w:szCs w:val="22"/>
        </w:rPr>
        <w:t xml:space="preserve">« Quel est le revenu médian (non moyen) de vos étudiants 6 mois après la formation ? »</w:t>
      </w:r>
    </w:p>
    <w:p>
      <w:pPr>
        <w:pStyle w:val="ListParagraph"/>
        <w:numPr>
          <w:ilvl w:val="0"/>
          <w:numId w:val="2"/>
        </w:numPr>
        <w:spacing w:after="60"/>
      </w:pPr>
      <w:r>
        <w:rPr>
          <w:rFonts w:ascii="Times New Roman" w:cs="Times New Roman" w:eastAsia="Times New Roman" w:hAnsi="Times New Roman"/>
          <w:color w:val="1F2937"/>
          <w:sz w:val="22"/>
          <w:szCs w:val="22"/>
        </w:rPr>
        <w:t xml:space="preserve">« Pouvez-vous me fournir votre numéro SIRET et vos CGV ? »</w:t>
      </w:r>
    </w:p>
    <w:p>
      <w:pPr>
        <w:pStyle w:val="ListParagraph"/>
        <w:numPr>
          <w:ilvl w:val="0"/>
          <w:numId w:val="2"/>
        </w:numPr>
        <w:spacing w:after="60"/>
      </w:pPr>
      <w:r>
        <w:rPr>
          <w:rFonts w:ascii="Times New Roman" w:cs="Times New Roman" w:eastAsia="Times New Roman" w:hAnsi="Times New Roman"/>
          <w:color w:val="1F2937"/>
          <w:sz w:val="22"/>
          <w:szCs w:val="22"/>
        </w:rPr>
        <w:t xml:space="preserve">« Quel est votre taux de demande de remboursement ? »</w:t>
      </w:r>
    </w:p>
    <w:p>
      <w:pPr>
        <w:pStyle w:val="ListParagraph"/>
        <w:numPr>
          <w:ilvl w:val="0"/>
          <w:numId w:val="2"/>
        </w:numPr>
        <w:spacing w:after="60"/>
      </w:pPr>
      <w:r>
        <w:rPr>
          <w:rFonts w:ascii="Times New Roman" w:cs="Times New Roman" w:eastAsia="Times New Roman" w:hAnsi="Times New Roman"/>
          <w:color w:val="1F2937"/>
          <w:sz w:val="22"/>
          <w:szCs w:val="22"/>
        </w:rPr>
        <w:t xml:space="preserve">« Quels sont les prérequis réels pour atteindre ces résultats ? »</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Exercice 3 — Calcul de rentabilité d’un micro-SaaS</w:t>
      </w:r>
    </w:p>
    <w:p>
      <w:pPr>
        <w:spacing w:after="80"/>
      </w:pPr>
      <w:r>
        <w:rPr>
          <w:rFonts w:ascii="Times New Roman" w:cs="Times New Roman" w:eastAsia="Times New Roman" w:hAnsi="Times New Roman"/>
          <w:color w:val="1F2937"/>
          <w:sz w:val="22"/>
          <w:szCs w:val="22"/>
        </w:rPr>
        <w:t xml:space="preserve">Contexte : vous créez un outil no-code générant automatiquement des devis pour des artisans du bâtiment. Tarif : 15 €/mois par abonné. Stack : Make.com (9 €/mois) + hébergement page d’accueil (10 €/mois).</w:t>
      </w:r>
    </w:p>
    <w:p>
      <w:pPr>
        <w:spacing w:after="10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Q1. Combien d’abonnés faut-il pour couvrir les charges fixes de plateforme (19 €/mois hors Stripe) ?</w:t>
      </w:r>
    </w:p>
    <w:p>
      <w:pPr>
        <w:pStyle w:val="ListParagraph"/>
        <w:numPr>
          <w:ilvl w:val="0"/>
          <w:numId w:val="2"/>
        </w:numPr>
        <w:spacing w:after="60"/>
      </w:pPr>
      <w:r>
        <w:rPr>
          <w:rFonts w:ascii="Times New Roman" w:cs="Times New Roman" w:eastAsia="Times New Roman" w:hAnsi="Times New Roman"/>
          <w:color w:val="1F2937"/>
          <w:sz w:val="22"/>
          <w:szCs w:val="22"/>
        </w:rPr>
        <w:t xml:space="preserve">Q2. Quel est le revenu net par abonné après frais Stripe (1,5 % + 0,25 € sur 15 €) ?</w:t>
      </w:r>
    </w:p>
    <w:p>
      <w:pPr>
        <w:pStyle w:val="ListParagraph"/>
        <w:numPr>
          <w:ilvl w:val="0"/>
          <w:numId w:val="2"/>
        </w:numPr>
        <w:spacing w:after="60"/>
      </w:pPr>
      <w:r>
        <w:rPr>
          <w:rFonts w:ascii="Times New Roman" w:cs="Times New Roman" w:eastAsia="Times New Roman" w:hAnsi="Times New Roman"/>
          <w:color w:val="1F2937"/>
          <w:sz w:val="22"/>
          <w:szCs w:val="22"/>
        </w:rPr>
        <w:t xml:space="preserve">Q3. MRR brut pour 30 abonnés ? Marge brute après charges fixes + Stripe ?</w:t>
      </w:r>
    </w:p>
    <w:p>
      <w:pPr>
        <w:pStyle w:val="ListParagraph"/>
        <w:numPr>
          <w:ilvl w:val="0"/>
          <w:numId w:val="2"/>
        </w:numPr>
        <w:spacing w:after="60"/>
      </w:pPr>
      <w:r>
        <w:rPr>
          <w:rFonts w:ascii="Times New Roman" w:cs="Times New Roman" w:eastAsia="Times New Roman" w:hAnsi="Times New Roman"/>
          <w:color w:val="1F2937"/>
          <w:sz w:val="22"/>
          <w:szCs w:val="22"/>
        </w:rPr>
        <w:t xml:space="preserve">Q4. Si vous gagnez 3 nouveaux abonnés/mois avec 10 % de churn mensuel, quel MRR brut au mois 6 ?</w:t>
      </w:r>
    </w:p>
    <w:p>
      <w:pPr>
        <w:spacing w:after="100"/>
      </w:pPr>
      <w:r>
        <w:t xml:space="preserve"/>
      </w:r>
    </w:p>
    <w:p>
      <w:pPr>
        <w:spacing w:after="80" w:before="200"/>
      </w:pPr>
      <w:r>
        <w:rPr>
          <w:rFonts w:ascii="Times New Roman" w:cs="Times New Roman" w:eastAsia="Times New Roman" w:hAnsi="Times New Roman"/>
          <w:b/>
          <w:bCs/>
          <w:color w:val="1F2937"/>
          <w:sz w:val="26"/>
          <w:szCs w:val="26"/>
        </w:rPr>
        <w:t xml:space="preserve">Corrigé Exercice 3</w:t>
      </w:r>
    </w:p>
    <w:p>
      <w:pPr>
        <w:spacing w:after="80"/>
      </w:pPr>
      <w:r>
        <w:rPr>
          <w:rFonts w:ascii="Times New Roman" w:cs="Times New Roman" w:eastAsia="Times New Roman" w:hAnsi="Times New Roman"/>
          <w:color w:val="1F2937"/>
          <w:sz w:val="22"/>
          <w:szCs w:val="22"/>
        </w:rPr>
        <w:t xml:space="preserve">Q1. Seuil de couverture charges fixes (hors Stripe) :</w:t>
      </w:r>
    </w:p>
    <w:p>
      <w:pPr>
        <w:pStyle w:val="ListParagraph"/>
        <w:numPr>
          <w:ilvl w:val="0"/>
          <w:numId w:val="2"/>
        </w:numPr>
        <w:spacing w:after="60"/>
      </w:pPr>
      <w:r>
        <w:rPr>
          <w:rFonts w:ascii="Times New Roman" w:cs="Times New Roman" w:eastAsia="Times New Roman" w:hAnsi="Times New Roman"/>
          <w:color w:val="1F2937"/>
          <w:sz w:val="22"/>
          <w:szCs w:val="22"/>
        </w:rPr>
        <w:t xml:space="preserve">Charges fixes : 9 (Make) + 10 (hébergement) = 19 €/mois</w:t>
      </w:r>
    </w:p>
    <w:p>
      <w:pPr>
        <w:pStyle w:val="ListParagraph"/>
        <w:numPr>
          <w:ilvl w:val="0"/>
          <w:numId w:val="2"/>
        </w:numPr>
        <w:spacing w:after="60"/>
      </w:pPr>
      <w:r>
        <w:rPr>
          <w:rFonts w:ascii="Times New Roman" w:cs="Times New Roman" w:eastAsia="Times New Roman" w:hAnsi="Times New Roman"/>
          <w:color w:val="1F2937"/>
          <w:sz w:val="22"/>
          <w:szCs w:val="22"/>
        </w:rPr>
        <w:t xml:space="preserve">Seuil : 19 / 15 ≈ 1,27 → 2 abonnés minimum pour couvrir la plateforme</w:t>
      </w:r>
    </w:p>
    <w:p>
      <w:pPr>
        <w:spacing w:after="100"/>
      </w:pPr>
      <w:r>
        <w:t xml:space="preserve"/>
      </w:r>
    </w:p>
    <w:p>
      <w:pPr>
        <w:spacing w:after="80"/>
      </w:pPr>
      <w:r>
        <w:rPr>
          <w:rFonts w:ascii="Times New Roman" w:cs="Times New Roman" w:eastAsia="Times New Roman" w:hAnsi="Times New Roman"/>
          <w:color w:val="1F2937"/>
          <w:sz w:val="22"/>
          <w:szCs w:val="22"/>
        </w:rPr>
        <w:t xml:space="preserve">Q2. Revenu net par abonné après Stripe :</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Stripe : (15 × 0,015) + 0,25 = 0,225 + 0,25 = 0,475 € ≈ 0,48 €</w:t>
      </w:r>
    </w:p>
    <w:p>
      <w:pPr>
        <w:pStyle w:val="ListParagraph"/>
        <w:numPr>
          <w:ilvl w:val="0"/>
          <w:numId w:val="2"/>
        </w:numPr>
        <w:spacing w:after="60"/>
      </w:pPr>
      <w:r>
        <w:rPr>
          <w:rFonts w:ascii="Times New Roman" w:cs="Times New Roman" w:eastAsia="Times New Roman" w:hAnsi="Times New Roman"/>
          <w:color w:val="1F2937"/>
          <w:sz w:val="22"/>
          <w:szCs w:val="22"/>
        </w:rPr>
        <w:t xml:space="preserve">Revenu net par abonné : 15 – 0,48 = 14,52 €</w:t>
      </w:r>
    </w:p>
    <w:p>
      <w:pPr>
        <w:spacing w:after="100"/>
      </w:pPr>
      <w:r>
        <w:t xml:space="preserve"/>
      </w:r>
    </w:p>
    <w:p>
      <w:pPr>
        <w:spacing w:after="80"/>
      </w:pPr>
      <w:r>
        <w:rPr>
          <w:rFonts w:ascii="Times New Roman" w:cs="Times New Roman" w:eastAsia="Times New Roman" w:hAnsi="Times New Roman"/>
          <w:color w:val="1F2937"/>
          <w:sz w:val="22"/>
          <w:szCs w:val="22"/>
        </w:rPr>
        <w:t xml:space="preserve">Q3. Pour 30 abonnés :</w:t>
      </w:r>
    </w:p>
    <w:p>
      <w:pPr>
        <w:pStyle w:val="ListParagraph"/>
        <w:numPr>
          <w:ilvl w:val="0"/>
          <w:numId w:val="2"/>
        </w:numPr>
        <w:spacing w:after="60"/>
      </w:pPr>
      <w:r>
        <w:rPr>
          <w:rFonts w:ascii="Times New Roman" w:cs="Times New Roman" w:eastAsia="Times New Roman" w:hAnsi="Times New Roman"/>
          <w:color w:val="1F2937"/>
          <w:sz w:val="22"/>
          <w:szCs w:val="22"/>
        </w:rPr>
        <w:t xml:space="preserve">MRR brut : 30 × 15 = 450 €</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Stripe totaux : 30 × 0,48 = 14,40 €</w:t>
      </w:r>
    </w:p>
    <w:p>
      <w:pPr>
        <w:pStyle w:val="ListParagraph"/>
        <w:numPr>
          <w:ilvl w:val="0"/>
          <w:numId w:val="2"/>
        </w:numPr>
        <w:spacing w:after="60"/>
      </w:pPr>
      <w:r>
        <w:rPr>
          <w:rFonts w:ascii="Times New Roman" w:cs="Times New Roman" w:eastAsia="Times New Roman" w:hAnsi="Times New Roman"/>
          <w:color w:val="1F2937"/>
          <w:sz w:val="22"/>
          <w:szCs w:val="22"/>
        </w:rPr>
        <w:t xml:space="preserve">Marge brute : 450 – 19 – 14,40 = 416,60 €/mois</w:t>
      </w:r>
    </w:p>
    <w:p>
      <w:pPr>
        <w:pStyle w:val="ListParagraph"/>
        <w:numPr>
          <w:ilvl w:val="0"/>
          <w:numId w:val="2"/>
        </w:numPr>
        <w:spacing w:after="60"/>
      </w:pPr>
      <w:r>
        <w:rPr>
          <w:rFonts w:ascii="Times New Roman" w:cs="Times New Roman" w:eastAsia="Times New Roman" w:hAnsi="Times New Roman"/>
          <w:color w:val="1F2937"/>
          <w:sz w:val="22"/>
          <w:szCs w:val="22"/>
        </w:rPr>
        <w:t xml:space="preserve">⚠️ AVANT impôts et cotisations sociales. En micro-entrepreneur, les cotisations s’appliquent sur le chiffre d’affaires brut (450 €), pas sur la marge. Se référer à service-public.fr pour les taux en vigueur — non recopiés depuis une source primaire pendant cette exécution.</w:t>
      </w:r>
    </w:p>
    <w:p>
      <w:pPr>
        <w:spacing w:after="100"/>
      </w:pPr>
      <w:r>
        <w:t xml:space="preserve"/>
      </w:r>
    </w:p>
    <w:p>
      <w:pPr>
        <w:spacing w:after="80"/>
      </w:pPr>
      <w:r>
        <w:rPr>
          <w:rFonts w:ascii="Times New Roman" w:cs="Times New Roman" w:eastAsia="Times New Roman" w:hAnsi="Times New Roman"/>
          <w:color w:val="1F2937"/>
          <w:sz w:val="22"/>
          <w:szCs w:val="22"/>
        </w:rPr>
        <w:t xml:space="preserve">Q4. Projection 6 mois (3 nouveaux/mois, churn 10 %) :</w:t>
      </w:r>
    </w:p>
    <w:tbl>
      <w:tblPr>
        <w:tblW w:type="dxa" w:w="104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000"/>
            <w:shd w:fill="1B3A6B" w:val="clear"/>
          </w:tcPr>
          <w:p>
            <w:pPr>
              <w:jc w:val="center"/>
            </w:pPr>
            <w:r>
              <w:rPr>
                <w:rFonts w:ascii="Times New Roman" w:cs="Times New Roman" w:eastAsia="Times New Roman" w:hAnsi="Times New Roman"/>
                <w:b/>
                <w:bCs/>
                <w:color w:val="FFFFFF"/>
                <w:sz w:val="20"/>
                <w:szCs w:val="20"/>
              </w:rPr>
              <w:t xml:space="preserve">Mois</w:t>
            </w:r>
          </w:p>
        </w:tc>
        <w:tc>
          <w:tcPr>
            <w:tcW w:type="dxa" w:w="1700"/>
            <w:shd w:fill="1B3A6B" w:val="clear"/>
          </w:tcPr>
          <w:p>
            <w:pPr>
              <w:jc w:val="center"/>
            </w:pPr>
            <w:r>
              <w:rPr>
                <w:rFonts w:ascii="Times New Roman" w:cs="Times New Roman" w:eastAsia="Times New Roman" w:hAnsi="Times New Roman"/>
                <w:b/>
                <w:bCs/>
                <w:color w:val="FFFFFF"/>
                <w:sz w:val="20"/>
                <w:szCs w:val="20"/>
              </w:rPr>
              <w:t xml:space="preserve">Abonnés début</w:t>
            </w:r>
          </w:p>
        </w:tc>
        <w:tc>
          <w:tcPr>
            <w:tcW w:type="dxa" w:w="1600"/>
            <w:shd w:fill="1B3A6B" w:val="clear"/>
          </w:tcPr>
          <w:p>
            <w:pPr>
              <w:jc w:val="center"/>
            </w:pPr>
            <w:r>
              <w:rPr>
                <w:rFonts w:ascii="Times New Roman" w:cs="Times New Roman" w:eastAsia="Times New Roman" w:hAnsi="Times New Roman"/>
                <w:b/>
                <w:bCs/>
                <w:color w:val="FFFFFF"/>
                <w:sz w:val="20"/>
                <w:szCs w:val="20"/>
              </w:rPr>
              <w:t xml:space="preserve">+ Nouveaux</w:t>
            </w:r>
          </w:p>
        </w:tc>
        <w:tc>
          <w:tcPr>
            <w:tcW w:type="dxa" w:w="1800"/>
            <w:shd w:fill="1B3A6B" w:val="clear"/>
          </w:tcPr>
          <w:p>
            <w:pPr>
              <w:jc w:val="center"/>
            </w:pPr>
            <w:r>
              <w:rPr>
                <w:rFonts w:ascii="Times New Roman" w:cs="Times New Roman" w:eastAsia="Times New Roman" w:hAnsi="Times New Roman"/>
                <w:b/>
                <w:bCs/>
                <w:color w:val="FFFFFF"/>
                <w:sz w:val="20"/>
                <w:szCs w:val="20"/>
              </w:rPr>
              <w:t xml:space="preserve">− Churn (10 %)</w:t>
            </w:r>
          </w:p>
        </w:tc>
        <w:tc>
          <w:tcPr>
            <w:tcW w:type="dxa" w:w="1800"/>
            <w:shd w:fill="1B3A6B" w:val="clear"/>
          </w:tcPr>
          <w:p>
            <w:pPr>
              <w:jc w:val="center"/>
            </w:pPr>
            <w:r>
              <w:rPr>
                <w:rFonts w:ascii="Times New Roman" w:cs="Times New Roman" w:eastAsia="Times New Roman" w:hAnsi="Times New Roman"/>
                <w:b/>
                <w:bCs/>
                <w:color w:val="FFFFFF"/>
                <w:sz w:val="20"/>
                <w:szCs w:val="20"/>
              </w:rPr>
              <w:t xml:space="preserve">Abonnés fin</w:t>
            </w:r>
          </w:p>
        </w:tc>
        <w:tc>
          <w:tcPr>
            <w:tcW w:type="dxa" w:w="2506"/>
            <w:shd w:fill="1B3A6B" w:val="clear"/>
          </w:tcPr>
          <w:p>
            <w:pPr>
              <w:jc w:val="center"/>
            </w:pPr>
            <w:r>
              <w:rPr>
                <w:rFonts w:ascii="Times New Roman" w:cs="Times New Roman" w:eastAsia="Times New Roman" w:hAnsi="Times New Roman"/>
                <w:b/>
                <w:bCs/>
                <w:color w:val="FFFFFF"/>
                <w:sz w:val="20"/>
                <w:szCs w:val="20"/>
              </w:rPr>
              <w:t xml:space="preserve">MRR brut</w:t>
            </w:r>
          </w:p>
        </w:tc>
      </w:tr>
      <w:tr>
        <w:tc>
          <w:tcPr>
            <w:tcW w:type="dxa" w:w="1000"/>
            <w:shd w:fill="FFFFFF" w:val="clear"/>
          </w:tcPr>
          <w:p>
            <w:pPr>
              <w:spacing w:after="0"/>
            </w:pPr>
            <w:r>
              <w:rPr>
                <w:rFonts w:ascii="Times New Roman" w:cs="Times New Roman" w:eastAsia="Times New Roman" w:hAnsi="Times New Roman"/>
                <w:color w:val="1F2937"/>
                <w:sz w:val="20"/>
                <w:szCs w:val="20"/>
              </w:rPr>
              <w:t xml:space="preserve">1</w:t>
            </w:r>
          </w:p>
        </w:tc>
        <w:tc>
          <w:tcPr>
            <w:tcW w:type="dxa" w:w="1700"/>
            <w:shd w:fill="FFFFFF" w:val="clear"/>
          </w:tcPr>
          <w:p>
            <w:pPr>
              <w:spacing w:after="0"/>
            </w:pPr>
            <w:r>
              <w:rPr>
                <w:rFonts w:ascii="Times New Roman" w:cs="Times New Roman" w:eastAsia="Times New Roman" w:hAnsi="Times New Roman"/>
                <w:color w:val="1F2937"/>
                <w:sz w:val="20"/>
                <w:szCs w:val="20"/>
              </w:rPr>
              <w:t xml:space="preserve">0</w:t>
            </w:r>
          </w:p>
        </w:tc>
        <w:tc>
          <w:tcPr>
            <w:tcW w:type="dxa" w:w="1600"/>
            <w:shd w:fill="FFFFFF" w:val="clear"/>
          </w:tcPr>
          <w:p>
            <w:pPr>
              <w:spacing w:after="0"/>
            </w:pPr>
            <w:r>
              <w:rPr>
                <w:rFonts w:ascii="Times New Roman" w:cs="Times New Roman" w:eastAsia="Times New Roman" w:hAnsi="Times New Roman"/>
                <w:color w:val="1F2937"/>
                <w:sz w:val="20"/>
                <w:szCs w:val="20"/>
              </w:rPr>
              <w:t xml:space="preserve">+3</w:t>
            </w:r>
          </w:p>
        </w:tc>
        <w:tc>
          <w:tcPr>
            <w:tcW w:type="dxa" w:w="1800"/>
            <w:shd w:fill="FFFFFF" w:val="clear"/>
          </w:tcPr>
          <w:p>
            <w:pPr>
              <w:spacing w:after="0"/>
            </w:pPr>
            <w:r>
              <w:rPr>
                <w:rFonts w:ascii="Times New Roman" w:cs="Times New Roman" w:eastAsia="Times New Roman" w:hAnsi="Times New Roman"/>
                <w:color w:val="1F2937"/>
                <w:sz w:val="20"/>
                <w:szCs w:val="20"/>
              </w:rPr>
              <w:t xml:space="preserve">0</w:t>
            </w:r>
          </w:p>
        </w:tc>
        <w:tc>
          <w:tcPr>
            <w:tcW w:type="dxa" w:w="1800"/>
            <w:shd w:fill="FFFFFF" w:val="clear"/>
          </w:tcPr>
          <w:p>
            <w:pPr>
              <w:spacing w:after="0"/>
            </w:pPr>
            <w:r>
              <w:rPr>
                <w:rFonts w:ascii="Times New Roman" w:cs="Times New Roman" w:eastAsia="Times New Roman" w:hAnsi="Times New Roman"/>
                <w:color w:val="1F2937"/>
                <w:sz w:val="20"/>
                <w:szCs w:val="20"/>
              </w:rPr>
              <w:t xml:space="preserve">3</w:t>
            </w:r>
          </w:p>
        </w:tc>
        <w:tc>
          <w:tcPr>
            <w:tcW w:type="dxa" w:w="2506"/>
            <w:shd w:fill="FFFFFF" w:val="clear"/>
          </w:tcPr>
          <w:p>
            <w:pPr>
              <w:spacing w:after="0"/>
            </w:pPr>
            <w:r>
              <w:rPr>
                <w:rFonts w:ascii="Times New Roman" w:cs="Times New Roman" w:eastAsia="Times New Roman" w:hAnsi="Times New Roman"/>
                <w:color w:val="1F2937"/>
                <w:sz w:val="20"/>
                <w:szCs w:val="20"/>
              </w:rPr>
              <w:t xml:space="preserve">45 €</w:t>
            </w:r>
          </w:p>
        </w:tc>
      </w:tr>
      <w:tr>
        <w:tc>
          <w:tcPr>
            <w:tcW w:type="dxa" w:w="1000"/>
            <w:shd w:fill="EEF2F7" w:val="clear"/>
          </w:tcPr>
          <w:p>
            <w:pPr>
              <w:spacing w:after="0"/>
            </w:pPr>
            <w:r>
              <w:rPr>
                <w:rFonts w:ascii="Times New Roman" w:cs="Times New Roman" w:eastAsia="Times New Roman" w:hAnsi="Times New Roman"/>
                <w:color w:val="1F2937"/>
                <w:sz w:val="20"/>
                <w:szCs w:val="20"/>
              </w:rPr>
              <w:t xml:space="preserve">2</w:t>
            </w:r>
          </w:p>
        </w:tc>
        <w:tc>
          <w:tcPr>
            <w:tcW w:type="dxa" w:w="1700"/>
            <w:shd w:fill="EEF2F7" w:val="clear"/>
          </w:tcPr>
          <w:p>
            <w:pPr>
              <w:spacing w:after="0"/>
            </w:pPr>
            <w:r>
              <w:rPr>
                <w:rFonts w:ascii="Times New Roman" w:cs="Times New Roman" w:eastAsia="Times New Roman" w:hAnsi="Times New Roman"/>
                <w:color w:val="1F2937"/>
                <w:sz w:val="20"/>
                <w:szCs w:val="20"/>
              </w:rPr>
              <w:t xml:space="preserve">3</w:t>
            </w:r>
          </w:p>
        </w:tc>
        <w:tc>
          <w:tcPr>
            <w:tcW w:type="dxa" w:w="1600"/>
            <w:shd w:fill="EEF2F7" w:val="clear"/>
          </w:tcPr>
          <w:p>
            <w:pPr>
              <w:spacing w:after="0"/>
            </w:pPr>
            <w:r>
              <w:rPr>
                <w:rFonts w:ascii="Times New Roman" w:cs="Times New Roman" w:eastAsia="Times New Roman" w:hAnsi="Times New Roman"/>
                <w:color w:val="1F2937"/>
                <w:sz w:val="20"/>
                <w:szCs w:val="20"/>
              </w:rPr>
              <w:t xml:space="preserve">+3</w:t>
            </w:r>
          </w:p>
        </w:tc>
        <w:tc>
          <w:tcPr>
            <w:tcW w:type="dxa" w:w="1800"/>
            <w:shd w:fill="EEF2F7" w:val="clear"/>
          </w:tcPr>
          <w:p>
            <w:pPr>
              <w:spacing w:after="0"/>
            </w:pPr>
            <w:r>
              <w:rPr>
                <w:rFonts w:ascii="Times New Roman" w:cs="Times New Roman" w:eastAsia="Times New Roman" w:hAnsi="Times New Roman"/>
                <w:color w:val="1F2937"/>
                <w:sz w:val="20"/>
                <w:szCs w:val="20"/>
              </w:rPr>
              <w:t xml:space="preserve">−0</w:t>
            </w:r>
          </w:p>
        </w:tc>
        <w:tc>
          <w:tcPr>
            <w:tcW w:type="dxa" w:w="1800"/>
            <w:shd w:fill="EEF2F7" w:val="clear"/>
          </w:tcPr>
          <w:p>
            <w:pPr>
              <w:spacing w:after="0"/>
            </w:pPr>
            <w:r>
              <w:rPr>
                <w:rFonts w:ascii="Times New Roman" w:cs="Times New Roman" w:eastAsia="Times New Roman" w:hAnsi="Times New Roman"/>
                <w:color w:val="1F2937"/>
                <w:sz w:val="20"/>
                <w:szCs w:val="20"/>
              </w:rPr>
              <w:t xml:space="preserve">6</w:t>
            </w:r>
          </w:p>
        </w:tc>
        <w:tc>
          <w:tcPr>
            <w:tcW w:type="dxa" w:w="2506"/>
            <w:shd w:fill="EEF2F7" w:val="clear"/>
          </w:tcPr>
          <w:p>
            <w:pPr>
              <w:spacing w:after="0"/>
            </w:pPr>
            <w:r>
              <w:rPr>
                <w:rFonts w:ascii="Times New Roman" w:cs="Times New Roman" w:eastAsia="Times New Roman" w:hAnsi="Times New Roman"/>
                <w:color w:val="1F2937"/>
                <w:sz w:val="20"/>
                <w:szCs w:val="20"/>
              </w:rPr>
              <w:t xml:space="preserve">90 €</w:t>
            </w:r>
          </w:p>
        </w:tc>
      </w:tr>
      <w:tr>
        <w:tc>
          <w:tcPr>
            <w:tcW w:type="dxa" w:w="1000"/>
            <w:shd w:fill="FFFFFF" w:val="clear"/>
          </w:tcPr>
          <w:p>
            <w:pPr>
              <w:spacing w:after="0"/>
            </w:pPr>
            <w:r>
              <w:rPr>
                <w:rFonts w:ascii="Times New Roman" w:cs="Times New Roman" w:eastAsia="Times New Roman" w:hAnsi="Times New Roman"/>
                <w:color w:val="1F2937"/>
                <w:sz w:val="20"/>
                <w:szCs w:val="20"/>
              </w:rPr>
              <w:t xml:space="preserve">3</w:t>
            </w:r>
          </w:p>
        </w:tc>
        <w:tc>
          <w:tcPr>
            <w:tcW w:type="dxa" w:w="1700"/>
            <w:shd w:fill="FFFFFF" w:val="clear"/>
          </w:tcPr>
          <w:p>
            <w:pPr>
              <w:spacing w:after="0"/>
            </w:pPr>
            <w:r>
              <w:rPr>
                <w:rFonts w:ascii="Times New Roman" w:cs="Times New Roman" w:eastAsia="Times New Roman" w:hAnsi="Times New Roman"/>
                <w:color w:val="1F2937"/>
                <w:sz w:val="20"/>
                <w:szCs w:val="20"/>
              </w:rPr>
              <w:t xml:space="preserve">6</w:t>
            </w:r>
          </w:p>
        </w:tc>
        <w:tc>
          <w:tcPr>
            <w:tcW w:type="dxa" w:w="1600"/>
            <w:shd w:fill="FFFFFF" w:val="clear"/>
          </w:tcPr>
          <w:p>
            <w:pPr>
              <w:spacing w:after="0"/>
            </w:pPr>
            <w:r>
              <w:rPr>
                <w:rFonts w:ascii="Times New Roman" w:cs="Times New Roman" w:eastAsia="Times New Roman" w:hAnsi="Times New Roman"/>
                <w:color w:val="1F2937"/>
                <w:sz w:val="20"/>
                <w:szCs w:val="20"/>
              </w:rPr>
              <w:t xml:space="preserve">+3</w:t>
            </w:r>
          </w:p>
        </w:tc>
        <w:tc>
          <w:tcPr>
            <w:tcW w:type="dxa" w:w="1800"/>
            <w:shd w:fill="FFFFFF" w:val="clear"/>
          </w:tcPr>
          <w:p>
            <w:pPr>
              <w:spacing w:after="0"/>
            </w:pPr>
            <w:r>
              <w:rPr>
                <w:rFonts w:ascii="Times New Roman" w:cs="Times New Roman" w:eastAsia="Times New Roman" w:hAnsi="Times New Roman"/>
                <w:color w:val="1F2937"/>
                <w:sz w:val="20"/>
                <w:szCs w:val="20"/>
              </w:rPr>
              <w:t xml:space="preserve">−1</w:t>
            </w:r>
          </w:p>
        </w:tc>
        <w:tc>
          <w:tcPr>
            <w:tcW w:type="dxa" w:w="1800"/>
            <w:shd w:fill="FFFFFF" w:val="clear"/>
          </w:tcPr>
          <w:p>
            <w:pPr>
              <w:spacing w:after="0"/>
            </w:pPr>
            <w:r>
              <w:rPr>
                <w:rFonts w:ascii="Times New Roman" w:cs="Times New Roman" w:eastAsia="Times New Roman" w:hAnsi="Times New Roman"/>
                <w:color w:val="1F2937"/>
                <w:sz w:val="20"/>
                <w:szCs w:val="20"/>
              </w:rPr>
              <w:t xml:space="preserve">8</w:t>
            </w:r>
          </w:p>
        </w:tc>
        <w:tc>
          <w:tcPr>
            <w:tcW w:type="dxa" w:w="2506"/>
            <w:shd w:fill="FFFFFF" w:val="clear"/>
          </w:tcPr>
          <w:p>
            <w:pPr>
              <w:spacing w:after="0"/>
            </w:pPr>
            <w:r>
              <w:rPr>
                <w:rFonts w:ascii="Times New Roman" w:cs="Times New Roman" w:eastAsia="Times New Roman" w:hAnsi="Times New Roman"/>
                <w:color w:val="1F2937"/>
                <w:sz w:val="20"/>
                <w:szCs w:val="20"/>
              </w:rPr>
              <w:t xml:space="preserve">120 €</w:t>
            </w:r>
          </w:p>
        </w:tc>
      </w:tr>
      <w:tr>
        <w:tc>
          <w:tcPr>
            <w:tcW w:type="dxa" w:w="1000"/>
            <w:shd w:fill="EEF2F7" w:val="clear"/>
          </w:tcPr>
          <w:p>
            <w:pPr>
              <w:spacing w:after="0"/>
            </w:pPr>
            <w:r>
              <w:rPr>
                <w:rFonts w:ascii="Times New Roman" w:cs="Times New Roman" w:eastAsia="Times New Roman" w:hAnsi="Times New Roman"/>
                <w:color w:val="1F2937"/>
                <w:sz w:val="20"/>
                <w:szCs w:val="20"/>
              </w:rPr>
              <w:t xml:space="preserve">4</w:t>
            </w:r>
          </w:p>
        </w:tc>
        <w:tc>
          <w:tcPr>
            <w:tcW w:type="dxa" w:w="1700"/>
            <w:shd w:fill="EEF2F7" w:val="clear"/>
          </w:tcPr>
          <w:p>
            <w:pPr>
              <w:spacing w:after="0"/>
            </w:pPr>
            <w:r>
              <w:rPr>
                <w:rFonts w:ascii="Times New Roman" w:cs="Times New Roman" w:eastAsia="Times New Roman" w:hAnsi="Times New Roman"/>
                <w:color w:val="1F2937"/>
                <w:sz w:val="20"/>
                <w:szCs w:val="20"/>
              </w:rPr>
              <w:t xml:space="preserve">8</w:t>
            </w:r>
          </w:p>
        </w:tc>
        <w:tc>
          <w:tcPr>
            <w:tcW w:type="dxa" w:w="1600"/>
            <w:shd w:fill="EEF2F7" w:val="clear"/>
          </w:tcPr>
          <w:p>
            <w:pPr>
              <w:spacing w:after="0"/>
            </w:pPr>
            <w:r>
              <w:rPr>
                <w:rFonts w:ascii="Times New Roman" w:cs="Times New Roman" w:eastAsia="Times New Roman" w:hAnsi="Times New Roman"/>
                <w:color w:val="1F2937"/>
                <w:sz w:val="20"/>
                <w:szCs w:val="20"/>
              </w:rPr>
              <w:t xml:space="preserve">+3</w:t>
            </w:r>
          </w:p>
        </w:tc>
        <w:tc>
          <w:tcPr>
            <w:tcW w:type="dxa" w:w="1800"/>
            <w:shd w:fill="EEF2F7" w:val="clear"/>
          </w:tcPr>
          <w:p>
            <w:pPr>
              <w:spacing w:after="0"/>
            </w:pPr>
            <w:r>
              <w:rPr>
                <w:rFonts w:ascii="Times New Roman" w:cs="Times New Roman" w:eastAsia="Times New Roman" w:hAnsi="Times New Roman"/>
                <w:color w:val="1F2937"/>
                <w:sz w:val="20"/>
                <w:szCs w:val="20"/>
              </w:rPr>
              <w:t xml:space="preserve">−1</w:t>
            </w:r>
          </w:p>
        </w:tc>
        <w:tc>
          <w:tcPr>
            <w:tcW w:type="dxa" w:w="1800"/>
            <w:shd w:fill="EEF2F7" w:val="clear"/>
          </w:tcPr>
          <w:p>
            <w:pPr>
              <w:spacing w:after="0"/>
            </w:pPr>
            <w:r>
              <w:rPr>
                <w:rFonts w:ascii="Times New Roman" w:cs="Times New Roman" w:eastAsia="Times New Roman" w:hAnsi="Times New Roman"/>
                <w:color w:val="1F2937"/>
                <w:sz w:val="20"/>
                <w:szCs w:val="20"/>
              </w:rPr>
              <w:t xml:space="preserve">10</w:t>
            </w:r>
          </w:p>
        </w:tc>
        <w:tc>
          <w:tcPr>
            <w:tcW w:type="dxa" w:w="2506"/>
            <w:shd w:fill="EEF2F7" w:val="clear"/>
          </w:tcPr>
          <w:p>
            <w:pPr>
              <w:spacing w:after="0"/>
            </w:pPr>
            <w:r>
              <w:rPr>
                <w:rFonts w:ascii="Times New Roman" w:cs="Times New Roman" w:eastAsia="Times New Roman" w:hAnsi="Times New Roman"/>
                <w:color w:val="1F2937"/>
                <w:sz w:val="20"/>
                <w:szCs w:val="20"/>
              </w:rPr>
              <w:t xml:space="preserve">150 €</w:t>
            </w:r>
          </w:p>
        </w:tc>
      </w:tr>
      <w:tr>
        <w:tc>
          <w:tcPr>
            <w:tcW w:type="dxa" w:w="1000"/>
            <w:shd w:fill="FFFFFF" w:val="clear"/>
          </w:tcPr>
          <w:p>
            <w:pPr>
              <w:spacing w:after="0"/>
            </w:pPr>
            <w:r>
              <w:rPr>
                <w:rFonts w:ascii="Times New Roman" w:cs="Times New Roman" w:eastAsia="Times New Roman" w:hAnsi="Times New Roman"/>
                <w:color w:val="1F2937"/>
                <w:sz w:val="20"/>
                <w:szCs w:val="20"/>
              </w:rPr>
              <w:t xml:space="preserve">5</w:t>
            </w:r>
          </w:p>
        </w:tc>
        <w:tc>
          <w:tcPr>
            <w:tcW w:type="dxa" w:w="1700"/>
            <w:shd w:fill="FFFFFF" w:val="clear"/>
          </w:tcPr>
          <w:p>
            <w:pPr>
              <w:spacing w:after="0"/>
            </w:pPr>
            <w:r>
              <w:rPr>
                <w:rFonts w:ascii="Times New Roman" w:cs="Times New Roman" w:eastAsia="Times New Roman" w:hAnsi="Times New Roman"/>
                <w:color w:val="1F2937"/>
                <w:sz w:val="20"/>
                <w:szCs w:val="20"/>
              </w:rPr>
              <w:t xml:space="preserve">10</w:t>
            </w:r>
          </w:p>
        </w:tc>
        <w:tc>
          <w:tcPr>
            <w:tcW w:type="dxa" w:w="1600"/>
            <w:shd w:fill="FFFFFF" w:val="clear"/>
          </w:tcPr>
          <w:p>
            <w:pPr>
              <w:spacing w:after="0"/>
            </w:pPr>
            <w:r>
              <w:rPr>
                <w:rFonts w:ascii="Times New Roman" w:cs="Times New Roman" w:eastAsia="Times New Roman" w:hAnsi="Times New Roman"/>
                <w:color w:val="1F2937"/>
                <w:sz w:val="20"/>
                <w:szCs w:val="20"/>
              </w:rPr>
              <w:t xml:space="preserve">+3</w:t>
            </w:r>
          </w:p>
        </w:tc>
        <w:tc>
          <w:tcPr>
            <w:tcW w:type="dxa" w:w="1800"/>
            <w:shd w:fill="FFFFFF" w:val="clear"/>
          </w:tcPr>
          <w:p>
            <w:pPr>
              <w:spacing w:after="0"/>
            </w:pPr>
            <w:r>
              <w:rPr>
                <w:rFonts w:ascii="Times New Roman" w:cs="Times New Roman" w:eastAsia="Times New Roman" w:hAnsi="Times New Roman"/>
                <w:color w:val="1F2937"/>
                <w:sz w:val="20"/>
                <w:szCs w:val="20"/>
              </w:rPr>
              <w:t xml:space="preserve">−1</w:t>
            </w:r>
          </w:p>
        </w:tc>
        <w:tc>
          <w:tcPr>
            <w:tcW w:type="dxa" w:w="1800"/>
            <w:shd w:fill="FFFFFF" w:val="clear"/>
          </w:tcPr>
          <w:p>
            <w:pPr>
              <w:spacing w:after="0"/>
            </w:pPr>
            <w:r>
              <w:rPr>
                <w:rFonts w:ascii="Times New Roman" w:cs="Times New Roman" w:eastAsia="Times New Roman" w:hAnsi="Times New Roman"/>
                <w:color w:val="1F2937"/>
                <w:sz w:val="20"/>
                <w:szCs w:val="20"/>
              </w:rPr>
              <w:t xml:space="preserve">12</w:t>
            </w:r>
          </w:p>
        </w:tc>
        <w:tc>
          <w:tcPr>
            <w:tcW w:type="dxa" w:w="2506"/>
            <w:shd w:fill="FFFFFF" w:val="clear"/>
          </w:tcPr>
          <w:p>
            <w:pPr>
              <w:spacing w:after="0"/>
            </w:pPr>
            <w:r>
              <w:rPr>
                <w:rFonts w:ascii="Times New Roman" w:cs="Times New Roman" w:eastAsia="Times New Roman" w:hAnsi="Times New Roman"/>
                <w:color w:val="1F2937"/>
                <w:sz w:val="20"/>
                <w:szCs w:val="20"/>
              </w:rPr>
              <w:t xml:space="preserve">180 €</w:t>
            </w:r>
          </w:p>
        </w:tc>
      </w:tr>
      <w:tr>
        <w:tc>
          <w:tcPr>
            <w:tcW w:type="dxa" w:w="1000"/>
            <w:shd w:fill="EEF2F7" w:val="clear"/>
          </w:tcPr>
          <w:p>
            <w:pPr>
              <w:spacing w:after="0"/>
            </w:pPr>
            <w:r>
              <w:rPr>
                <w:rFonts w:ascii="Times New Roman" w:cs="Times New Roman" w:eastAsia="Times New Roman" w:hAnsi="Times New Roman"/>
                <w:color w:val="1F2937"/>
                <w:sz w:val="20"/>
                <w:szCs w:val="20"/>
              </w:rPr>
              <w:t xml:space="preserve">6</w:t>
            </w:r>
          </w:p>
        </w:tc>
        <w:tc>
          <w:tcPr>
            <w:tcW w:type="dxa" w:w="1700"/>
            <w:shd w:fill="EEF2F7" w:val="clear"/>
          </w:tcPr>
          <w:p>
            <w:pPr>
              <w:spacing w:after="0"/>
            </w:pPr>
            <w:r>
              <w:rPr>
                <w:rFonts w:ascii="Times New Roman" w:cs="Times New Roman" w:eastAsia="Times New Roman" w:hAnsi="Times New Roman"/>
                <w:color w:val="1F2937"/>
                <w:sz w:val="20"/>
                <w:szCs w:val="20"/>
              </w:rPr>
              <w:t xml:space="preserve">12</w:t>
            </w:r>
          </w:p>
        </w:tc>
        <w:tc>
          <w:tcPr>
            <w:tcW w:type="dxa" w:w="1600"/>
            <w:shd w:fill="EEF2F7" w:val="clear"/>
          </w:tcPr>
          <w:p>
            <w:pPr>
              <w:spacing w:after="0"/>
            </w:pPr>
            <w:r>
              <w:rPr>
                <w:rFonts w:ascii="Times New Roman" w:cs="Times New Roman" w:eastAsia="Times New Roman" w:hAnsi="Times New Roman"/>
                <w:color w:val="1F2937"/>
                <w:sz w:val="20"/>
                <w:szCs w:val="20"/>
              </w:rPr>
              <w:t xml:space="preserve">+3</w:t>
            </w:r>
          </w:p>
        </w:tc>
        <w:tc>
          <w:tcPr>
            <w:tcW w:type="dxa" w:w="1800"/>
            <w:shd w:fill="EEF2F7" w:val="clear"/>
          </w:tcPr>
          <w:p>
            <w:pPr>
              <w:spacing w:after="0"/>
            </w:pPr>
            <w:r>
              <w:rPr>
                <w:rFonts w:ascii="Times New Roman" w:cs="Times New Roman" w:eastAsia="Times New Roman" w:hAnsi="Times New Roman"/>
                <w:color w:val="1F2937"/>
                <w:sz w:val="20"/>
                <w:szCs w:val="20"/>
              </w:rPr>
              <w:t xml:space="preserve">−1</w:t>
            </w:r>
          </w:p>
        </w:tc>
        <w:tc>
          <w:tcPr>
            <w:tcW w:type="dxa" w:w="1800"/>
            <w:shd w:fill="EEF2F7" w:val="clear"/>
          </w:tcPr>
          <w:p>
            <w:pPr>
              <w:spacing w:after="0"/>
            </w:pPr>
            <w:r>
              <w:rPr>
                <w:rFonts w:ascii="Times New Roman" w:cs="Times New Roman" w:eastAsia="Times New Roman" w:hAnsi="Times New Roman"/>
                <w:color w:val="1F2937"/>
                <w:sz w:val="20"/>
                <w:szCs w:val="20"/>
              </w:rPr>
              <w:t xml:space="preserve">14</w:t>
            </w:r>
          </w:p>
        </w:tc>
        <w:tc>
          <w:tcPr>
            <w:tcW w:type="dxa" w:w="2506"/>
            <w:shd w:fill="EEF2F7" w:val="clear"/>
          </w:tcPr>
          <w:p>
            <w:pPr>
              <w:spacing w:after="0"/>
            </w:pPr>
            <w:r>
              <w:rPr>
                <w:rFonts w:ascii="Times New Roman" w:cs="Times New Roman" w:eastAsia="Times New Roman" w:hAnsi="Times New Roman"/>
                <w:color w:val="1F2937"/>
                <w:sz w:val="20"/>
                <w:szCs w:val="20"/>
              </w:rPr>
              <w:t xml:space="preserve">210 €</w:t>
            </w:r>
          </w:p>
        </w:tc>
      </w:tr>
    </w:tbl>
    <w:p>
      <w:pPr>
        <w:spacing w:after="100"/>
      </w:pPr>
      <w:r>
        <w:t xml:space="preserve"/>
      </w:r>
    </w:p>
    <w:p>
      <w:pPr>
        <w:spacing w:after="80"/>
      </w:pPr>
      <w:r>
        <w:rPr>
          <w:rFonts w:ascii="Times New Roman" w:cs="Times New Roman" w:eastAsia="Times New Roman" w:hAnsi="Times New Roman"/>
          <w:color w:val="1F2937"/>
          <w:sz w:val="22"/>
          <w:szCs w:val="22"/>
        </w:rPr>
        <w:t xml:space="preserve">Au mois 6, MRR brut ≈ 210 €. Marge brute ≈ 210 – 19 – (14 × 0,48) ≈ 184 €, avant fiscalité et cotisations.</w:t>
      </w:r>
    </w:p>
    <w:p>
      <w:pPr>
        <w:pBdr>
          <w:left w:val="single" w:color="1B3A6B" w:sz="12" w:space="200"/>
        </w:pBdr>
        <w:shd w:fill="EEF2F7" w:val="clear"/>
        <w:spacing w:after="80"/>
        <w:ind w:left="360" w:right="200"/>
      </w:pPr>
      <w:r>
        <w:rPr>
          <w:rFonts w:ascii="Times New Roman" w:cs="Times New Roman" w:eastAsia="Times New Roman" w:hAnsi="Times New Roman"/>
          <w:i/>
          <w:iCs/>
          <w:color w:val="1F2937"/>
          <w:sz w:val="22"/>
          <w:szCs w:val="22"/>
        </w:rPr>
        <w:t xml:space="preserve">Enseignement clé : doubler l’acquisition (6/mois) ou réduire le churn à 5 % change radicalement la trajectoire. La rétention est souvent plus rentable que l’acquisition en micro-SaaS. (Synthèse, non citation.)</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Challenge — Concevoir votre mini-projet micro-SaaS</w:t>
      </w:r>
    </w:p>
    <w:p>
      <w:pPr>
        <w:spacing w:after="80"/>
      </w:pPr>
      <w:r>
        <w:rPr>
          <w:rFonts w:ascii="Times New Roman" w:cs="Times New Roman" w:eastAsia="Times New Roman" w:hAnsi="Times New Roman"/>
          <w:color w:val="1F2937"/>
          <w:sz w:val="22"/>
          <w:szCs w:val="22"/>
        </w:rPr>
        <w:t xml:space="preserve">Exercice de synthèse mobilisant l’ensemble de la leçon. Durée estimée : 45–60 minutes.</w:t>
      </w:r>
    </w:p>
    <w:p>
      <w:pPr>
        <w:spacing w:after="10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1. Choisissez une niche précise (une profession ou un segment avec un problème répétitif identifié — évitez « tous les indépendants » : trop large)</w:t>
      </w:r>
    </w:p>
    <w:p>
      <w:pPr>
        <w:pStyle w:val="ListParagraph"/>
        <w:numPr>
          <w:ilvl w:val="0"/>
          <w:numId w:val="2"/>
        </w:numPr>
        <w:spacing w:after="60"/>
      </w:pPr>
      <w:r>
        <w:rPr>
          <w:rFonts w:ascii="Times New Roman" w:cs="Times New Roman" w:eastAsia="Times New Roman" w:hAnsi="Times New Roman"/>
          <w:color w:val="1F2937"/>
          <w:sz w:val="22"/>
          <w:szCs w:val="22"/>
        </w:rPr>
        <w:t xml:space="preserve">2. Décrivez le problème : « Les [profil] perdent du temps à [tâche] chaque [fréquence]. »</w:t>
      </w:r>
    </w:p>
    <w:p>
      <w:pPr>
        <w:pStyle w:val="ListParagraph"/>
        <w:numPr>
          <w:ilvl w:val="0"/>
          <w:numId w:val="2"/>
        </w:numPr>
        <w:spacing w:after="60"/>
      </w:pPr>
      <w:r>
        <w:rPr>
          <w:rFonts w:ascii="Times New Roman" w:cs="Times New Roman" w:eastAsia="Times New Roman" w:hAnsi="Times New Roman"/>
          <w:color w:val="1F2937"/>
          <w:sz w:val="22"/>
          <w:szCs w:val="22"/>
        </w:rPr>
        <w:t xml:space="preserve">3. Décrivez votre solution : « Mon outil [action] automatiquement, en [délai/contexte], grâce à [technologie]. »</w:t>
      </w:r>
    </w:p>
    <w:p>
      <w:pPr>
        <w:pStyle w:val="ListParagraph"/>
        <w:numPr>
          <w:ilvl w:val="0"/>
          <w:numId w:val="2"/>
        </w:numPr>
        <w:spacing w:after="60"/>
      </w:pPr>
      <w:r>
        <w:rPr>
          <w:rFonts w:ascii="Times New Roman" w:cs="Times New Roman" w:eastAsia="Times New Roman" w:hAnsi="Times New Roman"/>
          <w:color w:val="1F2937"/>
          <w:sz w:val="22"/>
          <w:szCs w:val="22"/>
        </w:rPr>
        <w:t xml:space="preserve">4. Définissez le pricing : quel tarif mensuel ? Pourquoi ce niveau ? (Comparez avec ce que coûte le problème non résolu.)</w:t>
      </w:r>
    </w:p>
    <w:p>
      <w:pPr>
        <w:pStyle w:val="ListParagraph"/>
        <w:numPr>
          <w:ilvl w:val="0"/>
          <w:numId w:val="2"/>
        </w:numPr>
        <w:spacing w:after="60"/>
      </w:pPr>
      <w:r>
        <w:rPr>
          <w:rFonts w:ascii="Times New Roman" w:cs="Times New Roman" w:eastAsia="Times New Roman" w:hAnsi="Times New Roman"/>
          <w:color w:val="1F2937"/>
          <w:sz w:val="22"/>
          <w:szCs w:val="22"/>
        </w:rPr>
        <w:t xml:space="preserve">5. Listez les outils et estimez le coût mensuel total de la stack</w:t>
      </w:r>
    </w:p>
    <w:p>
      <w:pPr>
        <w:pStyle w:val="ListParagraph"/>
        <w:numPr>
          <w:ilvl w:val="0"/>
          <w:numId w:val="2"/>
        </w:numPr>
        <w:spacing w:after="60"/>
      </w:pPr>
      <w:r>
        <w:rPr>
          <w:rFonts w:ascii="Times New Roman" w:cs="Times New Roman" w:eastAsia="Times New Roman" w:hAnsi="Times New Roman"/>
          <w:color w:val="1F2937"/>
          <w:sz w:val="22"/>
          <w:szCs w:val="22"/>
        </w:rPr>
        <w:t xml:space="preserve">6. Calculez la projection à 6 mois : 2 nouveaux abonnés/mois, churn 10 % — quel MRR au mois 6 ? Quelle marge brute ?</w:t>
      </w:r>
    </w:p>
    <w:p>
      <w:pPr>
        <w:pStyle w:val="ListParagraph"/>
        <w:numPr>
          <w:ilvl w:val="0"/>
          <w:numId w:val="2"/>
        </w:numPr>
        <w:spacing w:after="60"/>
      </w:pPr>
      <w:r>
        <w:rPr>
          <w:rFonts w:ascii="Times New Roman" w:cs="Times New Roman" w:eastAsia="Times New Roman" w:hAnsi="Times New Roman"/>
          <w:color w:val="1F2937"/>
          <w:sz w:val="22"/>
          <w:szCs w:val="22"/>
        </w:rPr>
        <w:t xml:space="preserve">7. Identifiez le principal risque (technique, concurrence, commoditisation IA, légal) et une mesure de mitigation</w:t>
      </w:r>
    </w:p>
    <w:p>
      <w:pPr>
        <w:pStyle w:val="ListParagraph"/>
        <w:numPr>
          <w:ilvl w:val="0"/>
          <w:numId w:val="2"/>
        </w:numPr>
        <w:spacing w:after="60"/>
      </w:pPr>
      <w:r>
        <w:rPr>
          <w:rFonts w:ascii="Times New Roman" w:cs="Times New Roman" w:eastAsia="Times New Roman" w:hAnsi="Times New Roman"/>
          <w:color w:val="1F2937"/>
          <w:sz w:val="22"/>
          <w:szCs w:val="22"/>
        </w:rPr>
        <w:t xml:space="preserve">8. Estimez honnêtement le temps de travail mensuel (maintenance + support + marketing) une fois l’outil lancé</w:t>
      </w:r>
    </w:p>
    <w:p>
      <w:pPr>
        <w:spacing w:after="100"/>
      </w:pPr>
      <w:r>
        <w:t xml:space="preserve"/>
      </w:r>
    </w:p>
    <w:p>
      <w:pPr>
        <w:spacing w:after="80"/>
      </w:pPr>
      <w:r>
        <w:rPr>
          <w:rFonts w:ascii="Times New Roman" w:cs="Times New Roman" w:eastAsia="Times New Roman" w:hAnsi="Times New Roman"/>
          <w:color w:val="1F2937"/>
          <w:sz w:val="22"/>
          <w:szCs w:val="22"/>
        </w:rPr>
        <w:t xml:space="preserve">Critères d’auto-évaluation :</w:t>
      </w:r>
    </w:p>
    <w:p>
      <w:pPr>
        <w:pStyle w:val="ListParagraph"/>
        <w:numPr>
          <w:ilvl w:val="0"/>
          <w:numId w:val="2"/>
        </w:numPr>
        <w:spacing w:after="60"/>
      </w:pPr>
      <w:r>
        <w:rPr>
          <w:rFonts w:ascii="Times New Roman" w:cs="Times New Roman" w:eastAsia="Times New Roman" w:hAnsi="Times New Roman"/>
          <w:color w:val="1F2937"/>
          <w:sz w:val="22"/>
          <w:szCs w:val="22"/>
        </w:rPr>
        <w:t xml:space="preserve">La niche est suffisamment précise pour que vous puissiez trouver 10 prospects concrets</w:t>
      </w:r>
    </w:p>
    <w:p>
      <w:pPr>
        <w:pStyle w:val="ListParagraph"/>
        <w:numPr>
          <w:ilvl w:val="0"/>
          <w:numId w:val="2"/>
        </w:numPr>
        <w:spacing w:after="60"/>
      </w:pPr>
      <w:r>
        <w:rPr>
          <w:rFonts w:ascii="Times New Roman" w:cs="Times New Roman" w:eastAsia="Times New Roman" w:hAnsi="Times New Roman"/>
          <w:color w:val="1F2937"/>
          <w:sz w:val="22"/>
          <w:szCs w:val="22"/>
        </w:rPr>
        <w:t xml:space="preserve">Le calcul de rentabilité intègre tous les coûts réels (charges, Stripe, fiscalité)</w:t>
      </w:r>
    </w:p>
    <w:p>
      <w:pPr>
        <w:pStyle w:val="ListParagraph"/>
        <w:numPr>
          <w:ilvl w:val="0"/>
          <w:numId w:val="2"/>
        </w:numPr>
        <w:spacing w:after="60"/>
      </w:pPr>
      <w:r>
        <w:rPr>
          <w:rFonts w:ascii="Times New Roman" w:cs="Times New Roman" w:eastAsia="Times New Roman" w:hAnsi="Times New Roman"/>
          <w:color w:val="1F2937"/>
          <w:sz w:val="22"/>
          <w:szCs w:val="22"/>
        </w:rPr>
        <w:t xml:space="preserve">Le risque principal est nommé sans euphémisme</w:t>
      </w:r>
    </w:p>
    <w:p>
      <w:pPr>
        <w:pStyle w:val="ListParagraph"/>
        <w:numPr>
          <w:ilvl w:val="0"/>
          <w:numId w:val="2"/>
        </w:numPr>
        <w:spacing w:after="60"/>
      </w:pPr>
      <w:r>
        <w:rPr>
          <w:rFonts w:ascii="Times New Roman" w:cs="Times New Roman" w:eastAsia="Times New Roman" w:hAnsi="Times New Roman"/>
          <w:color w:val="1F2937"/>
          <w:sz w:val="22"/>
          <w:szCs w:val="22"/>
        </w:rPr>
        <w:t xml:space="preserve">Le temps de travail mensuel est estimé honnêtement</w:t>
      </w:r>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Ressources cliquables</w:t>
      </w:r>
    </w:p>
    <w:p>
      <w:pPr>
        <w:spacing w:after="80"/>
      </w:pPr>
      <w:r>
        <w:rPr>
          <w:rFonts w:ascii="Times New Roman" w:cs="Times New Roman" w:eastAsia="Times New Roman" w:hAnsi="Times New Roman"/>
          <w:color w:val="1F2937"/>
          <w:sz w:val="22"/>
          <w:szCs w:val="22"/>
        </w:rPr>
        <w:t xml:space="preserve">Toutes les URLs ont été testées le 6 septembre 2026. HTTP 200 sauf mention.</w:t>
      </w:r>
    </w:p>
    <w:p>
      <w:pPr>
        <w:spacing w:after="100"/>
      </w:pPr>
      <w:r>
        <w:t xml:space="preserve"/>
      </w:r>
    </w:p>
    <w:p>
      <w:pPr>
        <w:spacing w:after="80"/>
      </w:pPr>
      <w:r>
        <w:rPr>
          <w:rFonts w:ascii="Times New Roman" w:cs="Times New Roman" w:eastAsia="Times New Roman" w:hAnsi="Times New Roman"/>
          <w:color w:val="1F2937"/>
          <w:sz w:val="22"/>
          <w:szCs w:val="22"/>
        </w:rPr>
        <w:t xml:space="preserve">Données et analyses micro-SaaS :</w:t>
      </w:r>
    </w:p>
    <w:p>
      <w:pPr>
        <w:spacing w:after="60"/>
      </w:pPr>
      <w:r>
        <w:rPr>
          <w:rFonts w:ascii="Times New Roman" w:cs="Times New Roman" w:eastAsia="Times New Roman" w:hAnsi="Times New Roman"/>
          <w:color w:val="1F2937"/>
          <w:sz w:val="22"/>
          <w:szCs w:val="22"/>
        </w:rPr>
        <w:t xml:space="preserve">→ </w:t>
      </w:r>
      <w:hyperlink w:history="1" r:id="rIdqaztolufr6ov_kzprtpak">
        <w:r>
          <w:rPr>
            <w:rFonts w:ascii="Times New Roman" w:cs="Times New Roman" w:eastAsia="Times New Roman" w:hAnsi="Times New Roman"/>
            <w:color w:val="1155CC"/>
            <w:sz w:val="22"/>
            <w:szCs w:val="22"/>
            <w:u w:val="single"/>
          </w:rPr>
          <w:t xml:space="preserve">Rockingweb.com.au — 92% of Micro SaaS Fail Within 18 Months (2025 Survival Data)</w:t>
        </w:r>
      </w:hyperlink>
    </w:p>
    <w:p>
      <w:pPr>
        <w:spacing w:after="60"/>
      </w:pPr>
      <w:r>
        <w:rPr>
          <w:rFonts w:ascii="Times New Roman" w:cs="Times New Roman" w:eastAsia="Times New Roman" w:hAnsi="Times New Roman"/>
          <w:color w:val="1F2937"/>
          <w:sz w:val="22"/>
          <w:szCs w:val="22"/>
        </w:rPr>
        <w:t xml:space="preserve">→ </w:t>
      </w:r>
      <w:hyperlink w:history="1" r:id="rIdxizgymbiagou-azbnmi6f">
        <w:r>
          <w:rPr>
            <w:rFonts w:ascii="Times New Roman" w:cs="Times New Roman" w:eastAsia="Times New Roman" w:hAnsi="Times New Roman"/>
            <w:color w:val="1155CC"/>
            <w:sz w:val="22"/>
            <w:szCs w:val="22"/>
            <w:u w:val="single"/>
          </w:rPr>
          <w:t xml:space="preserve">Rockingweb.com.au — 1,000 Micro SaaS Analysed: Real Revenue Data (2025 Study)</w:t>
        </w:r>
      </w:hyperlink>
    </w:p>
    <w:p>
      <w:pPr>
        <w:spacing w:after="60"/>
      </w:pPr>
      <w:r>
        <w:rPr>
          <w:rFonts w:ascii="Times New Roman" w:cs="Times New Roman" w:eastAsia="Times New Roman" w:hAnsi="Times New Roman"/>
          <w:color w:val="1F2937"/>
          <w:sz w:val="22"/>
          <w:szCs w:val="22"/>
        </w:rPr>
        <w:t xml:space="preserve">→ </w:t>
      </w:r>
      <w:hyperlink w:history="1" r:id="rId3gqkhdfwml47lvxtk6v_j">
        <w:r>
          <w:rPr>
            <w:rFonts w:ascii="Times New Roman" w:cs="Times New Roman" w:eastAsia="Times New Roman" w:hAnsi="Times New Roman"/>
            <w:color w:val="1155CC"/>
            <w:sz w:val="22"/>
            <w:szCs w:val="22"/>
            <w:u w:val="single"/>
          </w:rPr>
          <w:t xml:space="preserve">Indie Hackers — Témoignages et revenus déclarés par des fondateurs solo</w:t>
        </w:r>
      </w:hyperlink>
    </w:p>
    <w:p>
      <w:pPr>
        <w:spacing w:after="100"/>
      </w:pPr>
      <w:r>
        <w:t xml:space="preserve"/>
      </w:r>
    </w:p>
    <w:p>
      <w:pPr>
        <w:spacing w:after="80"/>
      </w:pPr>
      <w:r>
        <w:rPr>
          <w:rFonts w:ascii="Times New Roman" w:cs="Times New Roman" w:eastAsia="Times New Roman" w:hAnsi="Times New Roman"/>
          <w:color w:val="1F2937"/>
          <w:sz w:val="22"/>
          <w:szCs w:val="22"/>
        </w:rPr>
        <w:t xml:space="preserve">Coûts des outils no-code :</w:t>
      </w:r>
    </w:p>
    <w:p>
      <w:pPr>
        <w:spacing w:after="60"/>
      </w:pPr>
      <w:r>
        <w:rPr>
          <w:rFonts w:ascii="Times New Roman" w:cs="Times New Roman" w:eastAsia="Times New Roman" w:hAnsi="Times New Roman"/>
          <w:color w:val="1F2937"/>
          <w:sz w:val="22"/>
          <w:szCs w:val="22"/>
        </w:rPr>
        <w:t xml:space="preserve">→ </w:t>
      </w:r>
      <w:hyperlink w:history="1" r:id="rIdipbltxg1zd-tnmen0gefw">
        <w:r>
          <w:rPr>
            <w:rFonts w:ascii="Times New Roman" w:cs="Times New Roman" w:eastAsia="Times New Roman" w:hAnsi="Times New Roman"/>
            <w:color w:val="1155CC"/>
            <w:sz w:val="22"/>
            <w:szCs w:val="22"/>
            <w:u w:val="single"/>
          </w:rPr>
          <w:t xml:space="preserve">Parseur.com — Comparatif Zapier vs Make.com vs n8n (tarifs et fonctionnalités, 2026)</w:t>
        </w:r>
      </w:hyperlink>
    </w:p>
    <w:p>
      <w:pPr>
        <w:spacing w:after="60"/>
      </w:pPr>
      <w:r>
        <w:rPr>
          <w:rFonts w:ascii="Times New Roman" w:cs="Times New Roman" w:eastAsia="Times New Roman" w:hAnsi="Times New Roman"/>
          <w:color w:val="1F2937"/>
          <w:sz w:val="22"/>
          <w:szCs w:val="22"/>
        </w:rPr>
        <w:t xml:space="preserve">→ </w:t>
      </w:r>
      <w:hyperlink w:history="1" r:id="rIdstripepricing20260911">
        <w:r>
          <w:rPr>
            <w:rFonts w:ascii="Times New Roman" w:cs="Times New Roman" w:eastAsia="Times New Roman" w:hAnsi="Times New Roman"/>
            <w:color w:val="1155CC"/>
            <w:sz w:val="22"/>
            <w:szCs w:val="22"/>
            <w:u w:val="single"/>
          </w:rPr>
          <w:t xml:space="preserve">Stripe — Tarifs France et EEE (la grille complète : cartes standard, premium, britanniques, internationales)</w:t>
        </w:r>
      </w:hyperlink>
      <w:r>
        <w:rPr>
          <w:rFonts w:ascii="Times New Roman" w:cs="Times New Roman" w:eastAsia="Times New Roman" w:hAnsi="Times New Roman"/>
          <w:color w:val="1F2937"/>
          <w:sz w:val="22"/>
          <w:szCs w:val="22"/>
        </w:rPr>
        <w:t xml:space="preserve"> — AJOUTÉE LE 11/09/2026. Cette page était nommée « la source primaire » dans le corps de la leçon depuis le 06/09, et ne figurait dans aucune des huit ressources — alors que les quatre taux qu'elle porte alimentent les quatre calculs de l'exercice, et que c'est sur elle que s'appuie la correction ④ du journal. Retestée le 11/09/2026 : HTTP 200, 44 506 caractères utiles, les valeurs citées y figurent.</w:t>
      </w:r>
    </w:p>
    <w:p>
      <w:pPr>
        <w:spacing w:after="100"/>
      </w:pPr>
      <w:r>
        <w:t xml:space="preserve"/>
      </w:r>
    </w:p>
    <w:p>
      <w:pPr>
        <w:spacing w:after="80"/>
      </w:pPr>
      <w:r>
        <w:rPr>
          <w:rFonts w:ascii="Times New Roman" w:cs="Times New Roman" w:eastAsia="Times New Roman" w:hAnsi="Times New Roman"/>
          <w:color w:val="1F2937"/>
          <w:sz w:val="22"/>
          <w:szCs w:val="22"/>
        </w:rPr>
        <w:t xml:space="preserve">Protection et arnaques :</w:t>
      </w:r>
    </w:p>
    <w:p>
      <w:pPr>
        <w:spacing w:after="60"/>
      </w:pPr>
      <w:r>
        <w:rPr>
          <w:rFonts w:ascii="Times New Roman" w:cs="Times New Roman" w:eastAsia="Times New Roman" w:hAnsi="Times New Roman"/>
          <w:color w:val="1F2937"/>
          <w:sz w:val="22"/>
          <w:szCs w:val="22"/>
        </w:rPr>
        <w:t xml:space="preserve">→ </w:t>
      </w:r>
      <w:hyperlink w:history="1" r:id="rIdfngdpre9zdicqmretvgxl">
        <w:r>
          <w:rPr>
            <w:rFonts w:ascii="Times New Roman" w:cs="Times New Roman" w:eastAsia="Times New Roman" w:hAnsi="Times New Roman"/>
            <w:color w:val="1155CC"/>
            <w:sz w:val="22"/>
            <w:szCs w:val="22"/>
            <w:u w:val="single"/>
          </w:rPr>
          <w:t xml:space="preserve">AMF France — Espace épargnants (mises en garde et listes noires)</w:t>
        </w:r>
      </w:hyperlink>
    </w:p>
    <w:p>
      <w:pPr>
        <w:spacing w:after="60"/>
      </w:pPr>
      <w:r>
        <w:rPr>
          <w:rFonts w:ascii="Times New Roman" w:cs="Times New Roman" w:eastAsia="Times New Roman" w:hAnsi="Times New Roman"/>
          <w:color w:val="1F2937"/>
          <w:sz w:val="22"/>
          <w:szCs w:val="22"/>
        </w:rPr>
        <w:t xml:space="preserve">→ </w:t>
      </w:r>
      <w:hyperlink w:history="1" r:id="rIdtxgrxtmvmwbwwysaf7cgb">
        <w:r>
          <w:rPr>
            <w:rFonts w:ascii="Times New Roman" w:cs="Times New Roman" w:eastAsia="Times New Roman" w:hAnsi="Times New Roman"/>
            <w:color w:val="1155CC"/>
            <w:sz w:val="22"/>
            <w:szCs w:val="22"/>
            <w:u w:val="single"/>
          </w:rPr>
          <w:t xml:space="preserve">AMF France — Quelles sont les arnaques les plus courantes ? (PDF officiel)</w:t>
        </w:r>
      </w:hyperlink>
    </w:p>
    <w:p>
      <w:pPr>
        <w:spacing w:after="100"/>
      </w:pPr>
      <w:r>
        <w:t xml:space="preserve"/>
      </w:r>
    </w:p>
    <w:p>
      <w:pPr>
        <w:spacing w:after="80"/>
      </w:pPr>
      <w:r>
        <w:rPr>
          <w:rFonts w:ascii="Times New Roman" w:cs="Times New Roman" w:eastAsia="Times New Roman" w:hAnsi="Times New Roman"/>
          <w:color w:val="1F2937"/>
          <w:sz w:val="22"/>
          <w:szCs w:val="22"/>
        </w:rPr>
        <w:t xml:space="preserve">Réglementation française (statuts et fiscalité) :</w:t>
      </w:r>
    </w:p>
    <w:p>
      <w:pPr>
        <w:spacing w:after="60"/>
      </w:pPr>
      <w:r>
        <w:rPr>
          <w:rFonts w:ascii="Times New Roman" w:cs="Times New Roman" w:eastAsia="Times New Roman" w:hAnsi="Times New Roman"/>
          <w:color w:val="1F2937"/>
          <w:sz w:val="22"/>
          <w:szCs w:val="22"/>
        </w:rPr>
        <w:t xml:space="preserve">→ </w:t>
      </w:r>
      <w:hyperlink w:history="1" r:id="rIdfce1ax8vyvyu5l4cmum8g">
        <w:r>
          <w:rPr>
            <w:rFonts w:ascii="Times New Roman" w:cs="Times New Roman" w:eastAsia="Times New Roman" w:hAnsi="Times New Roman"/>
            <w:color w:val="1155CC"/>
            <w:sz w:val="22"/>
            <w:szCs w:val="22"/>
            <w:u w:val="single"/>
          </w:rPr>
          <w:t xml:space="preserve">Service-public.fr — Auto-entrepreneur : cotisations et régime fiscal (HTTP 200)</w:t>
        </w:r>
      </w:hyperlink>
    </w:p>
    <w:p>
      <w:pPr>
        <w:spacing w:after="60"/>
      </w:pPr>
      <w:r>
        <w:rPr>
          <w:rFonts w:ascii="Times New Roman" w:cs="Times New Roman" w:eastAsia="Times New Roman" w:hAnsi="Times New Roman"/>
          <w:color w:val="1F2937"/>
          <w:sz w:val="22"/>
          <w:szCs w:val="22"/>
        </w:rPr>
        <w:t xml:space="preserve">→ </w:t>
      </w:r>
      <w:hyperlink w:history="1" r:id="rId5snxgr5ghz0l-m0otd8eo">
        <w:r>
          <w:rPr>
            <w:rFonts w:ascii="Times New Roman" w:cs="Times New Roman" w:eastAsia="Times New Roman" w:hAnsi="Times New Roman"/>
            <w:color w:val="1155CC"/>
            <w:sz w:val="22"/>
            <w:szCs w:val="22"/>
            <w:u w:val="single"/>
          </w:rPr>
          <w:t xml:space="preserve">Economie.gouv.fr — Devenir auto-entrepreneur (HTTP 403 — blocage anti-robot, page probablement accessible en navigation normale)</w:t>
        </w:r>
      </w:hyperlink>
    </w:p>
    <w:p>
      <w:pPr>
        <w:spacing w:after="10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Cinq corrections apportées le jour même de la production, après relecture des sources primaires. Les formulations d’origine sont conservées ci-dessous : une erreur effacée ne s’apprend pas.</w:t>
      </w:r>
    </w:p>
    <w:p>
      <w:pPr>
        <w:spacing w:after="80"/>
      </w:pPr>
      <w:r>
        <w:rPr>
          <w:rFonts w:ascii="Times New Roman" w:cs="Times New Roman" w:eastAsia="Times New Roman" w:hAnsi="Times New Roman"/>
          <w:color w:val="1F2937"/>
          <w:sz w:val="22"/>
          <w:szCs w:val="22"/>
        </w:rPr>
        <w:t xml:space="preserve">① Taux d’échec — Texte d’origine : « 92 % des micro-SaaS échouent dans les 18 premiers mois ». C’est le titre de l’article cité, que son propre corps contredit : il y est écrit « 92% of SaaS startups die within 3 years » et « 45% of all startup failures occur between months 18-24 ». Le titre avait été recopié sans que le texte soit ouvert. Corrigé sur le corps.</w:t>
      </w:r>
    </w:p>
    <w:p>
      <w:pPr>
        <w:spacing w:after="80"/>
      </w:pPr>
      <w:r>
        <w:rPr>
          <w:rFonts w:ascii="Times New Roman" w:cs="Times New Roman" w:eastAsia="Times New Roman" w:hAnsi="Times New Roman"/>
          <w:color w:val="1F2937"/>
          <w:sz w:val="22"/>
          <w:szCs w:val="22"/>
        </w:rPr>
        <w:t xml:space="preserve">② Distribution des revenus — Texte d’origine : « 30 % n’atteignent jamais 1 000 $/mois | 50 % plafonnent entre 1 000 $ et 10 000 $ | 15 % atteignent 10 000–100 000 $ | 5 % dépassent 100 000 $ ». Aucune de ces quatre tranches ne figure dans la source citée : la page donne 70 % sous 1 000 $, 18 % entre 1 000 et 5 000 $, 1 à 2 % au-dessus de 50 000 $ — d’autres bornes et d’autres proportions. Une distribution complète avait donc été fabriquée, puis attribuée nommément à un tiers. Remplacée par les chiffres relevés.</w:t>
      </w:r>
    </w:p>
    <w:p>
      <w:pPr>
        <w:spacing w:after="80"/>
      </w:pPr>
      <w:r>
        <w:rPr>
          <w:rFonts w:ascii="Times New Roman" w:cs="Times New Roman" w:eastAsia="Times New Roman" w:hAnsi="Times New Roman"/>
          <w:color w:val="1F2937"/>
          <w:sz w:val="22"/>
          <w:szCs w:val="22"/>
        </w:rPr>
        <w:t xml:space="preserve">③ Contradiction interne — Le texte d’origine annonçait 30 % sous 1 000 $/mois dans la distribution, puis 70 % sous le même seuil deux lignes plus bas, en précisant « même source ». Les deux ne pouvaient pas être vrais. Vérification faite, c’est la ligne des 70 % qui était fidèle. La contradiction se voyait sans consulter quoi que ce soit : deux chiffres incompatibles publiés à deux lignes d’écart.</w:t>
      </w:r>
    </w:p>
    <w:p>
      <w:pPr>
        <w:spacing w:after="80"/>
      </w:pPr>
      <w:r>
        <w:rPr>
          <w:rFonts w:ascii="Times New Roman" w:cs="Times New Roman" w:eastAsia="Times New Roman" w:hAnsi="Times New Roman"/>
          <w:color w:val="1F2937"/>
          <w:sz w:val="22"/>
          <w:szCs w:val="22"/>
        </w:rPr>
        <w:t xml:space="preserve">④ Tarification Stripe — Texte d’origine : « Le taux monte à 2,5 % + 0,25 € pour les cartes hors EEE », d’après un comparatif tiers. 2,5 % est le tarif des cartes britanniques ; les cartes internationales sont à 3,15 % et les cartes premium de l’EEE à 2,8 %, toutes deux absentes. La leçon écrivait pourtant elle-même qu’il fallait vérifier sur stripe.com/fr/pricing : la consigne était rédigée, pas appliquée. Grille complète relevée sur la page officielle.</w:t>
      </w:r>
    </w:p>
    <w:p>
      <w:pPr>
        <w:spacing w:after="80"/>
      </w:pPr>
      <w:r>
        <w:rPr>
          <w:rFonts w:ascii="Times New Roman" w:cs="Times New Roman" w:eastAsia="Times New Roman" w:hAnsi="Times New Roman"/>
          <w:color w:val="1F2937"/>
          <w:sz w:val="22"/>
          <w:szCs w:val="22"/>
        </w:rPr>
        <w:t xml:space="preserve">⑤ Tarif Zapier — Texte d’origine : « 19,99 $/mois (Professional) », sans condition. C’est le montant affiché par défaut sur zapier.com/pricing, dont le sélecteur est positionné sur « Pay yearly (Save 33%) » : il suppose un engagement annuel. La condition est désormais écrite. Sans effet sur les calculs, qui reposent sur Make à 9 $.</w:t>
      </w:r>
    </w:p>
    <w:p>
      <w:pPr>
        <w:spacing w:after="80"/>
      </w:pPr>
      <w:r>
        <w:rPr>
          <w:rFonts w:ascii="Times New Roman" w:cs="Times New Roman" w:eastAsia="Times New Roman" w:hAnsi="Times New Roman"/>
          <w:color w:val="1F2937"/>
          <w:sz w:val="22"/>
          <w:szCs w:val="22"/>
        </w:rPr>
        <w:t xml:space="preserve">Ce que ces cinq points ont en commun : aucun ne portait sur un raisonnement. Toute l’arithmétique de la leçon — seuil de couverture, frais par abonné, marge à 30 abonnés, table de churn sur six mois — a été refaite et s’est révélée exacte. Ce qui a cédé, c’est le lien entre un chiffre et sa source : un titre pris pour un contenu, une distribution inventée, une grille tarifaire réduite de quatre lignes à deux, un prix promotionnel donné pour un prix. Un chiffre juste dans un calcul ne prouve rien sur son origine.</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Prochaine leçon — n°08 : Les outils par type de business (1/2)</w:t>
      </w:r>
    </w:p>
    <w:p>
      <w:pPr>
        <w:spacing w:after="80"/>
      </w:pPr>
      <w:r>
        <w:rPr>
          <w:rFonts w:ascii="Times New Roman" w:cs="Times New Roman" w:eastAsia="Times New Roman" w:hAnsi="Times New Roman"/>
          <w:color w:val="1F2937"/>
          <w:sz w:val="22"/>
          <w:szCs w:val="22"/>
        </w:rPr>
        <w:t xml:space="preserve">La leçon 08 cartographiera les outils concrets selon le type de revenu passif ciblé : création de contenu, hébergement, paiement, distribution. Pour chaque catégorie, nous comparerons les coûts réels, les alternatives gratuites et les arbitrages à faire selon votre modèle.</w:t>
      </w:r>
    </w:p>
    <w:p>
      <w:pPr>
        <w:spacing w:after="80"/>
      </w:pPr>
      <w:r>
        <w:rPr>
          <w:rFonts w:ascii="Times New Roman" w:cs="Times New Roman" w:eastAsia="Times New Roman" w:hAnsi="Times New Roman"/>
          <w:color w:val="1F2937"/>
          <w:sz w:val="22"/>
          <w:szCs w:val="22"/>
        </w:rPr>
        <w:t xml:space="preserve">Objectif : construire votre stack personnalisée avec un budget estimé réaliste, adapté au modèle défini dans le Challenge de cette leçon.</w:t>
      </w:r>
    </w:p>
    <w:p>
      <w:pPr>
        <w:spacing w:after="100"/>
      </w:pPr>
      <w:r>
        <w:t xml:space="preserve"/>
      </w:r>
    </w:p>
    <w:p>
      <w:pPr>
        <w:pBdr>
          <w:bottom w:val="single" w:color="E5E7EB" w:sz="4"/>
        </w:pBdr>
        <w:spacing w:after="120" w:before="120"/>
      </w:pPr>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Leçon produite le 06/09/2026 et corrigée le jour même, relue le 11/09/2026 par le test d'attribution des pages. UNE correction.</w:t>
      </w:r>
    </w:p>
    <w:p>
      <w:pPr>
        <w:spacing w:after="80"/>
      </w:pPr>
      <w:r>
        <w:rPr>
          <w:rFonts w:ascii="Times New Roman" w:cs="Times New Roman" w:eastAsia="Times New Roman" w:hAnsi="Times New Roman"/>
          <w:color w:val="1F2937"/>
          <w:sz w:val="22"/>
          <w:szCs w:val="22"/>
        </w:rPr>
        <w:t xml:space="preserve">① La source primaire des tarifs était nommée, jamais publiée. Le corps de la leçon écrivait « grille relevée sur la source primaire stripe.com/fr/pricing le 06/09/2026 », puis en tirait quatre lignes de tarifs — 1,5 % + 0,25 € pour les cartes standard de l'EEE, 2,8 % pour les premium de l'EEE, 2,5 % pour les britanniques, 3,15 % pour les internationales. Ces quatre taux alimentent les quatre calculs de l'exercice de rentabilité. Et la page ne figurait dans AUCUNE des huit ressources : un lecteur voulant recalculer devait la chercher lui-même. Nommer une source, c'est s'engager à la rendre vérifiable — la nommer « primaire » redouble cet engagement.</w:t>
      </w:r>
    </w:p>
    <w:p>
      <w:pPr>
        <w:spacing w:after="80"/>
      </w:pPr>
      <w:r>
        <w:rPr>
          <w:rFonts w:ascii="Times New Roman" w:cs="Times New Roman" w:eastAsia="Times New Roman" w:hAnsi="Times New Roman"/>
          <w:color w:val="1F2937"/>
          <w:sz w:val="22"/>
          <w:szCs w:val="22"/>
        </w:rPr>
        <w:t xml:space="preserve">Circonstance aggravante, et c'est ce qui rend ce cas intéressant : c'est SUR CETTE PAGE que s'appuie la correction ④ du journal du 06/09, celle qui rectifiait un taux repris d'un comparatif tiers. La source qui a servi à corriger n'avait pas été publiée. Le journal note d'ailleurs, à propos de la version d'origine : « La leçon écrivait pourtant elle-même qu'il fallait vérifier sur stripe.com/fr/pricing : la consigne était rédigée, pas appliquée. » Elle a fini par être appliquée, et par produire la bonne grille ; ce qui manquait encore était l'adresse.</w:t>
      </w:r>
    </w:p>
    <w:p>
      <w:pPr>
        <w:spacing w:after="80"/>
      </w:pPr>
      <w:r>
        <w:rPr>
          <w:rFonts w:ascii="Times New Roman" w:cs="Times New Roman" w:eastAsia="Times New Roman" w:hAnsi="Times New Roman"/>
          <w:color w:val="1F2937"/>
          <w:sz w:val="22"/>
          <w:szCs w:val="22"/>
        </w:rPr>
        <w:t xml:space="preserve">Ce qui a été fait. La page est ajoutée aux Ressources, dans le groupe « coûts des outils no-code », avec sa date de test propre — les huit autres URL portent la date du 06/09/2026, celle-ci celle du 11/09/2026. Retestée à cette occasion : HTTP 200, 44 506 caractères utiles, et les valeurs citées y figurent bien (1,5 · 2,8 · 0,25 · EEE). Le renvoi du corps signale que l'adresse manquait.</w:t>
      </w:r>
    </w:p>
    <w:p>
      <w:pPr>
        <w:spacing w:after="80"/>
      </w:pPr>
      <w:r>
        <w:rPr>
          <w:rFonts w:ascii="Times New Roman" w:cs="Times New Roman" w:eastAsia="Times New Roman" w:hAnsi="Times New Roman"/>
          <w:color w:val="1F2937"/>
          <w:sz w:val="22"/>
          <w:szCs w:val="22"/>
        </w:rPr>
        <w:t xml:space="preserve">Vérifié lors de cette relecture et inchangé. Les huit URL d'origine répondent comme annoncé, y compris le 403 d'economie.gouv.fr, correctement signalé comme un blocage anti-robot et non comme une page morte. Le PDF de l'AMF est une ressource légitime, mais aucun test automatique ne peut y confirmer une citation : il est désormais déclaré comme non analysable. Aucune autre page n'est nommée dans le corps sans figurer dans les ressources.</w:t>
      </w:r>
    </w:p>
    <w:p>
      <w:pPr>
        <w:jc w:val="center"/>
      </w:pPr>
      <w:r>
        <w:rPr>
          <w:rFonts w:ascii="Times New Roman" w:cs="Times New Roman" w:eastAsia="Times New Roman" w:hAnsi="Times New Roman"/>
          <w:i/>
          <w:iCs/>
          <w:color w:val="9CA3AF"/>
          <w:sz w:val="18"/>
          <w:szCs w:val="18"/>
        </w:rPr>
        <w:t xml:space="preserve">Parcours Revenus passifs — Leçon 07 / 10 — Usage éducatif et personnel exclusivement. Sans valeur de conseil en investissement. Pour toute décision financière, consulter un professionnel agréé (statut CIF, registre ORIAS).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ztolufr6ov_kzprtpak" Type="http://schemas.openxmlformats.org/officeDocument/2006/relationships/hyperlink" Target="https://www.rockingweb.com.au/18-month-rule-micro-saas-startup-failure-analysis/" TargetMode="External"/><Relationship Id="rIdxizgymbiagou-azbnmi6f" Type="http://schemas.openxmlformats.org/officeDocument/2006/relationships/hyperlink" Target="https://www.rockingweb.com.au/micro-saas-revenue-analysis-2025/" TargetMode="External"/><Relationship Id="rId3gqkhdfwml47lvxtk6v_j" Type="http://schemas.openxmlformats.org/officeDocument/2006/relationships/hyperlink" Target="https://www.indiehackers.com/" TargetMode="External"/><Relationship Id="rIdipbltxg1zd-tnmen0gefw" Type="http://schemas.openxmlformats.org/officeDocument/2006/relationships/hyperlink" Target="https://parseur.com/blog/zapier-n8n-make" TargetMode="External"/><Relationship Id="rIdfngdpre9zdicqmretvgxl" Type="http://schemas.openxmlformats.org/officeDocument/2006/relationships/hyperlink" Target="https://www.amf-france.org/fr/espace-epargnants" TargetMode="External"/><Relationship Id="rIdtxgrxtmvmwbwwysaf7cgb" Type="http://schemas.openxmlformats.org/officeDocument/2006/relationships/hyperlink" Target="https://www.amf-france.org/sites/institutionnel/files/pdf/59187/fr/Quelles_sont_les_arnaques_les_plus_courantes_.pdf" TargetMode="External"/><Relationship Id="rIdfce1ax8vyvyu5l4cmum8g" Type="http://schemas.openxmlformats.org/officeDocument/2006/relationships/hyperlink" Target="https://www.service-public.fr/professionnels-entreprises/vosdroits/F23267" TargetMode="External"/><Relationship Id="rId5snxgr5ghz0l-m0otd8eo" Type="http://schemas.openxmlformats.org/officeDocument/2006/relationships/hyperlink" Target="https://www.economie.gouv.fr/entreprises/auto-entrepreneur-micro-entrepreneur" TargetMode="External"/><Relationship Id="rId15" Type="http://schemas.openxmlformats.org/officeDocument/2006/relationships/fontTable" Target="fontTable.xml"/><Relationship Id="rIdstripepricing20260911" Type="http://schemas.openxmlformats.org/officeDocument/2006/relationships/hyperlink" Target="https://stripe.com/fr/pricing"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2026-09-06T05:20:15.764Z</dcterms:created>
  <dcterms:modified xsi:type="dcterms:W3CDTF">2026-09-06T05:20:15.781Z</dcterms:modified>
</cp:coreProperties>
</file>

<file path=docProps/custom.xml><?xml version="1.0" encoding="utf-8"?>
<Properties xmlns="http://schemas.openxmlformats.org/officeDocument/2006/custom-properties" xmlns:vt="http://schemas.openxmlformats.org/officeDocument/2006/docPropsVTypes"/>
</file>