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B3A6B"/>
          <w:sz w:val="36"/>
          <w:szCs w:val="36"/>
        </w:rPr>
        <w:t xml:space="preserve">Veille RBPP — Le Projet Personnalisé d’Accompagnement (PPA)</w:t>
      </w:r>
    </w:p>
    <w:p>
      <w:pPr>
        <w:spacing w:after="80"/>
        <w:jc w:val="center"/>
      </w:pPr>
      <w:r>
        <w:rPr>
          <w:rFonts w:ascii="Calibri" w:cs="Calibri" w:eastAsia="Calibri" w:hAnsi="Calibri"/>
          <w:i/>
          <w:iCs/>
          <w:color w:val="6B7280"/>
          <w:sz w:val="20"/>
          <w:szCs w:val="20"/>
        </w:rPr>
        <w:t xml:space="preserve">6 avril 2026</w:t>
      </w:r>
    </w:p>
    <w:p>
      <w:pPr>
        <w:pBdr>
          <w:bottom w:val="single" w:color="E5E7EB" w:sz="6" w:space="0"/>
        </w:pBdr>
        <w:spacing w:after="100" w:before="100"/>
      </w:pPr>
    </w:p>
    <w:p>
      <w:pPr>
        <w:spacing w:after="80" w:before="240"/>
      </w:pPr>
      <w:r>
        <w:rPr>
          <w:rFonts w:ascii="Calibri" w:cs="Calibri" w:eastAsia="Calibri" w:hAnsi="Calibri"/>
          <w:b/>
          <w:bCs/>
          <w:color w:val="1B3A6B"/>
          <w:sz w:val="28"/>
          <w:szCs w:val="28"/>
        </w:rPr>
        <w:t xml:space="preserve">Sources analysées</w:t>
      </w:r>
    </w:p>
    <w:tbl>
      <w:tblPr>
        <w:tblW w:type="dxa" w:w="10906"/>
        <w:tblBorders>
          <w:top w:val="single" w:color="auto" w:sz="4"/>
          <w:left w:val="single" w:color="auto" w:sz="4"/>
          <w:bottom w:val="single" w:color="auto" w:sz="4"/>
          <w:right w:val="single" w:color="auto" w:sz="4"/>
          <w:insideH w:val="single" w:color="auto" w:sz="4"/>
          <w:insideV w:val="single" w:color="auto" w:sz="4"/>
        </w:tblBorders>
      </w:tblPr>
      <w:tblGrid>
        <w:gridCol w:w="1800"/>
        <w:gridCol w:w="5500"/>
        <w:gridCol w:w="2000"/>
        <w:gridCol w:w="1200"/>
      </w:tblGrid>
      <w:tr>
        <w:tc>
          <w:tcPr>
            <w:tcW w:type="dxa" w:w="1800"/>
            <w:tcBorders>
              <w:top w:val="single" w:color="000000" w:sz="4"/>
              <w:left w:val="single" w:color="000000" w:sz="4"/>
              <w:bottom w:val="single" w:color="000000" w:sz="4"/>
              <w:right w:val="single" w:color="000000" w:sz="4"/>
            </w:tcBorders>
            <w:shd w:fill="1B3A6B" w:val="clear"/>
            <w:tcMar>
              <w:top w:type="dxa" w:w="40"/>
              <w:left w:type="dxa" w:w="100"/>
              <w:bottom w:type="dxa" w:w="40"/>
              <w:right w:type="dxa" w:w="100"/>
            </w:tcMar>
          </w:tcPr>
          <w:p>
            <w:r>
              <w:rPr>
                <w:rFonts w:ascii="Calibri" w:cs="Calibri" w:eastAsia="Calibri" w:hAnsi="Calibri"/>
                <w:b/>
                <w:bCs/>
                <w:color w:val="FFFFFF"/>
                <w:sz w:val="20"/>
                <w:szCs w:val="20"/>
              </w:rPr>
              <w:t xml:space="preserve">Auteur</w:t>
            </w:r>
          </w:p>
        </w:tc>
        <w:tc>
          <w:tcPr>
            <w:tcW w:type="dxa" w:w="5500"/>
            <w:tcBorders>
              <w:top w:val="single" w:color="000000" w:sz="4"/>
              <w:left w:val="single" w:color="000000" w:sz="4"/>
              <w:bottom w:val="single" w:color="000000" w:sz="4"/>
              <w:right w:val="single" w:color="000000" w:sz="4"/>
            </w:tcBorders>
            <w:shd w:fill="1B3A6B" w:val="clear"/>
            <w:tcMar>
              <w:top w:type="dxa" w:w="40"/>
              <w:left w:type="dxa" w:w="100"/>
              <w:bottom w:type="dxa" w:w="40"/>
              <w:right w:type="dxa" w:w="100"/>
            </w:tcMar>
          </w:tcPr>
          <w:p>
            <w:r>
              <w:rPr>
                <w:rFonts w:ascii="Calibri" w:cs="Calibri" w:eastAsia="Calibri" w:hAnsi="Calibri"/>
                <w:b/>
                <w:bCs/>
                <w:color w:val="FFFFFF"/>
                <w:sz w:val="20"/>
                <w:szCs w:val="20"/>
              </w:rPr>
              <w:t xml:space="preserve">Titre</w:t>
            </w:r>
          </w:p>
        </w:tc>
        <w:tc>
          <w:tcPr>
            <w:tcW w:type="dxa" w:w="2000"/>
            <w:tcBorders>
              <w:top w:val="single" w:color="000000" w:sz="4"/>
              <w:left w:val="single" w:color="000000" w:sz="4"/>
              <w:bottom w:val="single" w:color="000000" w:sz="4"/>
              <w:right w:val="single" w:color="000000" w:sz="4"/>
            </w:tcBorders>
            <w:shd w:fill="1B3A6B" w:val="clear"/>
            <w:tcMar>
              <w:top w:type="dxa" w:w="40"/>
              <w:left w:type="dxa" w:w="100"/>
              <w:bottom w:type="dxa" w:w="40"/>
              <w:right w:type="dxa" w:w="100"/>
            </w:tcMar>
          </w:tcPr>
          <w:p>
            <w:r>
              <w:rPr>
                <w:rFonts w:ascii="Calibri" w:cs="Calibri" w:eastAsia="Calibri" w:hAnsi="Calibri"/>
                <w:b/>
                <w:bCs/>
                <w:color w:val="FFFFFF"/>
                <w:sz w:val="20"/>
                <w:szCs w:val="20"/>
              </w:rPr>
              <w:t xml:space="preserve">Date</w:t>
            </w:r>
          </w:p>
        </w:tc>
        <w:tc>
          <w:tcPr>
            <w:tcW w:type="dxa" w:w="1200"/>
            <w:tcBorders>
              <w:top w:val="single" w:color="000000" w:sz="4"/>
              <w:left w:val="single" w:color="000000" w:sz="4"/>
              <w:bottom w:val="single" w:color="000000" w:sz="4"/>
              <w:right w:val="single" w:color="000000" w:sz="4"/>
            </w:tcBorders>
            <w:shd w:fill="1B3A6B" w:val="clear"/>
            <w:tcMar>
              <w:top w:type="dxa" w:w="40"/>
              <w:left w:type="dxa" w:w="100"/>
              <w:bottom w:type="dxa" w:w="40"/>
              <w:right w:type="dxa" w:w="100"/>
            </w:tcMar>
          </w:tcPr>
          <w:p>
            <w:r>
              <w:rPr>
                <w:rFonts w:ascii="Calibri" w:cs="Calibri" w:eastAsia="Calibri" w:hAnsi="Calibri"/>
                <w:b/>
                <w:bCs/>
                <w:color w:val="FFFFFF"/>
                <w:sz w:val="20"/>
                <w:szCs w:val="20"/>
              </w:rPr>
              <w:t xml:space="preserve">Statut</w:t>
            </w:r>
          </w:p>
        </w:tc>
      </w:tr>
      <w:tr>
        <w:tc>
          <w:tcPr>
            <w:tcW w:type="dxa" w:w="18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ANESM</w:t>
            </w:r>
          </w:p>
        </w:tc>
        <w:tc>
          <w:tcPr>
            <w:tcW w:type="dxa" w:w="55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Les attentes de la personne et le projet personnalisé — RBPP principale</w:t>
            </w:r>
          </w:p>
        </w:tc>
        <w:tc>
          <w:tcPr>
            <w:tcW w:type="dxa" w:w="20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Décembre 2008</w:t>
            </w:r>
          </w:p>
        </w:tc>
        <w:tc>
          <w:tcPr>
            <w:tcW w:type="dxa" w:w="12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w:t>
            </w:r>
          </w:p>
        </w:tc>
      </w:tr>
      <w:tr>
        <w:tc>
          <w:tcPr>
            <w:tcW w:type="dxa" w:w="1800"/>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ANESM</w:t>
            </w:r>
          </w:p>
        </w:tc>
        <w:tc>
          <w:tcPr>
            <w:tcW w:type="dxa" w:w="5500"/>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Synthèse opérationnelle — Le projet personnalisé</w:t>
            </w:r>
          </w:p>
        </w:tc>
        <w:tc>
          <w:tcPr>
            <w:tcW w:type="dxa" w:w="2000"/>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Janvier 2012</w:t>
            </w:r>
          </w:p>
        </w:tc>
        <w:tc>
          <w:tcPr>
            <w:tcW w:type="dxa" w:w="1200"/>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w:t>
            </w:r>
          </w:p>
        </w:tc>
      </w:tr>
      <w:tr>
        <w:tc>
          <w:tcPr>
            <w:tcW w:type="dxa" w:w="18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ANESM</w:t>
            </w:r>
          </w:p>
        </w:tc>
        <w:tc>
          <w:tcPr>
            <w:tcW w:type="dxa" w:w="55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Lettre de cadrage — Contexte et méthodologie</w:t>
            </w:r>
          </w:p>
        </w:tc>
        <w:tc>
          <w:tcPr>
            <w:tcW w:type="dxa" w:w="20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2008</w:t>
            </w:r>
          </w:p>
        </w:tc>
        <w:tc>
          <w:tcPr>
            <w:tcW w:type="dxa" w:w="12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w:t>
            </w:r>
          </w:p>
        </w:tc>
      </w:tr>
      <w:tr>
        <w:tc>
          <w:tcPr>
            <w:tcW w:type="dxa" w:w="1800"/>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HAS</w:t>
            </w:r>
          </w:p>
        </w:tc>
        <w:tc>
          <w:tcPr>
            <w:tcW w:type="dxa" w:w="5500"/>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Note de cadrage — Structuration du PPA en vue de sa numérisation</w:t>
            </w:r>
          </w:p>
        </w:tc>
        <w:tc>
          <w:tcPr>
            <w:tcW w:type="dxa" w:w="2000"/>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Avril 2025</w:t>
            </w:r>
          </w:p>
        </w:tc>
        <w:tc>
          <w:tcPr>
            <w:tcW w:type="dxa" w:w="1200"/>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w:t>
            </w:r>
          </w:p>
        </w:tc>
      </w:tr>
    </w:tbl>
    <w:p>
      <w:pPr>
        <w:pBdr>
          <w:bottom w:val="single" w:color="E5E7EB" w:sz="6" w:space="0"/>
        </w:pBdr>
        <w:spacing w:after="100" w:before="100"/>
      </w:pPr>
    </w:p>
    <w:p>
      <w:pPr>
        <w:spacing w:after="80" w:before="240"/>
      </w:pPr>
      <w:r>
        <w:rPr>
          <w:rFonts w:ascii="Calibri" w:cs="Calibri" w:eastAsia="Calibri" w:hAnsi="Calibri"/>
          <w:b/>
          <w:bCs/>
          <w:color w:val="1B3A6B"/>
          <w:sz w:val="28"/>
          <w:szCs w:val="28"/>
        </w:rPr>
        <w:t xml:space="preserve">Résumé exécutif</w:t>
      </w:r>
    </w:p>
    <w:p>
      <w:pPr>
        <w:spacing w:after="40"/>
      </w:pPr>
      <w:r>
        <w:rPr>
          <w:rFonts w:ascii="Calibri" w:cs="Calibri" w:eastAsia="Calibri" w:hAnsi="Calibri"/>
          <w:color w:val="1F2937"/>
          <w:sz w:val="22"/>
          <w:szCs w:val="22"/>
        </w:rPr>
        <w:t xml:space="preserve">Le Projet Personnalisé d’Accompagnement (PPA) constitue la pierre angulaire de la démarche qualité dans les ESSMS. Ancré dans la loi 2002-2 rénovant l’action sociale et médico-sociale, il garantit que chaque personne accompagnée est actrice de son propre parcours, en co-construisant avec l’équipe pluridisciplinaire un projet qui reflète ses besoins, attentes et aspirations.</w:t>
      </w:r>
    </w:p>
    <w:p>
      <w:pPr>
        <w:spacing w:after="40"/>
      </w:pPr>
      <w:r>
        <w:rPr>
          <w:rFonts w:ascii="Calibri" w:cs="Calibri" w:eastAsia="Calibri" w:hAnsi="Calibri"/>
          <w:color w:val="1F2937"/>
          <w:sz w:val="22"/>
          <w:szCs w:val="22"/>
        </w:rPr>
        <w:t xml:space="preserve">La RBPP de l’ANESM (2008, 46 pages) structure cette démarche en 7 phases séquentielles et itératives : premiers contacts, analyse de la situation, co-construction, décision, mise en œuvre, co-évaluation et rédaction. La synthèse opérationnelle de 2012 en extrait les points clés à destination des équipes de terrain.</w:t>
      </w:r>
    </w:p>
    <w:p>
      <w:pPr>
        <w:spacing w:after="40"/>
      </w:pPr>
      <w:r>
        <w:rPr>
          <w:rFonts w:ascii="Calibri" w:cs="Calibri" w:eastAsia="Calibri" w:hAnsi="Calibri"/>
          <w:color w:val="1F2937"/>
          <w:sz w:val="22"/>
          <w:szCs w:val="22"/>
        </w:rPr>
        <w:t xml:space="preserve">En 2025, la HAS a été saisie par la DGCS, la DNS et la CNSA pour cadrer la numérisation du PPA dans le contexte du Ségur du numérique en santé. La validation est attendue pour 2026.</w:t>
      </w:r>
    </w:p>
    <w:p>
      <w:pPr>
        <w:pBdr>
          <w:bottom w:val="single" w:color="E5E7EB" w:sz="6" w:space="0"/>
        </w:pBdr>
        <w:spacing w:after="100" w:before="100"/>
      </w:pPr>
    </w:p>
    <w:p>
      <w:pPr>
        <w:spacing w:after="80" w:before="240"/>
      </w:pPr>
      <w:r>
        <w:rPr>
          <w:rFonts w:ascii="Calibri" w:cs="Calibri" w:eastAsia="Calibri" w:hAnsi="Calibri"/>
          <w:b/>
          <w:bCs/>
          <w:color w:val="1B3A6B"/>
          <w:sz w:val="28"/>
          <w:szCs w:val="28"/>
        </w:rPr>
        <w:t xml:space="preserve">Public cible</w:t>
      </w:r>
    </w:p>
    <w:tbl>
      <w:tblPr>
        <w:tblW w:type="dxa" w:w="10906"/>
        <w:tblBorders>
          <w:top w:val="single" w:color="auto" w:sz="4"/>
          <w:left w:val="single" w:color="auto" w:sz="4"/>
          <w:bottom w:val="single" w:color="auto" w:sz="4"/>
          <w:right w:val="single" w:color="auto" w:sz="4"/>
          <w:insideH w:val="single" w:color="auto" w:sz="4"/>
          <w:insideV w:val="single" w:color="auto" w:sz="4"/>
        </w:tblBorders>
      </w:tblPr>
      <w:tblGrid>
        <w:gridCol w:w="3500"/>
        <w:gridCol w:w="7406"/>
      </w:tblGrid>
      <w:tr>
        <w:tc>
          <w:tcPr>
            <w:tcW w:type="dxa" w:w="3500"/>
            <w:tcBorders>
              <w:top w:val="single" w:color="000000" w:sz="4"/>
              <w:left w:val="single" w:color="000000" w:sz="4"/>
              <w:bottom w:val="single" w:color="000000" w:sz="4"/>
              <w:right w:val="single" w:color="000000" w:sz="4"/>
            </w:tcBorders>
            <w:shd w:fill="1B3A6B" w:val="clear"/>
            <w:tcMar>
              <w:top w:type="dxa" w:w="40"/>
              <w:left w:type="dxa" w:w="100"/>
              <w:bottom w:type="dxa" w:w="40"/>
              <w:right w:type="dxa" w:w="100"/>
            </w:tcMar>
          </w:tcPr>
          <w:p>
            <w:r>
              <w:rPr>
                <w:rFonts w:ascii="Calibri" w:cs="Calibri" w:eastAsia="Calibri" w:hAnsi="Calibri"/>
                <w:b/>
                <w:bCs/>
                <w:color w:val="FFFFFF"/>
                <w:sz w:val="20"/>
                <w:szCs w:val="20"/>
              </w:rPr>
              <w:t xml:space="preserve">Type d’ESSMS</w:t>
            </w:r>
          </w:p>
        </w:tc>
        <w:tc>
          <w:tcPr>
            <w:tcW w:type="dxa" w:w="7406"/>
            <w:tcBorders>
              <w:top w:val="single" w:color="000000" w:sz="4"/>
              <w:left w:val="single" w:color="000000" w:sz="4"/>
              <w:bottom w:val="single" w:color="000000" w:sz="4"/>
              <w:right w:val="single" w:color="000000" w:sz="4"/>
            </w:tcBorders>
            <w:shd w:fill="1B3A6B" w:val="clear"/>
            <w:tcMar>
              <w:top w:type="dxa" w:w="40"/>
              <w:left w:type="dxa" w:w="100"/>
              <w:bottom w:type="dxa" w:w="40"/>
              <w:right w:type="dxa" w:w="100"/>
            </w:tcMar>
          </w:tcPr>
          <w:p>
            <w:r>
              <w:rPr>
                <w:rFonts w:ascii="Calibri" w:cs="Calibri" w:eastAsia="Calibri" w:hAnsi="Calibri"/>
                <w:b/>
                <w:bCs/>
                <w:color w:val="FFFFFF"/>
                <w:sz w:val="20"/>
                <w:szCs w:val="20"/>
              </w:rPr>
              <w:t xml:space="preserve">Pertinence</w:t>
            </w:r>
          </w:p>
        </w:tc>
      </w:tr>
      <w:tr>
        <w:tc>
          <w:tcPr>
            <w:tcW w:type="dxa" w:w="35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Foyer de Vie (FV)</w:t>
            </w:r>
          </w:p>
        </w:tc>
        <w:tc>
          <w:tcPr>
            <w:tcW w:type="dxa" w:w="74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Haute — PPA obligatoire, démarche d’autodétermination centrale</w:t>
            </w:r>
          </w:p>
        </w:tc>
      </w:tr>
      <w:tr>
        <w:tc>
          <w:tcPr>
            <w:tcW w:type="dxa" w:w="3500"/>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Foyer d’Accueil Médicalisé (FAM)</w:t>
            </w:r>
          </w:p>
        </w:tc>
        <w:tc>
          <w:tcPr>
            <w:tcW w:type="dxa" w:w="7406"/>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Haute — articulation PPA / projet de soins et projet de vie</w:t>
            </w:r>
          </w:p>
        </w:tc>
      </w:tr>
      <w:tr>
        <w:tc>
          <w:tcPr>
            <w:tcW w:type="dxa" w:w="35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Maison d’Accueil Spécialisée (MAS)</w:t>
            </w:r>
          </w:p>
        </w:tc>
        <w:tc>
          <w:tcPr>
            <w:tcW w:type="dxa" w:w="74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Haute — PPA intégré au DUI, coordination sanitaire/médico-sociale</w:t>
            </w:r>
          </w:p>
        </w:tc>
      </w:tr>
      <w:tr>
        <w:tc>
          <w:tcPr>
            <w:tcW w:type="dxa" w:w="3500"/>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SAVS / SAMSAH</w:t>
            </w:r>
          </w:p>
        </w:tc>
        <w:tc>
          <w:tcPr>
            <w:tcW w:type="dxa" w:w="7406"/>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Haute — PPA comme outil de coordination et d’autonomisation</w:t>
            </w:r>
          </w:p>
        </w:tc>
      </w:tr>
      <w:tr>
        <w:tc>
          <w:tcPr>
            <w:tcW w:type="dxa" w:w="35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IME / ITEP / SESSAD</w:t>
            </w:r>
          </w:p>
        </w:tc>
        <w:tc>
          <w:tcPr>
            <w:tcW w:type="dxa" w:w="74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Haute — articulation PPA / projet thérapeutique / scolarité</w:t>
            </w:r>
          </w:p>
        </w:tc>
      </w:tr>
      <w:tr>
        <w:tc>
          <w:tcPr>
            <w:tcW w:type="dxa" w:w="3500"/>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EHPAD / USLD</w:t>
            </w:r>
          </w:p>
        </w:tc>
        <w:tc>
          <w:tcPr>
            <w:tcW w:type="dxa" w:w="7406"/>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Moyenne-haute — repères utiles, complémentaires au PAP</w:t>
            </w:r>
          </w:p>
        </w:tc>
      </w:tr>
      <w:tr>
        <w:tc>
          <w:tcPr>
            <w:tcW w:type="dxa" w:w="35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Directions et équipes de cadres</w:t>
            </w:r>
          </w:p>
        </w:tc>
        <w:tc>
          <w:tcPr>
            <w:tcW w:type="dxa" w:w="74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Haute — pilotage qualité, conformité réglementaire, transition numérique</w:t>
            </w:r>
          </w:p>
        </w:tc>
      </w:tr>
      <w:tr>
        <w:tc>
          <w:tcPr>
            <w:tcW w:type="dxa" w:w="3500"/>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Professionnels référents de parcours</w:t>
            </w:r>
          </w:p>
        </w:tc>
        <w:tc>
          <w:tcPr>
            <w:tcW w:type="dxa" w:w="7406"/>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Haute — mise en œuvre opérationnelle des 7 phases</w:t>
            </w:r>
          </w:p>
        </w:tc>
      </w:tr>
    </w:tbl>
    <w:p>
      <w:pPr>
        <w:pBdr>
          <w:bottom w:val="single" w:color="E5E7EB" w:sz="6" w:space="0"/>
        </w:pBdr>
        <w:spacing w:after="100" w:before="100"/>
      </w:pPr>
    </w:p>
    <w:p>
      <w:pPr>
        <w:spacing w:after="80" w:before="240"/>
      </w:pPr>
      <w:r>
        <w:rPr>
          <w:rFonts w:ascii="Calibri" w:cs="Calibri" w:eastAsia="Calibri" w:hAnsi="Calibri"/>
          <w:b/>
          <w:bCs/>
          <w:color w:val="1B3A6B"/>
          <w:sz w:val="28"/>
          <w:szCs w:val="28"/>
        </w:rPr>
        <w:t xml:space="preserve">Points clés de la RBPP</w:t>
      </w:r>
    </w:p>
    <w:tbl>
      <w:tblPr>
        <w:tblW w:type="dxa" w:w="10906"/>
        <w:tblBorders>
          <w:top w:val="single" w:color="auto" w:sz="4"/>
          <w:left w:val="single" w:color="auto" w:sz="4"/>
          <w:bottom w:val="single" w:color="auto" w:sz="4"/>
          <w:right w:val="single" w:color="auto" w:sz="4"/>
          <w:insideH w:val="single" w:color="auto" w:sz="4"/>
          <w:insideV w:val="single" w:color="auto" w:sz="4"/>
        </w:tblBorders>
      </w:tblPr>
      <w:tblGrid>
        <w:gridCol w:w="3500"/>
        <w:gridCol w:w="7406"/>
      </w:tblGrid>
      <w:tr>
        <w:tc>
          <w:tcPr>
            <w:tcW w:type="dxa" w:w="3500"/>
            <w:tcBorders>
              <w:top w:val="single" w:color="000000" w:sz="4"/>
              <w:left w:val="single" w:color="000000" w:sz="4"/>
              <w:bottom w:val="single" w:color="000000" w:sz="4"/>
              <w:right w:val="single" w:color="000000" w:sz="4"/>
            </w:tcBorders>
            <w:shd w:fill="1B3A6B" w:val="clear"/>
            <w:tcMar>
              <w:top w:type="dxa" w:w="40"/>
              <w:left w:type="dxa" w:w="100"/>
              <w:bottom w:type="dxa" w:w="40"/>
              <w:right w:type="dxa" w:w="100"/>
            </w:tcMar>
          </w:tcPr>
          <w:p>
            <w:r>
              <w:rPr>
                <w:rFonts w:ascii="Calibri" w:cs="Calibri" w:eastAsia="Calibri" w:hAnsi="Calibri"/>
                <w:b/>
                <w:bCs/>
                <w:color w:val="FFFFFF"/>
                <w:sz w:val="20"/>
                <w:szCs w:val="20"/>
              </w:rPr>
              <w:t xml:space="preserve">Thème</w:t>
            </w:r>
          </w:p>
        </w:tc>
        <w:tc>
          <w:tcPr>
            <w:tcW w:type="dxa" w:w="7406"/>
            <w:tcBorders>
              <w:top w:val="single" w:color="000000" w:sz="4"/>
              <w:left w:val="single" w:color="000000" w:sz="4"/>
              <w:bottom w:val="single" w:color="000000" w:sz="4"/>
              <w:right w:val="single" w:color="000000" w:sz="4"/>
            </w:tcBorders>
            <w:shd w:fill="1B3A6B" w:val="clear"/>
            <w:tcMar>
              <w:top w:type="dxa" w:w="40"/>
              <w:left w:type="dxa" w:w="100"/>
              <w:bottom w:type="dxa" w:w="40"/>
              <w:right w:type="dxa" w:w="100"/>
            </w:tcMar>
          </w:tcPr>
          <w:p>
            <w:r>
              <w:rPr>
                <w:rFonts w:ascii="Calibri" w:cs="Calibri" w:eastAsia="Calibri" w:hAnsi="Calibri"/>
                <w:b/>
                <w:bCs/>
                <w:color w:val="FFFFFF"/>
                <w:sz w:val="20"/>
                <w:szCs w:val="20"/>
              </w:rPr>
              <w:t xml:space="preserve">Contenu essentiel</w:t>
            </w:r>
          </w:p>
        </w:tc>
      </w:tr>
      <w:tr>
        <w:tc>
          <w:tcPr>
            <w:tcW w:type="dxa" w:w="35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Co-construction du projet personnalisé</w:t>
            </w:r>
          </w:p>
        </w:tc>
        <w:tc>
          <w:tcPr>
            <w:tcW w:type="dxa" w:w="74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Le PPA ne peut être élaboré sans la participation active de la personne. La co-construction implique un dialogue continu entre la personne, son entourage (si elle le souhaite) et l’équipe pluridisciplinaire.</w:t>
            </w:r>
          </w:p>
        </w:tc>
      </w:tr>
      <w:tr>
        <w:tc>
          <w:tcPr>
            <w:tcW w:type="dxa" w:w="3500"/>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Participation et droits (loi 2002-2)</w:t>
            </w:r>
          </w:p>
        </w:tc>
        <w:tc>
          <w:tcPr>
            <w:tcW w:type="dxa" w:w="7406"/>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La loi du 2 janvier 2002 consacre le droit à un projet individualisé pour toute personne accueillie. Elle impose le recueil du consentement éclairé et la mise en place d’outils de participation.</w:t>
            </w:r>
          </w:p>
        </w:tc>
      </w:tr>
      <w:tr>
        <w:tc>
          <w:tcPr>
            <w:tcW w:type="dxa" w:w="35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Les 7 phases de la démarche PPA</w:t>
            </w:r>
          </w:p>
        </w:tc>
        <w:tc>
          <w:tcPr>
            <w:tcW w:type="dxa" w:w="74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L’ANESM structure la démarche en 7 phases séquentielles et itératives : premiers contacts, analyse, co-construction, décision, mise en œuvre, co-évaluation et rédaction.</w:t>
            </w:r>
          </w:p>
        </w:tc>
      </w:tr>
      <w:tr>
        <w:tc>
          <w:tcPr>
            <w:tcW w:type="dxa" w:w="3500"/>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Évaluation et révision du projet</w:t>
            </w:r>
          </w:p>
        </w:tc>
        <w:tc>
          <w:tcPr>
            <w:tcW w:type="dxa" w:w="7406"/>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Le PPA est un document vivant, révisé au moins une fois par an ou lors de tout changement significatif de la situation de la personne.</w:t>
            </w:r>
          </w:p>
        </w:tc>
      </w:tr>
      <w:tr>
        <w:tc>
          <w:tcPr>
            <w:tcW w:type="dxa" w:w="35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Numérisation du PPA (HAS 2025)</w:t>
            </w:r>
          </w:p>
        </w:tc>
        <w:tc>
          <w:tcPr>
            <w:tcW w:type="dxa" w:w="74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La note de cadrage HAS (avril 2025) pose les bases d’un PPA structuré et interopérable, permettant le partage sécurisé des données entre acteurs du parcours.</w:t>
            </w:r>
          </w:p>
        </w:tc>
      </w:tr>
    </w:tbl>
    <w:p>
      <w:pPr>
        <w:pBdr>
          <w:bottom w:val="single" w:color="E5E7EB" w:sz="6" w:space="0"/>
        </w:pBdr>
        <w:spacing w:after="100" w:before="100"/>
      </w:pPr>
    </w:p>
    <w:p>
      <w:pPr>
        <w:spacing w:after="80" w:before="240"/>
      </w:pPr>
      <w:r>
        <w:rPr>
          <w:rFonts w:ascii="Calibri" w:cs="Calibri" w:eastAsia="Calibri" w:hAnsi="Calibri"/>
          <w:b/>
          <w:bCs/>
          <w:color w:val="1B3A6B"/>
          <w:sz w:val="28"/>
          <w:szCs w:val="28"/>
        </w:rPr>
        <w:t xml:space="preserve">Les 7 phases de la démarche PPA — Détail opérationnel</w:t>
      </w:r>
    </w:p>
    <w:tbl>
      <w:tblPr>
        <w:tblW w:type="dxa" w:w="1090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4806"/>
        <w:gridCol w:w="3800"/>
      </w:tblGrid>
      <w:tr>
        <w:tc>
          <w:tcPr>
            <w:tcW w:type="dxa" w:w="500"/>
            <w:tcBorders>
              <w:top w:val="single" w:color="000000" w:sz="4"/>
              <w:left w:val="single" w:color="000000" w:sz="4"/>
              <w:bottom w:val="single" w:color="000000" w:sz="4"/>
              <w:right w:val="single" w:color="000000" w:sz="4"/>
            </w:tcBorders>
            <w:shd w:fill="1B3A6B" w:val="clear"/>
            <w:tcMar>
              <w:top w:type="dxa" w:w="40"/>
              <w:left w:type="dxa" w:w="100"/>
              <w:bottom w:type="dxa" w:w="40"/>
              <w:right w:type="dxa" w:w="100"/>
            </w:tcMar>
          </w:tcPr>
          <w:p>
            <w:r>
              <w:rPr>
                <w:rFonts w:ascii="Calibri" w:cs="Calibri" w:eastAsia="Calibri" w:hAnsi="Calibri"/>
                <w:b/>
                <w:bCs/>
                <w:color w:val="FFFFFF"/>
                <w:sz w:val="20"/>
                <w:szCs w:val="20"/>
              </w:rPr>
              <w:t xml:space="preserve">N°</w:t>
            </w:r>
          </w:p>
        </w:tc>
        <w:tc>
          <w:tcPr>
            <w:tcW w:type="dxa" w:w="1800"/>
            <w:tcBorders>
              <w:top w:val="single" w:color="000000" w:sz="4"/>
              <w:left w:val="single" w:color="000000" w:sz="4"/>
              <w:bottom w:val="single" w:color="000000" w:sz="4"/>
              <w:right w:val="single" w:color="000000" w:sz="4"/>
            </w:tcBorders>
            <w:shd w:fill="1B3A6B" w:val="clear"/>
            <w:tcMar>
              <w:top w:type="dxa" w:w="40"/>
              <w:left w:type="dxa" w:w="100"/>
              <w:bottom w:type="dxa" w:w="40"/>
              <w:right w:type="dxa" w:w="100"/>
            </w:tcMar>
          </w:tcPr>
          <w:p>
            <w:r>
              <w:rPr>
                <w:rFonts w:ascii="Calibri" w:cs="Calibri" w:eastAsia="Calibri" w:hAnsi="Calibri"/>
                <w:b/>
                <w:bCs/>
                <w:color w:val="FFFFFF"/>
                <w:sz w:val="20"/>
                <w:szCs w:val="20"/>
              </w:rPr>
              <w:t xml:space="preserve">Phase</w:t>
            </w:r>
          </w:p>
        </w:tc>
        <w:tc>
          <w:tcPr>
            <w:tcW w:type="dxa" w:w="4806"/>
            <w:tcBorders>
              <w:top w:val="single" w:color="000000" w:sz="4"/>
              <w:left w:val="single" w:color="000000" w:sz="4"/>
              <w:bottom w:val="single" w:color="000000" w:sz="4"/>
              <w:right w:val="single" w:color="000000" w:sz="4"/>
            </w:tcBorders>
            <w:shd w:fill="1B3A6B" w:val="clear"/>
            <w:tcMar>
              <w:top w:type="dxa" w:w="40"/>
              <w:left w:type="dxa" w:w="100"/>
              <w:bottom w:type="dxa" w:w="40"/>
              <w:right w:type="dxa" w:w="100"/>
            </w:tcMar>
          </w:tcPr>
          <w:p>
            <w:r>
              <w:rPr>
                <w:rFonts w:ascii="Calibri" w:cs="Calibri" w:eastAsia="Calibri" w:hAnsi="Calibri"/>
                <w:b/>
                <w:bCs/>
                <w:color w:val="FFFFFF"/>
                <w:sz w:val="20"/>
                <w:szCs w:val="20"/>
              </w:rPr>
              <w:t xml:space="preserve">Description</w:t>
            </w:r>
          </w:p>
        </w:tc>
        <w:tc>
          <w:tcPr>
            <w:tcW w:type="dxa" w:w="3800"/>
            <w:tcBorders>
              <w:top w:val="single" w:color="000000" w:sz="4"/>
              <w:left w:val="single" w:color="000000" w:sz="4"/>
              <w:bottom w:val="single" w:color="000000" w:sz="4"/>
              <w:right w:val="single" w:color="000000" w:sz="4"/>
            </w:tcBorders>
            <w:shd w:fill="1B3A6B" w:val="clear"/>
            <w:tcMar>
              <w:top w:type="dxa" w:w="40"/>
              <w:left w:type="dxa" w:w="100"/>
              <w:bottom w:type="dxa" w:w="40"/>
              <w:right w:type="dxa" w:w="100"/>
            </w:tcMar>
          </w:tcPr>
          <w:p>
            <w:r>
              <w:rPr>
                <w:rFonts w:ascii="Calibri" w:cs="Calibri" w:eastAsia="Calibri" w:hAnsi="Calibri"/>
                <w:b/>
                <w:bCs/>
                <w:color w:val="FFFFFF"/>
                <w:sz w:val="20"/>
                <w:szCs w:val="20"/>
              </w:rPr>
              <w:t xml:space="preserve">Rôle du professionnel</w:t>
            </w:r>
          </w:p>
        </w:tc>
      </w:tr>
      <w:tr>
        <w:tc>
          <w:tcPr>
            <w:tcW w:type="dxa" w:w="5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1</w:t>
            </w:r>
          </w:p>
        </w:tc>
        <w:tc>
          <w:tcPr>
            <w:tcW w:type="dxa" w:w="18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Premiers contacts</w:t>
            </w:r>
          </w:p>
        </w:tc>
        <w:tc>
          <w:tcPr>
            <w:tcW w:type="dxa" w:w="48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Accueil, présentation de l’établissement, recueil des premières attentes. Remise du livret d’accueil.</w:t>
            </w:r>
          </w:p>
        </w:tc>
        <w:tc>
          <w:tcPr>
            <w:tcW w:type="dxa" w:w="38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Écoute active, mise en confiance. Désignation d’un référent de parcours.</w:t>
            </w:r>
          </w:p>
        </w:tc>
      </w:tr>
      <w:tr>
        <w:tc>
          <w:tcPr>
            <w:tcW w:type="dxa" w:w="500"/>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2</w:t>
            </w:r>
          </w:p>
        </w:tc>
        <w:tc>
          <w:tcPr>
            <w:tcW w:type="dxa" w:w="1800"/>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Analyse de la situation</w:t>
            </w:r>
          </w:p>
        </w:tc>
        <w:tc>
          <w:tcPr>
            <w:tcW w:type="dxa" w:w="4806"/>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Évaluation pluridisciplinaire des besoins, capacités et attentes. Mobilisation des bilans existants.</w:t>
            </w:r>
          </w:p>
        </w:tc>
        <w:tc>
          <w:tcPr>
            <w:tcW w:type="dxa" w:w="3800"/>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Coordination des évaluations, restitution à la personne des conclusions.</w:t>
            </w:r>
          </w:p>
        </w:tc>
      </w:tr>
      <w:tr>
        <w:tc>
          <w:tcPr>
            <w:tcW w:type="dxa" w:w="5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3</w:t>
            </w:r>
          </w:p>
        </w:tc>
        <w:tc>
          <w:tcPr>
            <w:tcW w:type="dxa" w:w="18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Co-construction</w:t>
            </w:r>
          </w:p>
        </w:tc>
        <w:tc>
          <w:tcPr>
            <w:tcW w:type="dxa" w:w="48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Élaboration partagée des objectifs avec la personne et son représentant légal si besoin.</w:t>
            </w:r>
          </w:p>
        </w:tc>
        <w:tc>
          <w:tcPr>
            <w:tcW w:type="dxa" w:w="38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Facilitation du dialogue, traduction des attentes en objectifs réalistes et mesurables.</w:t>
            </w:r>
          </w:p>
        </w:tc>
      </w:tr>
      <w:tr>
        <w:tc>
          <w:tcPr>
            <w:tcW w:type="dxa" w:w="500"/>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4</w:t>
            </w:r>
          </w:p>
        </w:tc>
        <w:tc>
          <w:tcPr>
            <w:tcW w:type="dxa" w:w="1800"/>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Décision</w:t>
            </w:r>
          </w:p>
        </w:tc>
        <w:tc>
          <w:tcPr>
            <w:tcW w:type="dxa" w:w="4806"/>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Validation formelle du projet par la personne et l’établissement. Signature du document.</w:t>
            </w:r>
          </w:p>
        </w:tc>
        <w:tc>
          <w:tcPr>
            <w:tcW w:type="dxa" w:w="3800"/>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Recueil du consentement éclairé, information sur la personne qualifiée.</w:t>
            </w:r>
          </w:p>
        </w:tc>
      </w:tr>
      <w:tr>
        <w:tc>
          <w:tcPr>
            <w:tcW w:type="dxa" w:w="5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5</w:t>
            </w:r>
          </w:p>
        </w:tc>
        <w:tc>
          <w:tcPr>
            <w:tcW w:type="dxa" w:w="18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Mise en œuvre</w:t>
            </w:r>
          </w:p>
        </w:tc>
        <w:tc>
          <w:tcPr>
            <w:tcW w:type="dxa" w:w="48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Déploiement des actions prévues au quotidien. Coordination des intervenants.</w:t>
            </w:r>
          </w:p>
        </w:tc>
        <w:tc>
          <w:tcPr>
            <w:tcW w:type="dxa" w:w="38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Coordination pluridisciplinaire, suivi des actions, traçabilité des observations.</w:t>
            </w:r>
          </w:p>
        </w:tc>
      </w:tr>
      <w:tr>
        <w:tc>
          <w:tcPr>
            <w:tcW w:type="dxa" w:w="500"/>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6</w:t>
            </w:r>
          </w:p>
        </w:tc>
        <w:tc>
          <w:tcPr>
            <w:tcW w:type="dxa" w:w="1800"/>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Co-évaluation</w:t>
            </w:r>
          </w:p>
        </w:tc>
        <w:tc>
          <w:tcPr>
            <w:tcW w:type="dxa" w:w="4806"/>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Bilan régulier (minimum annuel) de l’atteinte des objectifs, réalisé avec la personne.</w:t>
            </w:r>
          </w:p>
        </w:tc>
        <w:tc>
          <w:tcPr>
            <w:tcW w:type="dxa" w:w="3800"/>
            <w:tcBorders>
              <w:top w:val="single" w:color="000000" w:sz="4"/>
              <w:left w:val="single" w:color="000000" w:sz="4"/>
              <w:bottom w:val="single" w:color="000000" w:sz="4"/>
              <w:right w:val="single" w:color="000000" w:sz="4"/>
            </w:tcBorders>
            <w:shd w:fill="EEF2F7"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Animation de la réunion de bilan, ouverture vers une reformulation des objectifs.</w:t>
            </w:r>
          </w:p>
        </w:tc>
      </w:tr>
      <w:tr>
        <w:tc>
          <w:tcPr>
            <w:tcW w:type="dxa" w:w="5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7</w:t>
            </w:r>
          </w:p>
        </w:tc>
        <w:tc>
          <w:tcPr>
            <w:tcW w:type="dxa" w:w="18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Rédaction</w:t>
            </w:r>
          </w:p>
        </w:tc>
        <w:tc>
          <w:tcPr>
            <w:tcW w:type="dxa" w:w="4806"/>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Formalisation écrite du projet, accessible et compréhensible par la personne.</w:t>
            </w:r>
          </w:p>
        </w:tc>
        <w:tc>
          <w:tcPr>
            <w:tcW w:type="dxa" w:w="3800"/>
            <w:tcBorders>
              <w:top w:val="single" w:color="000000" w:sz="4"/>
              <w:left w:val="single" w:color="000000" w:sz="4"/>
              <w:bottom w:val="single" w:color="000000" w:sz="4"/>
              <w:right w:val="single" w:color="000000" w:sz="4"/>
            </w:tcBorders>
            <w:shd w:fill="FFFFFF" w:val="clear"/>
            <w:tcMar>
              <w:top w:type="dxa" w:w="40"/>
              <w:left w:type="dxa" w:w="100"/>
              <w:bottom w:type="dxa" w:w="40"/>
              <w:right w:type="dxa" w:w="100"/>
            </w:tcMar>
          </w:tcPr>
          <w:p>
            <w:r>
              <w:rPr>
                <w:rFonts w:ascii="Calibri" w:cs="Calibri" w:eastAsia="Calibri" w:hAnsi="Calibri"/>
                <w:b w:val="false"/>
                <w:bCs w:val="false"/>
                <w:color w:val="1F2937"/>
                <w:sz w:val="20"/>
                <w:szCs w:val="20"/>
              </w:rPr>
              <w:t xml:space="preserve">Rédaction en langage clair (FALC si besoin), archivage sécurisé, articulation avec le DUI.</w:t>
            </w:r>
          </w:p>
        </w:tc>
      </w:tr>
    </w:tbl>
    <w:p>
      <w:pPr>
        <w:pBdr>
          <w:bottom w:val="single" w:color="E5E7EB" w:sz="6" w:space="0"/>
        </w:pBdr>
        <w:spacing w:after="100" w:before="100"/>
      </w:pPr>
    </w:p>
    <w:p>
      <w:pPr>
        <w:spacing w:after="80" w:before="240"/>
      </w:pPr>
      <w:r>
        <w:rPr>
          <w:rFonts w:ascii="Calibri" w:cs="Calibri" w:eastAsia="Calibri" w:hAnsi="Calibri"/>
          <w:b/>
          <w:bCs/>
          <w:color w:val="1B3A6B"/>
          <w:sz w:val="28"/>
          <w:szCs w:val="28"/>
        </w:rPr>
        <w:t xml:space="preserve">Recommandations principales</w:t>
      </w:r>
    </w:p>
    <w:p>
      <w:pPr>
        <w:pStyle w:val="ListParagraph"/>
        <w:numPr>
          <w:ilvl w:val="0"/>
          <w:numId w:val="2"/>
        </w:numPr>
        <w:spacing w:after="40"/>
      </w:pPr>
      <w:r>
        <w:rPr>
          <w:rFonts w:ascii="Calibri" w:cs="Calibri" w:eastAsia="Calibri" w:hAnsi="Calibri"/>
          <w:color w:val="1F2937"/>
          <w:sz w:val="22"/>
          <w:szCs w:val="22"/>
        </w:rPr>
        <w:t xml:space="preserve">Systématiser la désignation d’un professionnel référent de parcours dès l’admission.</w:t>
      </w:r>
    </w:p>
    <w:p>
      <w:pPr>
        <w:pStyle w:val="ListParagraph"/>
        <w:numPr>
          <w:ilvl w:val="0"/>
          <w:numId w:val="2"/>
        </w:numPr>
        <w:spacing w:after="40"/>
      </w:pPr>
      <w:r>
        <w:rPr>
          <w:rFonts w:ascii="Calibri" w:cs="Calibri" w:eastAsia="Calibri" w:hAnsi="Calibri"/>
          <w:color w:val="1F2937"/>
          <w:sz w:val="22"/>
          <w:szCs w:val="22"/>
        </w:rPr>
        <w:t xml:space="preserve">Former l’ensemble des équipes à la méthodologie des 7 phases et aux techniques d’écoute active.</w:t>
      </w:r>
    </w:p>
    <w:p>
      <w:pPr>
        <w:pStyle w:val="ListParagraph"/>
        <w:numPr>
          <w:ilvl w:val="0"/>
          <w:numId w:val="2"/>
        </w:numPr>
        <w:spacing w:after="40"/>
      </w:pPr>
      <w:r>
        <w:rPr>
          <w:rFonts w:ascii="Calibri" w:cs="Calibri" w:eastAsia="Calibri" w:hAnsi="Calibri"/>
          <w:color w:val="1F2937"/>
          <w:sz w:val="22"/>
          <w:szCs w:val="22"/>
        </w:rPr>
        <w:t xml:space="preserve">Utiliser des supports accessibles (FALC, pictogrammes) pour garantir la participation effective des personnes ayant des difficultés de communication.</w:t>
      </w:r>
    </w:p>
    <w:p>
      <w:pPr>
        <w:pStyle w:val="ListParagraph"/>
        <w:numPr>
          <w:ilvl w:val="0"/>
          <w:numId w:val="2"/>
        </w:numPr>
        <w:spacing w:after="40"/>
      </w:pPr>
      <w:r>
        <w:rPr>
          <w:rFonts w:ascii="Calibri" w:cs="Calibri" w:eastAsia="Calibri" w:hAnsi="Calibri"/>
          <w:color w:val="1F2937"/>
          <w:sz w:val="22"/>
          <w:szCs w:val="22"/>
        </w:rPr>
        <w:t xml:space="preserve">Prévoir un calendrier formalisé de révision annuelle du PPA, avec possibilité de révision anticipée.</w:t>
      </w:r>
    </w:p>
    <w:p>
      <w:pPr>
        <w:pStyle w:val="ListParagraph"/>
        <w:numPr>
          <w:ilvl w:val="0"/>
          <w:numId w:val="2"/>
        </w:numPr>
        <w:spacing w:after="40"/>
      </w:pPr>
      <w:r>
        <w:rPr>
          <w:rFonts w:ascii="Calibri" w:cs="Calibri" w:eastAsia="Calibri" w:hAnsi="Calibri"/>
          <w:color w:val="1F2937"/>
          <w:sz w:val="22"/>
          <w:szCs w:val="22"/>
        </w:rPr>
        <w:t xml:space="preserve">Articuler le PPA avec le projet d’établissement en identifiant les besoins collectifs non couverts.</w:t>
      </w:r>
    </w:p>
    <w:p>
      <w:pPr>
        <w:pStyle w:val="ListParagraph"/>
        <w:numPr>
          <w:ilvl w:val="0"/>
          <w:numId w:val="2"/>
        </w:numPr>
        <w:spacing w:after="40"/>
      </w:pPr>
      <w:r>
        <w:rPr>
          <w:rFonts w:ascii="Calibri" w:cs="Calibri" w:eastAsia="Calibri" w:hAnsi="Calibri"/>
          <w:color w:val="1F2937"/>
          <w:sz w:val="22"/>
          <w:szCs w:val="22"/>
        </w:rPr>
        <w:t xml:space="preserve">Mettre en place un outil de suivi partagé permettant la traçabilité des actions et la visibilité des objectifs en cours.</w:t>
      </w:r>
    </w:p>
    <w:p>
      <w:pPr>
        <w:pStyle w:val="ListParagraph"/>
        <w:numPr>
          <w:ilvl w:val="0"/>
          <w:numId w:val="2"/>
        </w:numPr>
        <w:spacing w:after="40"/>
      </w:pPr>
      <w:r>
        <w:rPr>
          <w:rFonts w:ascii="Calibri" w:cs="Calibri" w:eastAsia="Calibri" w:hAnsi="Calibri"/>
          <w:color w:val="1F2937"/>
          <w:sz w:val="22"/>
          <w:szCs w:val="22"/>
        </w:rPr>
        <w:t xml:space="preserve">Garantir la confidentialité et les droits d’accès au dossier, en conformité avec le RGPD.</w:t>
      </w:r>
    </w:p>
    <w:p>
      <w:pPr>
        <w:pStyle w:val="ListParagraph"/>
        <w:numPr>
          <w:ilvl w:val="0"/>
          <w:numId w:val="2"/>
        </w:numPr>
        <w:spacing w:after="40"/>
      </w:pPr>
      <w:r>
        <w:rPr>
          <w:rFonts w:ascii="Calibri" w:cs="Calibri" w:eastAsia="Calibri" w:hAnsi="Calibri"/>
          <w:color w:val="1F2937"/>
          <w:sz w:val="22"/>
          <w:szCs w:val="22"/>
        </w:rPr>
        <w:t xml:space="preserve">Impliquer le Conseil de la Vie Sociale (CVS) dans la réflexion sur l’évolution des pratiques d’accompagnement.</w:t>
      </w:r>
    </w:p>
    <w:p>
      <w:pPr>
        <w:pStyle w:val="ListParagraph"/>
        <w:numPr>
          <w:ilvl w:val="0"/>
          <w:numId w:val="2"/>
        </w:numPr>
        <w:spacing w:after="40"/>
      </w:pPr>
      <w:r>
        <w:rPr>
          <w:rFonts w:ascii="Calibri" w:cs="Calibri" w:eastAsia="Calibri" w:hAnsi="Calibri"/>
          <w:color w:val="1F2937"/>
          <w:sz w:val="22"/>
          <w:szCs w:val="22"/>
        </w:rPr>
        <w:t xml:space="preserve">Anticiper la transition numérique en formant les équipes aux enjeux de l’interopérabilité et du DUI.</w:t>
      </w:r>
    </w:p>
    <w:p>
      <w:pPr>
        <w:pStyle w:val="ListParagraph"/>
        <w:numPr>
          <w:ilvl w:val="0"/>
          <w:numId w:val="2"/>
        </w:numPr>
        <w:spacing w:after="40"/>
      </w:pPr>
      <w:r>
        <w:rPr>
          <w:rFonts w:ascii="Calibri" w:cs="Calibri" w:eastAsia="Calibri" w:hAnsi="Calibri"/>
          <w:color w:val="1F2937"/>
          <w:sz w:val="22"/>
          <w:szCs w:val="22"/>
        </w:rPr>
        <w:t xml:space="preserve">Évaluer régulièrement la qualité des PPA en s’appuyant sur des indicateurs quantitatifs et qualitatifs.</w:t>
      </w:r>
    </w:p>
    <w:p>
      <w:pPr>
        <w:pBdr>
          <w:bottom w:val="single" w:color="E5E7EB" w:sz="6" w:space="0"/>
        </w:pBdr>
        <w:spacing w:after="100" w:before="100"/>
      </w:pPr>
    </w:p>
    <w:p>
      <w:pPr>
        <w:spacing w:after="80" w:before="240"/>
      </w:pPr>
      <w:r>
        <w:rPr>
          <w:rFonts w:ascii="Calibri" w:cs="Calibri" w:eastAsia="Calibri" w:hAnsi="Calibri"/>
          <w:b/>
          <w:bCs/>
          <w:color w:val="1B3A6B"/>
          <w:sz w:val="28"/>
          <w:szCs w:val="28"/>
        </w:rPr>
        <w:t xml:space="preserve">Focus actualité 2025 — Note de cadrage HAS « Numérisation du PPA »</w:t>
      </w:r>
    </w:p>
    <w:p>
      <w:pPr>
        <w:spacing w:after="60" w:before="160"/>
      </w:pPr>
      <w:r>
        <w:rPr>
          <w:rFonts w:ascii="Calibri" w:cs="Calibri" w:eastAsia="Calibri" w:hAnsi="Calibri"/>
          <w:b/>
          <w:bCs/>
          <w:color w:val="2563EB"/>
          <w:sz w:val="24"/>
          <w:szCs w:val="24"/>
        </w:rPr>
        <w:t xml:space="preserve">Note de cadrage HAS — Structuration du PPA en vue de sa numérisation (avril 2025)</w:t>
      </w:r>
    </w:p>
    <w:p>
      <w:pPr>
        <w:spacing w:after="40"/>
      </w:pPr>
      <w:r>
        <w:rPr>
          <w:rFonts w:ascii="Calibri" w:cs="Calibri" w:eastAsia="Calibri" w:hAnsi="Calibri"/>
          <w:color w:val="1F2937"/>
          <w:sz w:val="22"/>
          <w:szCs w:val="22"/>
        </w:rPr>
        <w:t xml:space="preserve">Contexte de la saisine : La DGCS (Direction Générale de la Cohésion Sociale), la DNS (Délégation Numérique en Santé) et la CNSA ont saisi la HAS en novembre 2023 pour cadrer la structuration numérique du PPA.</w:t>
      </w:r>
    </w:p>
    <w:p>
      <w:pPr>
        <w:spacing w:after="40"/>
      </w:pPr>
      <w:r>
        <w:rPr>
          <w:rFonts w:ascii="Calibri" w:cs="Calibri" w:eastAsia="Calibri" w:hAnsi="Calibri"/>
          <w:color w:val="1F2937"/>
          <w:sz w:val="22"/>
          <w:szCs w:val="22"/>
        </w:rPr>
        <w:t xml:space="preserve">Objectif central : Faire évoluer le PPA d’un document plat (Word/PDF) vers un outil dynamique, structuré en données, interopérable et partageable entre les acteurs du parcours.</w:t>
      </w:r>
    </w:p>
    <w:p>
      <w:pPr>
        <w:spacing w:after="40"/>
      </w:pPr>
      <w:r>
        <w:rPr>
          <w:rFonts w:ascii="Calibri" w:cs="Calibri" w:eastAsia="Calibri" w:hAnsi="Calibri"/>
          <w:color w:val="1F2937"/>
          <w:sz w:val="22"/>
          <w:szCs w:val="22"/>
        </w:rPr>
        <w:t xml:space="preserve">Articulation avec les outils du numérique en santé :</w:t>
      </w:r>
    </w:p>
    <w:p>
      <w:pPr>
        <w:pStyle w:val="ListParagraph"/>
        <w:numPr>
          <w:ilvl w:val="0"/>
          <w:numId w:val="2"/>
        </w:numPr>
        <w:spacing w:after="40"/>
      </w:pPr>
      <w:r>
        <w:rPr>
          <w:rFonts w:ascii="Calibri" w:cs="Calibri" w:eastAsia="Calibri" w:hAnsi="Calibri"/>
          <w:color w:val="1F2937"/>
          <w:sz w:val="22"/>
          <w:szCs w:val="22"/>
        </w:rPr>
        <w:t xml:space="preserve">Mon Espace Santé — espace numérique personnel du citoyen</w:t>
      </w:r>
    </w:p>
    <w:p>
      <w:pPr>
        <w:pStyle w:val="ListParagraph"/>
        <w:numPr>
          <w:ilvl w:val="0"/>
          <w:numId w:val="2"/>
        </w:numPr>
        <w:spacing w:after="40"/>
      </w:pPr>
      <w:r>
        <w:rPr>
          <w:rFonts w:ascii="Calibri" w:cs="Calibri" w:eastAsia="Calibri" w:hAnsi="Calibri"/>
          <w:color w:val="1F2937"/>
          <w:sz w:val="22"/>
          <w:szCs w:val="22"/>
        </w:rPr>
        <w:t xml:space="preserve">DUI (Dossier Usager Informatisé) — outil de gestion interne à l’ESSMS, pivot de la numérisation</w:t>
      </w:r>
    </w:p>
    <w:p>
      <w:pPr>
        <w:pStyle w:val="ListParagraph"/>
        <w:numPr>
          <w:ilvl w:val="0"/>
          <w:numId w:val="2"/>
        </w:numPr>
        <w:spacing w:after="40"/>
      </w:pPr>
      <w:r>
        <w:rPr>
          <w:rFonts w:ascii="Calibri" w:cs="Calibri" w:eastAsia="Calibri" w:hAnsi="Calibri"/>
          <w:color w:val="1F2937"/>
          <w:sz w:val="22"/>
          <w:szCs w:val="22"/>
        </w:rPr>
        <w:t xml:space="preserve">VSM (Volet de Synthèse Médico-social) — document de synthèse partageable entre professionnels</w:t>
      </w:r>
    </w:p>
    <w:p>
      <w:pPr>
        <w:pStyle w:val="ListParagraph"/>
        <w:numPr>
          <w:ilvl w:val="0"/>
          <w:numId w:val="2"/>
        </w:numPr>
        <w:spacing w:after="40"/>
      </w:pPr>
      <w:r>
        <w:rPr>
          <w:rFonts w:ascii="Calibri" w:cs="Calibri" w:eastAsia="Calibri" w:hAnsi="Calibri"/>
          <w:color w:val="1F2937"/>
          <w:sz w:val="22"/>
          <w:szCs w:val="22"/>
        </w:rPr>
        <w:t xml:space="preserve">DLU (Dossier de Liaison d’Urgence) — information critique accessible en cas d’hospitalisation</w:t>
      </w:r>
    </w:p>
    <w:p>
      <w:pPr>
        <w:pStyle w:val="ListParagraph"/>
        <w:numPr>
          <w:ilvl w:val="0"/>
          <w:numId w:val="2"/>
        </w:numPr>
        <w:spacing w:after="40"/>
      </w:pPr>
      <w:r>
        <w:rPr>
          <w:rFonts w:ascii="Calibri" w:cs="Calibri" w:eastAsia="Calibri" w:hAnsi="Calibri"/>
          <w:color w:val="1F2937"/>
          <w:sz w:val="22"/>
          <w:szCs w:val="22"/>
        </w:rPr>
        <w:t xml:space="preserve">PPCS (Plan Personnalisé de Coordination en Santé) — articulation avec les dispositifs d’appui à la coordination</w:t>
      </w:r>
    </w:p>
    <w:p>
      <w:pPr>
        <w:spacing w:after="40"/>
      </w:pPr>
      <w:r>
        <w:rPr>
          <w:rFonts w:ascii="Calibri" w:cs="Calibri" w:eastAsia="Calibri" w:hAnsi="Calibri"/>
          <w:color w:val="1F2937"/>
          <w:sz w:val="22"/>
          <w:szCs w:val="22"/>
        </w:rPr>
        <w:t xml:space="preserve">Méthodologie : Groupe de travail pluriprofessionnel — directions ESSMS, professionnels, personnes accompagnées, représentants associatifs, experts numériques.</w:t>
      </w:r>
    </w:p>
    <w:p>
      <w:pPr>
        <w:spacing w:after="40"/>
      </w:pPr>
      <w:r>
        <w:rPr>
          <w:rFonts w:ascii="Calibri" w:cs="Calibri" w:eastAsia="Calibri" w:hAnsi="Calibri"/>
          <w:color w:val="1F2937"/>
          <w:sz w:val="22"/>
          <w:szCs w:val="22"/>
        </w:rPr>
        <w:t xml:space="preserve">Calendrier : Validation du référentiel attendue en 2026 — Déploiement opérationnel à partir de 2027.</w:t>
      </w:r>
    </w:p>
    <w:p>
      <w:pPr>
        <w:pBdr>
          <w:bottom w:val="single" w:color="E5E7EB" w:sz="6" w:space="0"/>
        </w:pBdr>
        <w:spacing w:after="100" w:before="100"/>
      </w:pPr>
    </w:p>
    <w:p>
      <w:pPr>
        <w:spacing w:after="80" w:before="240"/>
      </w:pPr>
      <w:r>
        <w:rPr>
          <w:rFonts w:ascii="Calibri" w:cs="Calibri" w:eastAsia="Calibri" w:hAnsi="Calibri"/>
          <w:b/>
          <w:bCs/>
          <w:color w:val="1B3A6B"/>
          <w:sz w:val="28"/>
          <w:szCs w:val="28"/>
        </w:rPr>
        <w:t xml:space="preserve">Points de vigilance pour les directions d’ESSMS</w:t>
      </w:r>
    </w:p>
    <w:p>
      <w:pPr>
        <w:pStyle w:val="ListParagraph"/>
        <w:numPr>
          <w:ilvl w:val="0"/>
          <w:numId w:val="2"/>
        </w:numPr>
        <w:spacing w:after="40"/>
      </w:pPr>
      <w:r>
        <w:rPr>
          <w:rFonts w:ascii="Calibri" w:cs="Calibri" w:eastAsia="Calibri" w:hAnsi="Calibri"/>
          <w:color w:val="1F2937"/>
          <w:sz w:val="22"/>
          <w:szCs w:val="22"/>
        </w:rPr>
        <w:t xml:space="preserve">Former les équipes avant tout déploiement numérique pour éviter la fracture numérique interne.</w:t>
      </w:r>
    </w:p>
    <w:p>
      <w:pPr>
        <w:pStyle w:val="ListParagraph"/>
        <w:numPr>
          <w:ilvl w:val="0"/>
          <w:numId w:val="2"/>
        </w:numPr>
        <w:spacing w:after="40"/>
      </w:pPr>
      <w:r>
        <w:rPr>
          <w:rFonts w:ascii="Calibri" w:cs="Calibri" w:eastAsia="Calibri" w:hAnsi="Calibri"/>
          <w:color w:val="1F2937"/>
          <w:sz w:val="22"/>
          <w:szCs w:val="22"/>
        </w:rPr>
        <w:t xml:space="preserve">Garantir la continuité de la participation de la personne dans les outils numériques (interfaces accessibles, alternatives non-numériques maintenues).</w:t>
      </w:r>
    </w:p>
    <w:p>
      <w:pPr>
        <w:pStyle w:val="ListParagraph"/>
        <w:numPr>
          <w:ilvl w:val="0"/>
          <w:numId w:val="2"/>
        </w:numPr>
        <w:spacing w:after="40"/>
      </w:pPr>
      <w:r>
        <w:rPr>
          <w:rFonts w:ascii="Calibri" w:cs="Calibri" w:eastAsia="Calibri" w:hAnsi="Calibri"/>
          <w:color w:val="1F2937"/>
          <w:sz w:val="22"/>
          <w:szCs w:val="22"/>
        </w:rPr>
        <w:t xml:space="preserve">Vérifier la conformité RGPD de tout logiciel DUI avant déploiement (analyse d’impact, sous-traitance de données).</w:t>
      </w:r>
    </w:p>
    <w:p>
      <w:pPr>
        <w:pStyle w:val="ListParagraph"/>
        <w:numPr>
          <w:ilvl w:val="0"/>
          <w:numId w:val="2"/>
        </w:numPr>
        <w:spacing w:after="40"/>
      </w:pPr>
      <w:r>
        <w:rPr>
          <w:rFonts w:ascii="Calibri" w:cs="Calibri" w:eastAsia="Calibri" w:hAnsi="Calibri"/>
          <w:color w:val="1F2937"/>
          <w:sz w:val="22"/>
          <w:szCs w:val="22"/>
        </w:rPr>
        <w:t xml:space="preserve">Maintenir la primauté de la relation humaine sur la complétude des données saisies.</w:t>
      </w:r>
    </w:p>
    <w:p>
      <w:pPr>
        <w:pStyle w:val="ListParagraph"/>
        <w:numPr>
          <w:ilvl w:val="0"/>
          <w:numId w:val="2"/>
        </w:numPr>
        <w:spacing w:after="40"/>
      </w:pPr>
      <w:r>
        <w:rPr>
          <w:rFonts w:ascii="Calibri" w:cs="Calibri" w:eastAsia="Calibri" w:hAnsi="Calibri"/>
          <w:color w:val="1F2937"/>
          <w:sz w:val="22"/>
          <w:szCs w:val="22"/>
        </w:rPr>
        <w:t xml:space="preserve">Articuler le calendrier de numérisation avec les cycles d’évaluation HAS de l’établissement.</w:t>
      </w:r>
    </w:p>
    <w:p>
      <w:pPr>
        <w:pStyle w:val="ListParagraph"/>
        <w:numPr>
          <w:ilvl w:val="0"/>
          <w:numId w:val="2"/>
        </w:numPr>
        <w:spacing w:after="40"/>
      </w:pPr>
      <w:r>
        <w:rPr>
          <w:rFonts w:ascii="Calibri" w:cs="Calibri" w:eastAsia="Calibri" w:hAnsi="Calibri"/>
          <w:color w:val="1F2937"/>
          <w:sz w:val="22"/>
          <w:szCs w:val="22"/>
        </w:rPr>
        <w:t xml:space="preserve">Associer les personnes accompagnées et leurs représentants à la conception des interfaces numériques.</w:t>
      </w:r>
    </w:p>
    <w:p>
      <w:pPr>
        <w:pBdr>
          <w:bottom w:val="single" w:color="E5E7EB" w:sz="6" w:space="0"/>
        </w:pBdr>
        <w:spacing w:after="100" w:before="100"/>
      </w:pPr>
    </w:p>
    <w:p>
      <w:pPr>
        <w:spacing w:before="160"/>
        <w:jc w:val="center"/>
      </w:pPr>
      <w:r>
        <w:rPr>
          <w:rFonts w:ascii="Calibri" w:cs="Calibri" w:eastAsia="Calibri" w:hAnsi="Calibri"/>
          <w:i/>
          <w:iCs/>
          <w:color w:val="6B7280"/>
          <w:sz w:val="18"/>
          <w:szCs w:val="18"/>
        </w:rPr>
        <w:t xml:space="preserve">Sources : ANESM — Les attentes de la personne et le projet personnalisé (décembre 2008), </w:t>
      </w:r>
      <w:hyperlink w:history="1" r:id="rIdhas2835163">
        <w:r>
          <w:rPr>
            <w:rFonts w:ascii="Calibri" w:cs="Calibri" w:eastAsia="Calibri" w:hAnsi="Calibri"/>
            <w:i/>
            <w:iCs/>
            <w:sz w:val="18"/>
            <w:szCs w:val="18"/>
            <w:color w:val="1155CC"/>
            <w:u w:val="single"/>
          </w:rPr>
          <w:t xml:space="preserve">has-sante.fr/jcms/c_2835163</w:t>
        </w:r>
      </w:hyperlink>
      <w:r>
        <w:rPr>
          <w:rFonts w:ascii="Calibri" w:cs="Calibri" w:eastAsia="Calibri" w:hAnsi="Calibri"/>
          <w:i/>
          <w:iCs/>
          <w:color w:val="6B7280"/>
          <w:sz w:val="18"/>
          <w:szCs w:val="18"/>
        </w:rPr>
        <w:t xml:space="preserve"> · ANESM — Synthèse opérationnelle (2012, même page) · HAS — Note de cadrage structuration PPA numérique (validée le 6 mai 2025, publiée le 12 mai 2025), </w:t>
      </w:r>
      <w:hyperlink w:history="1" r:id="rIdhas3604556">
        <w:r>
          <w:rPr>
            <w:rFonts w:ascii="Calibri" w:cs="Calibri" w:eastAsia="Calibri" w:hAnsi="Calibri"/>
            <w:i/>
            <w:iCs/>
            <w:sz w:val="18"/>
            <w:szCs w:val="18"/>
            <w:color w:val="1155CC"/>
            <w:u w:val="single"/>
          </w:rPr>
          <w:t xml:space="preserve">has-sante.fr/jcms/p_3604556</w:t>
        </w:r>
      </w:hyperlink>
      <w:r>
        <w:rPr>
          <w:rFonts w:ascii="Calibri" w:cs="Calibri" w:eastAsia="Calibri" w:hAnsi="Calibri"/>
          <w:i/>
          <w:iCs/>
          <w:color w:val="6B7280"/>
          <w:sz w:val="18"/>
          <w:szCs w:val="18"/>
        </w:rPr>
        <w:t xml:space="preserve"> · Loi 2002-2 rénovant l’action sociale et médico-sociale</w:t>
      </w:r>
    </w:p>
    <w:p>
      <w:pPr>
        <w:spacing w:after="120" w:before="320"/>
      </w:pPr>
      <w:r>
        <w:rPr>
          <w:rFonts w:ascii="Calibri" w:cs="Calibri" w:eastAsia="Calibri" w:hAnsi="Calibri"/>
          <w:b/>
          <w:bCs/>
          <w:color w:val="1B3A6B"/>
          <w:sz w:val="28"/>
          <w:szCs w:val="28"/>
        </w:rPr>
        <w:t xml:space="preserve">📝 Journal des corrections — 12 septembre 2026</w:t>
      </w:r>
    </w:p>
    <w:p>
      <w:pPr>
        <w:spacing w:after="80"/>
      </w:pPr>
      <w:r>
        <w:rPr>
          <w:rFonts w:ascii="Calibri" w:cs="Calibri" w:eastAsia="Calibri" w:hAnsi="Calibri"/>
          <w:color w:val="1F2937"/>
          <w:sz w:val="22"/>
          <w:szCs w:val="22"/>
        </w:rPr>
        <w:t xml:space="preserve">Note relue le 12/09/2026 au cours d'un contrôle d'attribution des 221 documents du dépôt (passes A2 et A4 : une norme nommée, une ligne « Source : », portent une adresse). Contenu inchangé.</w:t>
      </w:r>
    </w:p>
    <w:p>
      <w:pPr>
        <w:spacing w:after="80"/>
      </w:pPr>
      <w:r>
        <w:rPr>
          <w:rFonts w:ascii="Calibri" w:cs="Calibri" w:eastAsia="Calibri" w:hAnsi="Calibri"/>
          <w:color w:val="1F2937"/>
          <w:sz w:val="22"/>
          <w:szCs w:val="22"/>
        </w:rPr>
        <w:t xml:space="preserve">La ligne « Sources : ANESM — … · HAS — Note de cadrage … (avril 2025) » nommait quatre références sans aucune adresse dans le document. Les deux pages HAS sont liées le 12/09/2026 : la recommandation ANESM de 2008 (page mise à jour le 16/03/2018, qui porte aussi la synthèse) et la note de cadrage PPA numérique — dont la date est précisée au passage : validée le 6 mai 2025, publiée le 12 mai 2025, non « avril 2025 » (lu sur la page le 12/09/2026). La loi 2002-2 reste nommée sans lien : c'est un texte, pas une page consultée.</w:t>
      </w:r>
    </w:p>
    <w:sectPr>
      <w:pgSz w:w="11906" w:h="16838" w:orient="portrait"/>
      <w:pgMar w:top="400" w:right="500" w:bottom="400" w:left="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has2835163" Type="http://schemas.openxmlformats.org/officeDocument/2006/relationships/hyperlink" Target="https://www.has-sante.fr/jcms/c_2835163/fr/les-attentes-de-la-personne-et-le-projet-personnalise" TargetMode="External"/><Relationship Id="rIdhas3604556" Type="http://schemas.openxmlformats.org/officeDocument/2006/relationships/hyperlink" Target="https://www.has-sante.fr/jcms/p_3604556/fr/structuration-du-projet-personnalise-d-accompagnement-en-vue-de-sa-numerisation-note-de-cadrage"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2026-04-07T19:34:02.385Z</dcterms:created>
  <dcterms:modified xsi:type="dcterms:W3CDTF">2026-04-07T19:34:02.385Z</dcterms:modified>
</cp:coreProperties>
</file>

<file path=docProps/custom.xml><?xml version="1.0" encoding="utf-8"?>
<Properties xmlns="http://schemas.openxmlformats.org/officeDocument/2006/custom-properties" xmlns:vt="http://schemas.openxmlformats.org/officeDocument/2006/docPropsVTypes"/>
</file>