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1D63" w14:textId="77777777" w:rsidR="00C41EE5" w:rsidRDefault="00F23ACE">
      <w:pPr>
        <w:spacing w:after="60"/>
        <w:jc w:val="center"/>
      </w:pPr>
      <w:r>
        <w:rPr>
          <w:b/>
          <w:bCs/>
          <w:color w:val="1B3A6B"/>
          <w:sz w:val="36"/>
          <w:szCs w:val="36"/>
        </w:rPr>
        <w:t>Veille HAS — Robots dits « sociaux »</w:t>
      </w:r>
    </w:p>
    <w:p w14:paraId="26FA5A26" w14:textId="77777777" w:rsidR="00C41EE5" w:rsidRDefault="00F23ACE">
      <w:pPr>
        <w:spacing w:after="80"/>
        <w:jc w:val="center"/>
      </w:pPr>
      <w:r>
        <w:rPr>
          <w:b/>
          <w:bCs/>
          <w:i/>
          <w:iCs/>
          <w:color w:val="1B3A6B"/>
          <w:sz w:val="26"/>
          <w:szCs w:val="26"/>
        </w:rPr>
        <w:t>Rapport d'analyse prospective 2026</w:t>
      </w:r>
    </w:p>
    <w:p w14:paraId="6D612EF5" w14:textId="77777777" w:rsidR="00C41EE5" w:rsidRDefault="00F23ACE">
      <w:pPr>
        <w:spacing w:after="300"/>
        <w:jc w:val="center"/>
      </w:pPr>
      <w:r>
        <w:rPr>
          <w:color w:val="6B7280"/>
          <w:sz w:val="20"/>
          <w:szCs w:val="20"/>
        </w:rPr>
        <w:t>Veille produite le 2026-05-22 — Source : HAS, publication 19/05/2026</w:t>
      </w:r>
    </w:p>
    <w:p w14:paraId="44534DF6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📋</w:t>
      </w:r>
      <w:proofErr w:type="gramEnd"/>
      <w:r>
        <w:rPr>
          <w:b/>
          <w:bCs/>
          <w:color w:val="1B3A6B"/>
          <w:sz w:val="28"/>
          <w:szCs w:val="28"/>
        </w:rPr>
        <w:t xml:space="preserve"> Carte d'identité du document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8313"/>
      </w:tblGrid>
      <w:tr w:rsidR="00C41EE5" w14:paraId="550CF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4AE2B201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0" w:type="auto"/>
            <w:shd w:val="clear" w:color="1B3A6B" w:fill="1B3A6B"/>
          </w:tcPr>
          <w:p w14:paraId="75D3AFD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C41EE5" w14:paraId="1B82B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D1A9993" w14:textId="77777777" w:rsidR="00C41EE5" w:rsidRDefault="00F23ACE">
            <w:r>
              <w:rPr>
                <w:sz w:val="20"/>
                <w:szCs w:val="20"/>
              </w:rPr>
              <w:t>Titre exact</w:t>
            </w:r>
          </w:p>
        </w:tc>
        <w:tc>
          <w:tcPr>
            <w:tcW w:w="0" w:type="auto"/>
            <w:shd w:val="clear" w:color="auto" w:fill="auto"/>
          </w:tcPr>
          <w:p w14:paraId="30828DB2" w14:textId="77777777" w:rsidR="00C41EE5" w:rsidRDefault="00F23ACE">
            <w:r>
              <w:rPr>
                <w:sz w:val="20"/>
                <w:szCs w:val="20"/>
              </w:rPr>
              <w:t>Robots « sociaux » : quels enjeux pour demain ? — Rapport d'analyse prospective 2026</w:t>
            </w:r>
          </w:p>
        </w:tc>
      </w:tr>
      <w:tr w:rsidR="00C41EE5" w14:paraId="09D11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7FE8A154" w14:textId="77777777" w:rsidR="00C41EE5" w:rsidRDefault="00F23ACE">
            <w:r>
              <w:rPr>
                <w:sz w:val="20"/>
                <w:szCs w:val="20"/>
              </w:rPr>
              <w:t>Date de publication</w:t>
            </w:r>
          </w:p>
        </w:tc>
        <w:tc>
          <w:tcPr>
            <w:tcW w:w="0" w:type="auto"/>
            <w:shd w:val="clear" w:color="EEF2F7" w:fill="EEF2F7"/>
          </w:tcPr>
          <w:p w14:paraId="1A820A48" w14:textId="77777777" w:rsidR="00C41EE5" w:rsidRDefault="00F23ACE">
            <w:r>
              <w:rPr>
                <w:sz w:val="20"/>
                <w:szCs w:val="20"/>
              </w:rPr>
              <w:t>19 mai 2026</w:t>
            </w:r>
          </w:p>
        </w:tc>
      </w:tr>
      <w:tr w:rsidR="00C41EE5" w14:paraId="6D97B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627A1FE" w14:textId="77777777" w:rsidR="00C41EE5" w:rsidRDefault="00F23ACE">
            <w:r>
              <w:rPr>
                <w:sz w:val="20"/>
                <w:szCs w:val="20"/>
              </w:rPr>
              <w:t>Type de document</w:t>
            </w:r>
          </w:p>
        </w:tc>
        <w:tc>
          <w:tcPr>
            <w:tcW w:w="0" w:type="auto"/>
            <w:shd w:val="clear" w:color="auto" w:fill="auto"/>
          </w:tcPr>
          <w:p w14:paraId="297E4E8A" w14:textId="77777777" w:rsidR="00C41EE5" w:rsidRDefault="00F23ACE">
            <w:r>
              <w:rPr>
                <w:sz w:val="20"/>
                <w:szCs w:val="20"/>
              </w:rPr>
              <w:t>Rapport d'analyse prospective HAS (45 pages)</w:t>
            </w:r>
          </w:p>
        </w:tc>
      </w:tr>
      <w:tr w:rsidR="00C41EE5" w14:paraId="08121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719F3F81" w14:textId="77777777" w:rsidR="00C41EE5" w:rsidRDefault="00F23ACE">
            <w:r>
              <w:rPr>
                <w:sz w:val="20"/>
                <w:szCs w:val="20"/>
              </w:rPr>
              <w:t>Public cible</w:t>
            </w:r>
          </w:p>
        </w:tc>
        <w:tc>
          <w:tcPr>
            <w:tcW w:w="0" w:type="auto"/>
            <w:shd w:val="clear" w:color="EEF2F7" w:fill="EEF2F7"/>
          </w:tcPr>
          <w:p w14:paraId="055424BD" w14:textId="77777777" w:rsidR="00C41EE5" w:rsidRDefault="00F23ACE">
            <w:r>
              <w:rPr>
                <w:sz w:val="20"/>
                <w:szCs w:val="20"/>
              </w:rPr>
              <w:t>Pouvoirs publics, décideurs, professionnels de santé et du médico-social, directions d'ESSMS</w:t>
            </w:r>
          </w:p>
        </w:tc>
      </w:tr>
      <w:tr w:rsidR="00C41EE5" w14:paraId="54782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914474D" w14:textId="77777777" w:rsidR="00C41EE5" w:rsidRDefault="00F23ACE">
            <w:r>
              <w:rPr>
                <w:sz w:val="20"/>
                <w:szCs w:val="20"/>
              </w:rPr>
              <w:t>Secteurs concernés</w:t>
            </w:r>
          </w:p>
        </w:tc>
        <w:tc>
          <w:tcPr>
            <w:tcW w:w="0" w:type="auto"/>
            <w:shd w:val="clear" w:color="auto" w:fill="auto"/>
          </w:tcPr>
          <w:p w14:paraId="5A003182" w14:textId="77777777" w:rsidR="00C41EE5" w:rsidRDefault="00F23ACE">
            <w:r>
              <w:rPr>
                <w:sz w:val="20"/>
                <w:szCs w:val="20"/>
              </w:rPr>
              <w:t>Sanitaire + Social et médico-social (handicap, gériatrie)</w:t>
            </w:r>
          </w:p>
        </w:tc>
      </w:tr>
      <w:tr w:rsidR="00C41EE5" w14:paraId="5DEE7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219FC241" w14:textId="77777777" w:rsidR="00C41EE5" w:rsidRDefault="00F23ACE">
            <w:r>
              <w:rPr>
                <w:sz w:val="20"/>
                <w:szCs w:val="20"/>
              </w:rPr>
              <w:t>Méthodologie</w:t>
            </w:r>
          </w:p>
        </w:tc>
        <w:tc>
          <w:tcPr>
            <w:tcW w:w="0" w:type="auto"/>
            <w:shd w:val="clear" w:color="EEF2F7" w:fill="EEF2F7"/>
          </w:tcPr>
          <w:p w14:paraId="08EBECF7" w14:textId="77777777" w:rsidR="00C41EE5" w:rsidRDefault="00F23ACE">
            <w:r>
              <w:rPr>
                <w:sz w:val="20"/>
                <w:szCs w:val="20"/>
              </w:rPr>
              <w:t>Trois scénarios prospectifs à l'horizon 2050</w:t>
            </w:r>
          </w:p>
        </w:tc>
      </w:tr>
      <w:tr w:rsidR="00C41EE5" w14:paraId="109A8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1A97434" w14:textId="77777777" w:rsidR="00C41EE5" w:rsidRDefault="00F23ACE">
            <w:r>
              <w:rPr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auto"/>
          </w:tcPr>
          <w:p w14:paraId="7CDBA01D" w14:textId="77777777" w:rsidR="00C41EE5" w:rsidRDefault="00F23ACE">
            <w:r>
              <w:rPr>
                <w:sz w:val="20"/>
                <w:szCs w:val="20"/>
              </w:rPr>
              <w:t>has-sante.fr/</w:t>
            </w:r>
            <w:proofErr w:type="spellStart"/>
            <w:r>
              <w:rPr>
                <w:sz w:val="20"/>
                <w:szCs w:val="20"/>
              </w:rPr>
              <w:t>jcms</w:t>
            </w:r>
            <w:proofErr w:type="spellEnd"/>
            <w:r>
              <w:rPr>
                <w:sz w:val="20"/>
                <w:szCs w:val="20"/>
              </w:rPr>
              <w:t>/p_3996266</w:t>
            </w:r>
          </w:p>
        </w:tc>
      </w:tr>
    </w:tbl>
    <w:p w14:paraId="130805F6" w14:textId="77777777" w:rsidR="00C41EE5" w:rsidRDefault="00C41EE5">
      <w:pPr>
        <w:spacing w:after="200"/>
      </w:pPr>
    </w:p>
    <w:p w14:paraId="35D9715B" w14:textId="77777777" w:rsidR="00C41EE5" w:rsidRDefault="00C41EE5">
      <w:pPr>
        <w:pBdr>
          <w:bottom w:val="single" w:sz="6" w:space="1" w:color="CCCCCC"/>
        </w:pBdr>
        <w:spacing w:after="200"/>
      </w:pPr>
    </w:p>
    <w:p w14:paraId="71DE725E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🎯</w:t>
      </w:r>
      <w:proofErr w:type="gramEnd"/>
      <w:r>
        <w:rPr>
          <w:b/>
          <w:bCs/>
          <w:color w:val="1B3A6B"/>
          <w:sz w:val="28"/>
          <w:szCs w:val="28"/>
        </w:rPr>
        <w:t xml:space="preserve"> Résumé exécutif</w:t>
      </w:r>
    </w:p>
    <w:p w14:paraId="7DD676D5" w14:textId="77777777" w:rsidR="00C41EE5" w:rsidRDefault="00F23ACE">
      <w:pPr>
        <w:spacing w:after="90"/>
      </w:pPr>
      <w:r>
        <w:t>La HAS définit les robots dits sociaux comme des machines autonomes conçues pour interagir avec les humains. Le rapport explore comment ces technologies pourraient transformer les pratiques médico-sociales, en complément (et non substitution) des professio</w:t>
      </w:r>
      <w:r>
        <w:t>nnels.</w:t>
      </w:r>
    </w:p>
    <w:p w14:paraId="2799BECB" w14:textId="77777777" w:rsidR="00C41EE5" w:rsidRDefault="00F23ACE">
      <w:pPr>
        <w:spacing w:after="90"/>
      </w:pPr>
      <w:r>
        <w:rPr>
          <w:i/>
          <w:iCs/>
        </w:rPr>
        <w:t>La HAS choisit délibérément l'expression « robots dits sociaux », considérant que les relations sociales restent strictement humaines.</w:t>
      </w:r>
    </w:p>
    <w:p w14:paraId="50393D7F" w14:textId="77777777" w:rsidR="00C41EE5" w:rsidRDefault="00F23ACE">
      <w:pPr>
        <w:spacing w:after="90"/>
      </w:pPr>
      <w:r>
        <w:t>Trois scénarios sont projetés à l'horizon 2050. Le rapport identifie les conditions d'un déploiement utile, éthique et maîtrisé dans le secteur médico-social — directement pertinent pour les foyers d'hébergement handicap mental et psychique.</w:t>
      </w:r>
    </w:p>
    <w:p w14:paraId="3EF9237A" w14:textId="77777777" w:rsidR="00C41EE5" w:rsidRDefault="00C41EE5">
      <w:pPr>
        <w:spacing w:after="180"/>
      </w:pPr>
    </w:p>
    <w:p w14:paraId="76D2E033" w14:textId="77777777" w:rsidR="00C41EE5" w:rsidRDefault="00C41EE5">
      <w:pPr>
        <w:pBdr>
          <w:bottom w:val="single" w:sz="6" w:space="1" w:color="CCCCCC"/>
        </w:pBdr>
        <w:spacing w:after="200"/>
      </w:pPr>
    </w:p>
    <w:p w14:paraId="12EFFF6A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🤖</w:t>
      </w:r>
      <w:proofErr w:type="gramEnd"/>
      <w:r>
        <w:rPr>
          <w:b/>
          <w:bCs/>
          <w:color w:val="1B3A6B"/>
          <w:sz w:val="28"/>
          <w:szCs w:val="28"/>
        </w:rPr>
        <w:t xml:space="preserve"> Les 3 for</w:t>
      </w:r>
      <w:r>
        <w:rPr>
          <w:b/>
          <w:bCs/>
          <w:color w:val="1B3A6B"/>
          <w:sz w:val="28"/>
          <w:szCs w:val="28"/>
        </w:rPr>
        <w:t>mes de robots dits sociaux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5313"/>
        <w:gridCol w:w="2770"/>
      </w:tblGrid>
      <w:tr w:rsidR="00C41EE5" w14:paraId="4E73A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1C2634CA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Forme</w:t>
            </w:r>
          </w:p>
        </w:tc>
        <w:tc>
          <w:tcPr>
            <w:tcW w:w="0" w:type="auto"/>
            <w:shd w:val="clear" w:color="1B3A6B" w:fill="1B3A6B"/>
          </w:tcPr>
          <w:p w14:paraId="00C3F47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1B3A6B" w:fill="1B3A6B"/>
          </w:tcPr>
          <w:p w14:paraId="78862CDA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</w:tr>
      <w:tr w:rsidR="00C41EE5" w14:paraId="5F230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6C7274F" w14:textId="77777777" w:rsidR="00C41EE5" w:rsidRDefault="00F23ACE">
            <w:r>
              <w:rPr>
                <w:sz w:val="20"/>
                <w:szCs w:val="20"/>
              </w:rPr>
              <w:t>Anthropomorphes (humanoïdes)</w:t>
            </w:r>
          </w:p>
        </w:tc>
        <w:tc>
          <w:tcPr>
            <w:tcW w:w="0" w:type="auto"/>
            <w:shd w:val="clear" w:color="auto" w:fill="auto"/>
          </w:tcPr>
          <w:p w14:paraId="613BCF9F" w14:textId="77777777" w:rsidR="00C41EE5" w:rsidRDefault="00F23ACE">
            <w:r>
              <w:rPr>
                <w:sz w:val="20"/>
                <w:szCs w:val="20"/>
              </w:rPr>
              <w:t>Imitent l'apparence humaine (torse, tête, bras, jambes). Utilisés en rééducation, enseignement, assistance — principalement en Asie</w:t>
            </w:r>
          </w:p>
        </w:tc>
        <w:tc>
          <w:tcPr>
            <w:tcW w:w="0" w:type="auto"/>
            <w:shd w:val="clear" w:color="auto" w:fill="auto"/>
          </w:tcPr>
          <w:p w14:paraId="4E99035E" w14:textId="77777777" w:rsidR="00C41EE5" w:rsidRDefault="00F23ACE">
            <w:r>
              <w:rPr>
                <w:sz w:val="20"/>
                <w:szCs w:val="20"/>
              </w:rPr>
              <w:t>Pepper, Nao, prototypes industriels</w:t>
            </w:r>
          </w:p>
        </w:tc>
      </w:tr>
      <w:tr w:rsidR="00C41EE5" w14:paraId="61DA4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5E34850E" w14:textId="77777777" w:rsidR="00C41EE5" w:rsidRDefault="00F23ACE">
            <w:r>
              <w:rPr>
                <w:sz w:val="20"/>
                <w:szCs w:val="20"/>
              </w:rPr>
              <w:t>Animaloïdes</w:t>
            </w:r>
          </w:p>
        </w:tc>
        <w:tc>
          <w:tcPr>
            <w:tcW w:w="0" w:type="auto"/>
            <w:shd w:val="clear" w:color="EEF2F7" w:fill="EEF2F7"/>
          </w:tcPr>
          <w:p w14:paraId="1FE14CB2" w14:textId="77777777" w:rsidR="00C41EE5" w:rsidRDefault="00F23ACE">
            <w:r>
              <w:rPr>
                <w:sz w:val="20"/>
                <w:szCs w:val="20"/>
              </w:rPr>
              <w:t xml:space="preserve">S'inspirent d'animaux réels ou imaginaires. Cadre ludique ou thérapeutique </w:t>
            </w:r>
            <w:r>
              <w:rPr>
                <w:sz w:val="20"/>
                <w:szCs w:val="20"/>
              </w:rPr>
              <w:t>pour personnes ne pouvant assumer un animal</w:t>
            </w:r>
          </w:p>
        </w:tc>
        <w:tc>
          <w:tcPr>
            <w:tcW w:w="0" w:type="auto"/>
            <w:shd w:val="clear" w:color="EEF2F7" w:fill="EEF2F7"/>
          </w:tcPr>
          <w:p w14:paraId="2147FDA4" w14:textId="77777777" w:rsidR="00C41EE5" w:rsidRDefault="00F23ACE">
            <w:proofErr w:type="spellStart"/>
            <w:r>
              <w:rPr>
                <w:sz w:val="20"/>
                <w:szCs w:val="20"/>
              </w:rPr>
              <w:t>Aibo</w:t>
            </w:r>
            <w:proofErr w:type="spellEnd"/>
            <w:r>
              <w:rPr>
                <w:sz w:val="20"/>
                <w:szCs w:val="20"/>
              </w:rPr>
              <w:t xml:space="preserve"> (chien Sony), Paro (phoque thérapeutique)</w:t>
            </w:r>
          </w:p>
        </w:tc>
      </w:tr>
      <w:tr w:rsidR="00C41EE5" w14:paraId="36A00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CDC5EF5" w14:textId="77777777" w:rsidR="00C41EE5" w:rsidRDefault="00F23ACE">
            <w:r>
              <w:rPr>
                <w:sz w:val="20"/>
                <w:szCs w:val="20"/>
              </w:rPr>
              <w:t>Formes abstraites</w:t>
            </w:r>
          </w:p>
        </w:tc>
        <w:tc>
          <w:tcPr>
            <w:tcW w:w="0" w:type="auto"/>
            <w:shd w:val="clear" w:color="auto" w:fill="auto"/>
          </w:tcPr>
          <w:p w14:paraId="7D338C5B" w14:textId="77777777" w:rsidR="00C41EE5" w:rsidRDefault="00F23ACE">
            <w:r>
              <w:rPr>
                <w:sz w:val="20"/>
                <w:szCs w:val="20"/>
              </w:rPr>
              <w:t>Sans ressemblance vivante mais donnent impression de présence. Connectent deux environnements</w:t>
            </w:r>
          </w:p>
        </w:tc>
        <w:tc>
          <w:tcPr>
            <w:tcW w:w="0" w:type="auto"/>
            <w:shd w:val="clear" w:color="auto" w:fill="auto"/>
          </w:tcPr>
          <w:p w14:paraId="3D9C7778" w14:textId="77777777" w:rsidR="00C41EE5" w:rsidRDefault="00F23ACE">
            <w:r>
              <w:rPr>
                <w:sz w:val="20"/>
                <w:szCs w:val="20"/>
              </w:rPr>
              <w:t xml:space="preserve">Robots de </w:t>
            </w:r>
            <w:proofErr w:type="spellStart"/>
            <w:r>
              <w:rPr>
                <w:sz w:val="20"/>
                <w:szCs w:val="20"/>
              </w:rPr>
              <w:t>téléprésence</w:t>
            </w:r>
            <w:proofErr w:type="spellEnd"/>
            <w:r>
              <w:rPr>
                <w:sz w:val="20"/>
                <w:szCs w:val="20"/>
              </w:rPr>
              <w:t xml:space="preserve"> mobile, robots éducatifs avec écran</w:t>
            </w:r>
          </w:p>
        </w:tc>
      </w:tr>
    </w:tbl>
    <w:p w14:paraId="350DCAB9" w14:textId="77777777" w:rsidR="00C41EE5" w:rsidRDefault="00C41EE5">
      <w:pPr>
        <w:spacing w:after="200"/>
      </w:pPr>
    </w:p>
    <w:p w14:paraId="6D26E4B6" w14:textId="77777777" w:rsidR="00C41EE5" w:rsidRDefault="00C41EE5">
      <w:pPr>
        <w:pBdr>
          <w:bottom w:val="single" w:sz="6" w:space="1" w:color="CCCCCC"/>
        </w:pBdr>
        <w:spacing w:after="200"/>
      </w:pPr>
    </w:p>
    <w:p w14:paraId="0820FB3A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📊</w:t>
      </w:r>
      <w:proofErr w:type="gramEnd"/>
      <w:r>
        <w:rPr>
          <w:b/>
          <w:bCs/>
          <w:color w:val="1B3A6B"/>
          <w:sz w:val="28"/>
          <w:szCs w:val="28"/>
        </w:rPr>
        <w:t xml:space="preserve"> Apports thérapeutiques documentés</w:t>
      </w:r>
    </w:p>
    <w:p w14:paraId="7452A321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Bénéfices identifiés (cadre thérapeutique)</w:t>
      </w:r>
    </w:p>
    <w:p w14:paraId="214918A2" w14:textId="77777777" w:rsidR="00C41EE5" w:rsidRDefault="00F23ACE">
      <w:pPr>
        <w:spacing w:after="80"/>
        <w:ind w:left="360"/>
      </w:pPr>
      <w:r>
        <w:t>• Amélioration de la communication pour les personnes avec TSA</w:t>
      </w:r>
    </w:p>
    <w:p w14:paraId="0C42CB35" w14:textId="77777777" w:rsidR="00C41EE5" w:rsidRDefault="00F23ACE">
      <w:pPr>
        <w:spacing w:after="80"/>
        <w:ind w:left="360"/>
      </w:pPr>
      <w:r>
        <w:t>• Soutien émotionnel en gériatrie (notamment Alzheimer)</w:t>
      </w:r>
    </w:p>
    <w:p w14:paraId="797A6740" w14:textId="77777777" w:rsidR="00C41EE5" w:rsidRDefault="00F23ACE">
      <w:pPr>
        <w:spacing w:after="80"/>
        <w:ind w:left="360"/>
      </w:pPr>
      <w:r>
        <w:t>• Régulation des troubles comportementaux</w:t>
      </w:r>
    </w:p>
    <w:p w14:paraId="67D7E886" w14:textId="77777777" w:rsidR="00C41EE5" w:rsidRDefault="00F23ACE">
      <w:pPr>
        <w:spacing w:after="80"/>
        <w:ind w:left="360"/>
      </w:pPr>
      <w:r>
        <w:t>• Stimulation cognitive régulière, maintien de l'aut</w:t>
      </w:r>
      <w:r>
        <w:t>onomie</w:t>
      </w:r>
    </w:p>
    <w:p w14:paraId="61005AA2" w14:textId="77777777" w:rsidR="00C41EE5" w:rsidRDefault="00F23ACE">
      <w:pPr>
        <w:spacing w:after="80"/>
        <w:ind w:left="360"/>
      </w:pPr>
      <w:r>
        <w:lastRenderedPageBreak/>
        <w:t xml:space="preserve">• Apports sur l'isolement et la solitude (compagnons, </w:t>
      </w:r>
      <w:proofErr w:type="spellStart"/>
      <w:r>
        <w:t>téléprésence</w:t>
      </w:r>
      <w:proofErr w:type="spellEnd"/>
      <w:r>
        <w:t>)</w:t>
      </w:r>
    </w:p>
    <w:p w14:paraId="65A1DFA7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Limites des évaluations</w:t>
      </w:r>
    </w:p>
    <w:p w14:paraId="0E0DEB9A" w14:textId="77777777" w:rsidR="00C41EE5" w:rsidRDefault="00F23ACE">
      <w:pPr>
        <w:spacing w:after="80"/>
        <w:ind w:left="360"/>
      </w:pPr>
      <w:r>
        <w:t>• Échantillons restreints, protocoles hétérogènes</w:t>
      </w:r>
    </w:p>
    <w:p w14:paraId="471435EE" w14:textId="77777777" w:rsidR="00C41EE5" w:rsidRDefault="00F23ACE">
      <w:pPr>
        <w:spacing w:after="80"/>
        <w:ind w:left="360"/>
      </w:pPr>
      <w:r>
        <w:t>• Évaluations souvent centrées sur la performance technique plutôt que l'impact humain</w:t>
      </w:r>
    </w:p>
    <w:p w14:paraId="6D65D422" w14:textId="77777777" w:rsidR="00C41EE5" w:rsidRDefault="00F23ACE">
      <w:pPr>
        <w:spacing w:after="80"/>
        <w:ind w:left="360"/>
      </w:pPr>
      <w:r>
        <w:t>• Pas (encore) de ro</w:t>
      </w:r>
      <w:r>
        <w:t>bot capable d'assister une personne handicapée pour TOUTES les tâches du quotidien</w:t>
      </w:r>
    </w:p>
    <w:p w14:paraId="76881309" w14:textId="77777777" w:rsidR="00C41EE5" w:rsidRDefault="00F23ACE">
      <w:pPr>
        <w:spacing w:after="80"/>
        <w:ind w:left="360"/>
      </w:pPr>
      <w:r>
        <w:t>• En France : usage principalement circonscrit à pédiatrie et gériatrie</w:t>
      </w:r>
    </w:p>
    <w:p w14:paraId="5D4F35AE" w14:textId="77777777" w:rsidR="00C41EE5" w:rsidRDefault="00C41EE5">
      <w:pPr>
        <w:spacing w:after="180"/>
      </w:pPr>
    </w:p>
    <w:p w14:paraId="42CB4654" w14:textId="77777777" w:rsidR="00C41EE5" w:rsidRDefault="00C41EE5">
      <w:pPr>
        <w:pBdr>
          <w:bottom w:val="single" w:sz="6" w:space="1" w:color="CCCCCC"/>
        </w:pBdr>
        <w:spacing w:after="200"/>
      </w:pPr>
    </w:p>
    <w:p w14:paraId="0B55D07F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👥</w:t>
      </w:r>
      <w:proofErr w:type="gramEnd"/>
      <w:r>
        <w:rPr>
          <w:b/>
          <w:bCs/>
          <w:color w:val="1B3A6B"/>
          <w:sz w:val="28"/>
          <w:szCs w:val="28"/>
        </w:rPr>
        <w:t xml:space="preserve"> Effets pour les professionnels du soin et de l'accompagnement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7"/>
        <w:gridCol w:w="4479"/>
      </w:tblGrid>
      <w:tr w:rsidR="00C41EE5" w14:paraId="4B6CB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762C52A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⚖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Allègements possibles</w:t>
            </w:r>
          </w:p>
        </w:tc>
        <w:tc>
          <w:tcPr>
            <w:tcW w:w="0" w:type="auto"/>
            <w:shd w:val="clear" w:color="1B3A6B" w:fill="1B3A6B"/>
          </w:tcPr>
          <w:p w14:paraId="1D6BCB8E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Charges nouvelles</w:t>
            </w:r>
          </w:p>
        </w:tc>
      </w:tr>
      <w:tr w:rsidR="00C41EE5" w14:paraId="2327D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489D0BB" w14:textId="77777777" w:rsidR="00C41EE5" w:rsidRDefault="00F23ACE">
            <w:r>
              <w:rPr>
                <w:sz w:val="20"/>
                <w:szCs w:val="20"/>
              </w:rPr>
              <w:t>Automatisation de tâches répétitives</w:t>
            </w:r>
          </w:p>
        </w:tc>
        <w:tc>
          <w:tcPr>
            <w:tcW w:w="0" w:type="auto"/>
            <w:shd w:val="clear" w:color="auto" w:fill="auto"/>
          </w:tcPr>
          <w:p w14:paraId="5619498F" w14:textId="77777777" w:rsidR="00C41EE5" w:rsidRDefault="00F23ACE">
            <w:r>
              <w:rPr>
                <w:sz w:val="20"/>
                <w:szCs w:val="20"/>
              </w:rPr>
              <w:t>Besoins accrus de maintenance technique</w:t>
            </w:r>
          </w:p>
        </w:tc>
      </w:tr>
      <w:tr w:rsidR="00C41EE5" w14:paraId="5E642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49C58919" w14:textId="77777777" w:rsidR="00C41EE5" w:rsidRDefault="00F23ACE">
            <w:r>
              <w:rPr>
                <w:sz w:val="20"/>
                <w:szCs w:val="20"/>
              </w:rPr>
              <w:t>Collecte automatisée de données (chutes, signes vitaux)</w:t>
            </w:r>
          </w:p>
        </w:tc>
        <w:tc>
          <w:tcPr>
            <w:tcW w:w="0" w:type="auto"/>
            <w:shd w:val="clear" w:color="EEF2F7" w:fill="EEF2F7"/>
          </w:tcPr>
          <w:p w14:paraId="3A29530F" w14:textId="77777777" w:rsidR="00C41EE5" w:rsidRDefault="00F23ACE">
            <w:r>
              <w:rPr>
                <w:sz w:val="20"/>
                <w:szCs w:val="20"/>
              </w:rPr>
              <w:t>Formation continue obligatoire des équipes</w:t>
            </w:r>
          </w:p>
        </w:tc>
      </w:tr>
      <w:tr w:rsidR="00C41EE5" w14:paraId="5349F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3D88D06" w14:textId="77777777" w:rsidR="00C41EE5" w:rsidRDefault="00F23ACE">
            <w:r>
              <w:rPr>
                <w:sz w:val="20"/>
                <w:szCs w:val="20"/>
              </w:rPr>
              <w:t>Suivi en continu (sommeil, comportement)</w:t>
            </w:r>
          </w:p>
        </w:tc>
        <w:tc>
          <w:tcPr>
            <w:tcW w:w="0" w:type="auto"/>
            <w:shd w:val="clear" w:color="auto" w:fill="auto"/>
          </w:tcPr>
          <w:p w14:paraId="65A703CE" w14:textId="77777777" w:rsidR="00C41EE5" w:rsidRDefault="00F23ACE">
            <w:r>
              <w:rPr>
                <w:sz w:val="20"/>
                <w:szCs w:val="20"/>
              </w:rPr>
              <w:t>Supervision et paramétrage personnalisés</w:t>
            </w:r>
          </w:p>
        </w:tc>
      </w:tr>
      <w:tr w:rsidR="00C41EE5" w14:paraId="216FC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571D530E" w14:textId="77777777" w:rsidR="00C41EE5" w:rsidRDefault="00F23ACE">
            <w:r>
              <w:rPr>
                <w:sz w:val="20"/>
                <w:szCs w:val="20"/>
              </w:rPr>
              <w:t>Recentrage sur la relation et l'expertise clinique</w:t>
            </w:r>
          </w:p>
        </w:tc>
        <w:tc>
          <w:tcPr>
            <w:tcW w:w="0" w:type="auto"/>
            <w:shd w:val="clear" w:color="EEF2F7" w:fill="EEF2F7"/>
          </w:tcPr>
          <w:p w14:paraId="1B081DE6" w14:textId="77777777" w:rsidR="00C41EE5" w:rsidRDefault="00F23ACE">
            <w:r>
              <w:rPr>
                <w:sz w:val="20"/>
                <w:szCs w:val="20"/>
              </w:rPr>
              <w:t>Inquiétude identitaire sur le métier</w:t>
            </w:r>
          </w:p>
        </w:tc>
      </w:tr>
      <w:tr w:rsidR="00C41EE5" w14:paraId="3FCC6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7BBCD29" w14:textId="77777777" w:rsidR="00C41EE5" w:rsidRDefault="00F23ACE">
            <w:r>
              <w:rPr>
                <w:sz w:val="20"/>
                <w:szCs w:val="20"/>
              </w:rPr>
              <w:t>Aide aux gestes (lever, coucher, transferts)</w:t>
            </w:r>
          </w:p>
        </w:tc>
        <w:tc>
          <w:tcPr>
            <w:tcW w:w="0" w:type="auto"/>
            <w:shd w:val="clear" w:color="auto" w:fill="auto"/>
          </w:tcPr>
          <w:p w14:paraId="5ABA7FF9" w14:textId="77777777" w:rsidR="00C41EE5" w:rsidRDefault="00F23ACE">
            <w:r>
              <w:rPr>
                <w:sz w:val="20"/>
                <w:szCs w:val="20"/>
              </w:rPr>
              <w:t>Risque de perturbation de la relation de soin</w:t>
            </w:r>
          </w:p>
        </w:tc>
      </w:tr>
    </w:tbl>
    <w:p w14:paraId="2027DB75" w14:textId="77777777" w:rsidR="00C41EE5" w:rsidRDefault="00F23ACE">
      <w:pPr>
        <w:spacing w:after="90"/>
      </w:pPr>
      <w:r>
        <w:rPr>
          <w:i/>
          <w:iCs/>
        </w:rPr>
        <w:t>⚠</w:t>
      </w:r>
      <w:r>
        <w:rPr>
          <w:i/>
          <w:iCs/>
        </w:rPr>
        <w:t>️</w:t>
      </w:r>
      <w:r>
        <w:rPr>
          <w:i/>
          <w:iCs/>
        </w:rPr>
        <w:t xml:space="preserve"> 95 % des maladies professionnelles reconnues dans le secteur sanitaire et médico-social sont liées à des TMS (Assurance maladie 2023). Les robots d'assistance physique pourraient devenir un levier QVT majeur.</w:t>
      </w:r>
    </w:p>
    <w:p w14:paraId="341AE894" w14:textId="77777777" w:rsidR="00C41EE5" w:rsidRDefault="00C41EE5">
      <w:pPr>
        <w:spacing w:after="180"/>
      </w:pPr>
    </w:p>
    <w:p w14:paraId="07593DC7" w14:textId="77777777" w:rsidR="00C41EE5" w:rsidRDefault="00C41EE5">
      <w:pPr>
        <w:pBdr>
          <w:bottom w:val="single" w:sz="6" w:space="1" w:color="CCCCCC"/>
        </w:pBdr>
        <w:spacing w:after="200"/>
      </w:pPr>
    </w:p>
    <w:p w14:paraId="05A39DC4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🎬</w:t>
      </w:r>
      <w:proofErr w:type="gramEnd"/>
      <w:r>
        <w:rPr>
          <w:b/>
          <w:bCs/>
          <w:color w:val="1B3A6B"/>
          <w:sz w:val="28"/>
          <w:szCs w:val="28"/>
        </w:rPr>
        <w:t xml:space="preserve"> Les 3 scénarios prospectifs HAS (horizo</w:t>
      </w:r>
      <w:r>
        <w:rPr>
          <w:b/>
          <w:bCs/>
          <w:color w:val="1B3A6B"/>
          <w:sz w:val="28"/>
          <w:szCs w:val="28"/>
        </w:rPr>
        <w:t>n 2050)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1767"/>
        <w:gridCol w:w="1720"/>
        <w:gridCol w:w="1329"/>
        <w:gridCol w:w="3209"/>
      </w:tblGrid>
      <w:tr w:rsidR="00C41EE5" w14:paraId="625A6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70E80A98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Scénario</w:t>
            </w:r>
          </w:p>
        </w:tc>
        <w:tc>
          <w:tcPr>
            <w:tcW w:w="0" w:type="auto"/>
            <w:shd w:val="clear" w:color="1B3A6B" w:fill="1B3A6B"/>
          </w:tcPr>
          <w:p w14:paraId="10EB515F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Offre</w:t>
            </w:r>
          </w:p>
        </w:tc>
        <w:tc>
          <w:tcPr>
            <w:tcW w:w="0" w:type="auto"/>
            <w:shd w:val="clear" w:color="1B3A6B" w:fill="1B3A6B"/>
          </w:tcPr>
          <w:p w14:paraId="2E9D6F9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Régulation</w:t>
            </w:r>
          </w:p>
        </w:tc>
        <w:tc>
          <w:tcPr>
            <w:tcW w:w="0" w:type="auto"/>
            <w:shd w:val="clear" w:color="1B3A6B" w:fill="1B3A6B"/>
          </w:tcPr>
          <w:p w14:paraId="68CE0782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Adoption</w:t>
            </w:r>
          </w:p>
        </w:tc>
        <w:tc>
          <w:tcPr>
            <w:tcW w:w="0" w:type="auto"/>
            <w:shd w:val="clear" w:color="1B3A6B" w:fill="1B3A6B"/>
          </w:tcPr>
          <w:p w14:paraId="4302ED67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Risques principaux</w:t>
            </w:r>
          </w:p>
        </w:tc>
      </w:tr>
      <w:tr w:rsidR="00C41EE5" w14:paraId="2EB80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127A7C3" w14:textId="77777777" w:rsidR="00C41EE5" w:rsidRDefault="00F23ACE">
            <w:r>
              <w:rPr>
                <w:sz w:val="20"/>
                <w:szCs w:val="20"/>
              </w:rPr>
              <w:t xml:space="preserve">1. Vieillesse </w:t>
            </w:r>
            <w:proofErr w:type="spellStart"/>
            <w:r>
              <w:rPr>
                <w:sz w:val="20"/>
                <w:szCs w:val="20"/>
              </w:rPr>
              <w:t>technogérée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295BA807" w14:textId="77777777" w:rsidR="00C41EE5" w:rsidRDefault="00F23ACE">
            <w:r>
              <w:rPr>
                <w:sz w:val="20"/>
                <w:szCs w:val="20"/>
              </w:rPr>
              <w:t>Grand public massive</w:t>
            </w:r>
          </w:p>
        </w:tc>
        <w:tc>
          <w:tcPr>
            <w:tcW w:w="0" w:type="auto"/>
            <w:shd w:val="clear" w:color="auto" w:fill="auto"/>
          </w:tcPr>
          <w:p w14:paraId="3C49D342" w14:textId="77777777" w:rsidR="00C41EE5" w:rsidRDefault="00F23ACE">
            <w:r>
              <w:rPr>
                <w:sz w:val="20"/>
                <w:szCs w:val="20"/>
              </w:rPr>
              <w:t>Absente</w:t>
            </w:r>
          </w:p>
        </w:tc>
        <w:tc>
          <w:tcPr>
            <w:tcW w:w="0" w:type="auto"/>
            <w:shd w:val="clear" w:color="auto" w:fill="auto"/>
          </w:tcPr>
          <w:p w14:paraId="773A6616" w14:textId="77777777" w:rsidR="00C41EE5" w:rsidRDefault="00F23ACE">
            <w:r>
              <w:rPr>
                <w:sz w:val="20"/>
                <w:szCs w:val="20"/>
              </w:rPr>
              <w:t>Massive</w:t>
            </w:r>
          </w:p>
        </w:tc>
        <w:tc>
          <w:tcPr>
            <w:tcW w:w="0" w:type="auto"/>
            <w:shd w:val="clear" w:color="auto" w:fill="auto"/>
          </w:tcPr>
          <w:p w14:paraId="166B5567" w14:textId="77777777" w:rsidR="00C41EE5" w:rsidRDefault="00F23ACE">
            <w:r>
              <w:rPr>
                <w:sz w:val="20"/>
                <w:szCs w:val="20"/>
              </w:rPr>
              <w:t>Marchandisation du soin, deuils technologiques, données monétisées</w:t>
            </w:r>
          </w:p>
        </w:tc>
      </w:tr>
      <w:tr w:rsidR="00C41EE5" w14:paraId="23BD8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656BAEFF" w14:textId="77777777" w:rsidR="00C41EE5" w:rsidRDefault="00F23ACE">
            <w:r>
              <w:rPr>
                <w:sz w:val="20"/>
                <w:szCs w:val="20"/>
              </w:rPr>
              <w:t>2. Du luxe au bas de gamme</w:t>
            </w:r>
          </w:p>
        </w:tc>
        <w:tc>
          <w:tcPr>
            <w:tcW w:w="0" w:type="auto"/>
            <w:shd w:val="clear" w:color="EEF2F7" w:fill="EEF2F7"/>
          </w:tcPr>
          <w:p w14:paraId="6F256B7D" w14:textId="77777777" w:rsidR="00C41EE5" w:rsidRDefault="00F23ACE">
            <w:r>
              <w:rPr>
                <w:sz w:val="20"/>
                <w:szCs w:val="20"/>
              </w:rPr>
              <w:t>Thérapeutique + grand public</w:t>
            </w:r>
          </w:p>
        </w:tc>
        <w:tc>
          <w:tcPr>
            <w:tcW w:w="0" w:type="auto"/>
            <w:shd w:val="clear" w:color="EEF2F7" w:fill="EEF2F7"/>
          </w:tcPr>
          <w:p w14:paraId="0999881C" w14:textId="77777777" w:rsidR="00C41EE5" w:rsidRDefault="00F23ACE">
            <w:r>
              <w:rPr>
                <w:sz w:val="20"/>
                <w:szCs w:val="20"/>
              </w:rPr>
              <w:t>Marginale</w:t>
            </w:r>
          </w:p>
        </w:tc>
        <w:tc>
          <w:tcPr>
            <w:tcW w:w="0" w:type="auto"/>
            <w:shd w:val="clear" w:color="EEF2F7" w:fill="EEF2F7"/>
          </w:tcPr>
          <w:p w14:paraId="62074AA6" w14:textId="77777777" w:rsidR="00C41EE5" w:rsidRDefault="00F23ACE">
            <w:r>
              <w:rPr>
                <w:sz w:val="20"/>
                <w:szCs w:val="20"/>
              </w:rPr>
              <w:t>Certaines populations</w:t>
            </w:r>
          </w:p>
        </w:tc>
        <w:tc>
          <w:tcPr>
            <w:tcW w:w="0" w:type="auto"/>
            <w:shd w:val="clear" w:color="EEF2F7" w:fill="EEF2F7"/>
          </w:tcPr>
          <w:p w14:paraId="4CC7B026" w14:textId="77777777" w:rsidR="00C41EE5" w:rsidRDefault="00F23ACE">
            <w:r>
              <w:rPr>
                <w:sz w:val="20"/>
                <w:szCs w:val="20"/>
              </w:rPr>
              <w:t>Fracture sociale, bricolage technologique en zones sous-équipées</w:t>
            </w:r>
          </w:p>
        </w:tc>
      </w:tr>
      <w:tr w:rsidR="00C41EE5" w14:paraId="0858C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8E0E7BC" w14:textId="77777777" w:rsidR="00C41EE5" w:rsidRDefault="00F23ACE">
            <w:r>
              <w:rPr>
                <w:sz w:val="20"/>
                <w:szCs w:val="20"/>
              </w:rPr>
              <w:t>3. Introduction progressive et responsable</w:t>
            </w:r>
          </w:p>
        </w:tc>
        <w:tc>
          <w:tcPr>
            <w:tcW w:w="0" w:type="auto"/>
            <w:shd w:val="clear" w:color="auto" w:fill="auto"/>
          </w:tcPr>
          <w:p w14:paraId="2726D677" w14:textId="77777777" w:rsidR="00C41EE5" w:rsidRDefault="00F23ACE">
            <w:r>
              <w:rPr>
                <w:sz w:val="20"/>
                <w:szCs w:val="20"/>
              </w:rPr>
              <w:t>Principalement thérapeutique</w:t>
            </w:r>
          </w:p>
        </w:tc>
        <w:tc>
          <w:tcPr>
            <w:tcW w:w="0" w:type="auto"/>
            <w:shd w:val="clear" w:color="auto" w:fill="auto"/>
          </w:tcPr>
          <w:p w14:paraId="17FE4B6E" w14:textId="77777777" w:rsidR="00C41EE5" w:rsidRDefault="00F23ACE">
            <w:r>
              <w:rPr>
                <w:sz w:val="20"/>
                <w:szCs w:val="20"/>
              </w:rPr>
              <w:t>Forte (droits fondamentaux)</w:t>
            </w:r>
          </w:p>
        </w:tc>
        <w:tc>
          <w:tcPr>
            <w:tcW w:w="0" w:type="auto"/>
            <w:shd w:val="clear" w:color="auto" w:fill="auto"/>
          </w:tcPr>
          <w:p w14:paraId="11A07748" w14:textId="77777777" w:rsidR="00C41EE5" w:rsidRDefault="00F23ACE">
            <w:r>
              <w:rPr>
                <w:sz w:val="20"/>
                <w:szCs w:val="20"/>
              </w:rPr>
              <w:t>Marginale ciblée</w:t>
            </w:r>
          </w:p>
        </w:tc>
        <w:tc>
          <w:tcPr>
            <w:tcW w:w="0" w:type="auto"/>
            <w:shd w:val="clear" w:color="auto" w:fill="auto"/>
          </w:tcPr>
          <w:p w14:paraId="540CC119" w14:textId="77777777" w:rsidR="00C41EE5" w:rsidRDefault="00F23ACE">
            <w:r>
              <w:rPr>
                <w:sz w:val="20"/>
                <w:szCs w:val="20"/>
              </w:rPr>
              <w:t>Coût de mise en œuvre, lenteur, résistance au changement</w:t>
            </w:r>
          </w:p>
        </w:tc>
      </w:tr>
    </w:tbl>
    <w:p w14:paraId="5013DBB7" w14:textId="77777777" w:rsidR="00C41EE5" w:rsidRDefault="00C41EE5">
      <w:pPr>
        <w:spacing w:after="200"/>
      </w:pPr>
    </w:p>
    <w:p w14:paraId="24E0CDAE" w14:textId="77777777" w:rsidR="00C41EE5" w:rsidRDefault="00C41EE5">
      <w:pPr>
        <w:pBdr>
          <w:bottom w:val="single" w:sz="6" w:space="1" w:color="CCCCCC"/>
        </w:pBdr>
        <w:spacing w:after="200"/>
      </w:pPr>
    </w:p>
    <w:p w14:paraId="5F3F49A7" w14:textId="77777777" w:rsidR="00C41EE5" w:rsidRDefault="00F23ACE">
      <w:pPr>
        <w:spacing w:before="380" w:after="140"/>
      </w:pPr>
      <w:r>
        <w:rPr>
          <w:b/>
          <w:bCs/>
          <w:color w:val="1B3A6B"/>
          <w:sz w:val="28"/>
          <w:szCs w:val="28"/>
        </w:rPr>
        <w:t>⚠</w:t>
      </w:r>
      <w:r>
        <w:rPr>
          <w:b/>
          <w:bCs/>
          <w:color w:val="1B3A6B"/>
          <w:sz w:val="28"/>
          <w:szCs w:val="28"/>
        </w:rPr>
        <w:t>️</w:t>
      </w:r>
      <w:r>
        <w:rPr>
          <w:b/>
          <w:bCs/>
          <w:color w:val="1B3A6B"/>
          <w:sz w:val="28"/>
          <w:szCs w:val="28"/>
        </w:rPr>
        <w:t xml:space="preserve"> Les 6 enjeux éthiques majeurs</w:t>
      </w:r>
    </w:p>
    <w:p w14:paraId="19F96369" w14:textId="77777777" w:rsidR="00C41EE5" w:rsidRDefault="00F23ACE">
      <w:pPr>
        <w:spacing w:after="80"/>
        <w:ind w:left="360"/>
      </w:pPr>
      <w:r>
        <w:t>• Protection des données sensibles (comportementales, médicales, émotionnelles)</w:t>
      </w:r>
    </w:p>
    <w:p w14:paraId="0F678186" w14:textId="77777777" w:rsidR="00C41EE5" w:rsidRDefault="00F23ACE">
      <w:pPr>
        <w:spacing w:after="80"/>
        <w:ind w:left="360"/>
      </w:pPr>
      <w:r>
        <w:t>• Illusion anthropomorphique — risque de confusion humain/machine</w:t>
      </w:r>
    </w:p>
    <w:p w14:paraId="10E0A502" w14:textId="77777777" w:rsidR="00C41EE5" w:rsidRDefault="00F23ACE">
      <w:pPr>
        <w:spacing w:after="80"/>
        <w:ind w:left="360"/>
      </w:pPr>
      <w:r>
        <w:t>• Risque d'attachement excessif ou de dépendance affective</w:t>
      </w:r>
    </w:p>
    <w:p w14:paraId="15270177" w14:textId="77777777" w:rsidR="00C41EE5" w:rsidRDefault="00F23ACE">
      <w:pPr>
        <w:spacing w:after="80"/>
        <w:ind w:left="360"/>
      </w:pPr>
      <w:r>
        <w:t>• Dignité et autonomie des personnes accompagnées</w:t>
      </w:r>
    </w:p>
    <w:p w14:paraId="146FED80" w14:textId="77777777" w:rsidR="00C41EE5" w:rsidRDefault="00F23ACE">
      <w:pPr>
        <w:spacing w:after="80"/>
        <w:ind w:left="360"/>
      </w:pPr>
      <w:r>
        <w:t>• Présence humaine et éthique du care (irremplaçables)</w:t>
      </w:r>
    </w:p>
    <w:p w14:paraId="24F714FA" w14:textId="77777777" w:rsidR="00C41EE5" w:rsidRDefault="00F23ACE">
      <w:pPr>
        <w:spacing w:after="80"/>
        <w:ind w:left="360"/>
      </w:pPr>
      <w:r>
        <w:t xml:space="preserve">• Équité d'accès — éviter </w:t>
      </w:r>
      <w:r>
        <w:t>la double peine (vulnérabilité + technologies dégradées)</w:t>
      </w:r>
    </w:p>
    <w:p w14:paraId="35EC8D9E" w14:textId="77777777" w:rsidR="00C41EE5" w:rsidRDefault="00C41EE5">
      <w:pPr>
        <w:spacing w:after="200"/>
      </w:pPr>
    </w:p>
    <w:p w14:paraId="4F01B539" w14:textId="77777777" w:rsidR="00C41EE5" w:rsidRDefault="00C41EE5">
      <w:pPr>
        <w:pBdr>
          <w:bottom w:val="single" w:sz="6" w:space="1" w:color="CCCCCC"/>
        </w:pBdr>
        <w:spacing w:after="200"/>
      </w:pPr>
    </w:p>
    <w:p w14:paraId="20D6FAF9" w14:textId="77777777" w:rsidR="00F23ACE" w:rsidRDefault="00F23ACE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0F9228D9" w14:textId="28996C28" w:rsidR="00C41EE5" w:rsidRDefault="00F23ACE">
      <w:pPr>
        <w:spacing w:before="380" w:after="140"/>
      </w:pPr>
      <w:r>
        <w:rPr>
          <w:b/>
          <w:bCs/>
          <w:color w:val="1B3A6B"/>
          <w:sz w:val="28"/>
          <w:szCs w:val="28"/>
        </w:rPr>
        <w:lastRenderedPageBreak/>
        <w:t>✅</w:t>
      </w:r>
      <w:r>
        <w:rPr>
          <w:b/>
          <w:bCs/>
          <w:color w:val="1B3A6B"/>
          <w:sz w:val="28"/>
          <w:szCs w:val="28"/>
        </w:rPr>
        <w:t xml:space="preserve"> Recommandations principales de la HAS</w:t>
      </w:r>
    </w:p>
    <w:p w14:paraId="7535B7D7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Pour les pouvoirs publics et régulateurs</w:t>
      </w:r>
    </w:p>
    <w:p w14:paraId="28DA96FD" w14:textId="77777777" w:rsidR="00C41EE5" w:rsidRDefault="00F23ACE">
      <w:pPr>
        <w:spacing w:after="80"/>
        <w:ind w:left="360"/>
      </w:pPr>
      <w:r>
        <w:t xml:space="preserve">• Placer l'éthique </w:t>
      </w:r>
      <w:proofErr w:type="gramStart"/>
      <w:r>
        <w:t>du care</w:t>
      </w:r>
      <w:proofErr w:type="gramEnd"/>
      <w:r>
        <w:t xml:space="preserve"> et la présence humaine au cœur des usages</w:t>
      </w:r>
    </w:p>
    <w:p w14:paraId="64DF2054" w14:textId="77777777" w:rsidR="00C41EE5" w:rsidRDefault="00F23ACE">
      <w:pPr>
        <w:spacing w:after="80"/>
        <w:ind w:left="360"/>
      </w:pPr>
      <w:r>
        <w:t>• Garantir la protection des données sensibles (cadre RGPD renforcé)</w:t>
      </w:r>
    </w:p>
    <w:p w14:paraId="5EE82E1A" w14:textId="77777777" w:rsidR="00C41EE5" w:rsidRDefault="00F23ACE">
      <w:pPr>
        <w:spacing w:after="80"/>
        <w:ind w:left="360"/>
      </w:pPr>
      <w:r>
        <w:t>• Harmoniser les évaluations au-delà de la performance technique (impacts humains, sociaux, organisationnels)</w:t>
      </w:r>
    </w:p>
    <w:p w14:paraId="0C3D7164" w14:textId="77777777" w:rsidR="00C41EE5" w:rsidRDefault="00F23ACE">
      <w:pPr>
        <w:spacing w:after="80"/>
        <w:ind w:left="360"/>
      </w:pPr>
      <w:r>
        <w:t>• Renfor</w:t>
      </w:r>
      <w:r>
        <w:t>cer la régulation pour éviter la fracture sociale d'accès</w:t>
      </w:r>
    </w:p>
    <w:p w14:paraId="2C33C9EB" w14:textId="77777777" w:rsidR="00C41EE5" w:rsidRDefault="00F23ACE">
      <w:pPr>
        <w:spacing w:before="240" w:after="100"/>
      </w:pPr>
      <w:r>
        <w:rPr>
          <w:b/>
          <w:bCs/>
          <w:color w:val="1B3A6B"/>
          <w:sz w:val="24"/>
          <w:szCs w:val="24"/>
        </w:rPr>
        <w:t>Pour les ESSMS et les professionnels</w:t>
      </w:r>
    </w:p>
    <w:p w14:paraId="59D605E0" w14:textId="77777777" w:rsidR="00C41EE5" w:rsidRDefault="00F23ACE">
      <w:pPr>
        <w:spacing w:after="80"/>
        <w:ind w:left="360"/>
      </w:pPr>
      <w:r>
        <w:t>• Renforcer l'expertise des professionnels accompagnant ces technologies</w:t>
      </w:r>
    </w:p>
    <w:p w14:paraId="02AC437C" w14:textId="77777777" w:rsidR="00C41EE5" w:rsidRDefault="00F23ACE">
      <w:pPr>
        <w:spacing w:after="80"/>
        <w:ind w:left="360"/>
      </w:pPr>
      <w:r>
        <w:t>• Structurer la formation continue sur les usages, l'éthique et la maintenance</w:t>
      </w:r>
    </w:p>
    <w:p w14:paraId="25A5AF1C" w14:textId="77777777" w:rsidR="00C41EE5" w:rsidRDefault="00F23ACE">
      <w:pPr>
        <w:spacing w:after="80"/>
        <w:ind w:left="360"/>
      </w:pPr>
      <w:r>
        <w:t xml:space="preserve">• Mettre </w:t>
      </w:r>
      <w:r>
        <w:t>en place un suivi des usages et des effets (notamment psychoaffectifs)</w:t>
      </w:r>
    </w:p>
    <w:p w14:paraId="603B8E74" w14:textId="77777777" w:rsidR="00C41EE5" w:rsidRDefault="00F23ACE">
      <w:pPr>
        <w:spacing w:after="80"/>
        <w:ind w:left="360"/>
      </w:pPr>
      <w:r>
        <w:t>• Constituer des communautés d'utilisateurs et d'échanges entre concepteurs, opérateurs et bénéficiaires</w:t>
      </w:r>
    </w:p>
    <w:p w14:paraId="67D4DB58" w14:textId="77777777" w:rsidR="00C41EE5" w:rsidRDefault="00C41EE5">
      <w:pPr>
        <w:spacing w:after="200"/>
      </w:pPr>
    </w:p>
    <w:p w14:paraId="6BEFABB0" w14:textId="77777777" w:rsidR="00C41EE5" w:rsidRDefault="00C41EE5">
      <w:pPr>
        <w:pBdr>
          <w:bottom w:val="single" w:sz="6" w:space="1" w:color="CCCCCC"/>
        </w:pBdr>
        <w:spacing w:after="200"/>
      </w:pPr>
    </w:p>
    <w:p w14:paraId="649A6E47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🏛</w:t>
      </w:r>
      <w:proofErr w:type="gramEnd"/>
      <w:r>
        <w:rPr>
          <w:b/>
          <w:bCs/>
          <w:color w:val="1B3A6B"/>
          <w:sz w:val="28"/>
          <w:szCs w:val="28"/>
        </w:rPr>
        <w:t>️</w:t>
      </w:r>
      <w:r>
        <w:rPr>
          <w:b/>
          <w:bCs/>
          <w:color w:val="1B3A6B"/>
          <w:sz w:val="28"/>
          <w:szCs w:val="28"/>
        </w:rPr>
        <w:t xml:space="preserve"> Points de vigilance pour les directions d'ESSMS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89"/>
      </w:tblGrid>
      <w:tr w:rsidR="00C41EE5" w14:paraId="71AC2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B3A6B" w:fill="1B3A6B"/>
          </w:tcPr>
          <w:p w14:paraId="13859700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</w:t>
            </w:r>
            <w:r>
              <w:rPr>
                <w:b/>
                <w:bCs/>
                <w:color w:val="FFFFFF"/>
                <w:sz w:val="20"/>
                <w:szCs w:val="20"/>
              </w:rPr>
              <w:t>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Point</w:t>
            </w:r>
          </w:p>
        </w:tc>
        <w:tc>
          <w:tcPr>
            <w:tcW w:w="0" w:type="auto"/>
            <w:shd w:val="clear" w:color="1B3A6B" w:fill="1B3A6B"/>
          </w:tcPr>
          <w:p w14:paraId="06FEA27C" w14:textId="77777777" w:rsidR="00C41EE5" w:rsidRDefault="00F23A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Implication prati</w:t>
            </w:r>
            <w:r>
              <w:rPr>
                <w:b/>
                <w:bCs/>
                <w:color w:val="FFFFFF"/>
                <w:sz w:val="20"/>
                <w:szCs w:val="20"/>
              </w:rPr>
              <w:t>que</w:t>
            </w:r>
          </w:p>
        </w:tc>
      </w:tr>
      <w:tr w:rsidR="00C41EE5" w14:paraId="277A5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558ED78" w14:textId="77777777" w:rsidR="00C41EE5" w:rsidRDefault="00F23ACE">
            <w:r>
              <w:rPr>
                <w:sz w:val="20"/>
                <w:szCs w:val="20"/>
              </w:rPr>
              <w:t>Anticiper l'arrivée prochaine</w:t>
            </w:r>
          </w:p>
        </w:tc>
        <w:tc>
          <w:tcPr>
            <w:tcW w:w="0" w:type="auto"/>
            <w:shd w:val="clear" w:color="auto" w:fill="auto"/>
          </w:tcPr>
          <w:p w14:paraId="6F9AFA1E" w14:textId="77777777" w:rsidR="00C41EE5" w:rsidRDefault="00F23ACE">
            <w:r>
              <w:rPr>
                <w:sz w:val="20"/>
                <w:szCs w:val="20"/>
              </w:rPr>
              <w:t>Le marché grand public progresse vite. La question est : quand, pas si. Préparer un cadrage interne avant l'arrivée.</w:t>
            </w:r>
          </w:p>
        </w:tc>
      </w:tr>
      <w:tr w:rsidR="00C41EE5" w14:paraId="7CB59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1B3E1BEB" w14:textId="77777777" w:rsidR="00C41EE5" w:rsidRDefault="00F23ACE">
            <w:r>
              <w:rPr>
                <w:sz w:val="20"/>
                <w:szCs w:val="20"/>
              </w:rPr>
              <w:t>Charte d'usage indispensable</w:t>
            </w:r>
          </w:p>
        </w:tc>
        <w:tc>
          <w:tcPr>
            <w:tcW w:w="0" w:type="auto"/>
            <w:shd w:val="clear" w:color="EEF2F7" w:fill="EEF2F7"/>
          </w:tcPr>
          <w:p w14:paraId="38C1C529" w14:textId="77777777" w:rsidR="00C41EE5" w:rsidRDefault="00F23ACE">
            <w:r>
              <w:rPr>
                <w:sz w:val="20"/>
                <w:szCs w:val="20"/>
              </w:rPr>
              <w:t>Comme pour l'IA générative : qui peut prescrire ? Pour quels publics ? Avec quel consentement ? Quelle traçab</w:t>
            </w:r>
            <w:r>
              <w:rPr>
                <w:sz w:val="20"/>
                <w:szCs w:val="20"/>
              </w:rPr>
              <w:t>ilité ?</w:t>
            </w:r>
          </w:p>
        </w:tc>
      </w:tr>
      <w:tr w:rsidR="00C41EE5" w14:paraId="50C26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D9422BE" w14:textId="77777777" w:rsidR="00C41EE5" w:rsidRDefault="00F23ACE">
            <w:r>
              <w:rPr>
                <w:sz w:val="20"/>
                <w:szCs w:val="20"/>
              </w:rPr>
              <w:t xml:space="preserve">Éthique </w:t>
            </w:r>
            <w:proofErr w:type="gramStart"/>
            <w:r>
              <w:rPr>
                <w:sz w:val="20"/>
                <w:szCs w:val="20"/>
              </w:rPr>
              <w:t>du care</w:t>
            </w:r>
            <w:proofErr w:type="gramEnd"/>
            <w:r>
              <w:rPr>
                <w:sz w:val="20"/>
                <w:szCs w:val="20"/>
              </w:rPr>
              <w:t xml:space="preserve"> en priorité</w:t>
            </w:r>
          </w:p>
        </w:tc>
        <w:tc>
          <w:tcPr>
            <w:tcW w:w="0" w:type="auto"/>
            <w:shd w:val="clear" w:color="auto" w:fill="auto"/>
          </w:tcPr>
          <w:p w14:paraId="1705B375" w14:textId="77777777" w:rsidR="00C41EE5" w:rsidRDefault="00F23ACE">
            <w:r>
              <w:rPr>
                <w:sz w:val="20"/>
                <w:szCs w:val="20"/>
              </w:rPr>
              <w:t>Aucun déploiement sans CVS informé, sans avis du CSE, sans consentement éclairé des personnes accompagnées.</w:t>
            </w:r>
          </w:p>
        </w:tc>
      </w:tr>
      <w:tr w:rsidR="00C41EE5" w14:paraId="3DED6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4BFFD5C5" w14:textId="77777777" w:rsidR="00C41EE5" w:rsidRDefault="00F23ACE">
            <w:r>
              <w:rPr>
                <w:sz w:val="20"/>
                <w:szCs w:val="20"/>
              </w:rPr>
              <w:t>Données personnelles sensibles</w:t>
            </w:r>
          </w:p>
        </w:tc>
        <w:tc>
          <w:tcPr>
            <w:tcW w:w="0" w:type="auto"/>
            <w:shd w:val="clear" w:color="EEF2F7" w:fill="EEF2F7"/>
          </w:tcPr>
          <w:p w14:paraId="30B8D5C3" w14:textId="77777777" w:rsidR="00C41EE5" w:rsidRDefault="00F23ACE">
            <w:r>
              <w:rPr>
                <w:sz w:val="20"/>
                <w:szCs w:val="20"/>
              </w:rPr>
              <w:t>Données comportementales, émotionnelles, conversationnelles. DPO impliqué dès l'évaluation. RGPD strict.</w:t>
            </w:r>
          </w:p>
        </w:tc>
      </w:tr>
      <w:tr w:rsidR="00C41EE5" w14:paraId="1EA2F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6EC495E" w14:textId="77777777" w:rsidR="00C41EE5" w:rsidRDefault="00F23ACE">
            <w:r>
              <w:rPr>
                <w:sz w:val="20"/>
                <w:szCs w:val="20"/>
              </w:rPr>
              <w:t>TMS et QVT</w:t>
            </w:r>
          </w:p>
        </w:tc>
        <w:tc>
          <w:tcPr>
            <w:tcW w:w="0" w:type="auto"/>
            <w:shd w:val="clear" w:color="auto" w:fill="auto"/>
          </w:tcPr>
          <w:p w14:paraId="41C7876C" w14:textId="77777777" w:rsidR="00C41EE5" w:rsidRDefault="00F23ACE">
            <w:r>
              <w:rPr>
                <w:sz w:val="20"/>
                <w:szCs w:val="20"/>
              </w:rPr>
              <w:t>Les robots d'assistance physique sont un levier QVT prioritaire pour réduire les TMS. Évaluation à privilégier.</w:t>
            </w:r>
          </w:p>
        </w:tc>
      </w:tr>
      <w:tr w:rsidR="00C41EE5" w14:paraId="48EB9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EF2F7" w:fill="EEF2F7"/>
          </w:tcPr>
          <w:p w14:paraId="6E3AF19E" w14:textId="77777777" w:rsidR="00C41EE5" w:rsidRDefault="00F23ACE">
            <w:r>
              <w:rPr>
                <w:sz w:val="20"/>
                <w:szCs w:val="20"/>
              </w:rPr>
              <w:t>Coût total de possession</w:t>
            </w:r>
          </w:p>
        </w:tc>
        <w:tc>
          <w:tcPr>
            <w:tcW w:w="0" w:type="auto"/>
            <w:shd w:val="clear" w:color="EEF2F7" w:fill="EEF2F7"/>
          </w:tcPr>
          <w:p w14:paraId="66543E6C" w14:textId="77777777" w:rsidR="00C41EE5" w:rsidRDefault="00F23ACE">
            <w:r>
              <w:rPr>
                <w:sz w:val="20"/>
                <w:szCs w:val="20"/>
              </w:rPr>
              <w:t>Acquisition + maintenance + formation + supervision. Anticiper sur 5 ans, pas sur le prix d'achat seul.</w:t>
            </w:r>
          </w:p>
        </w:tc>
      </w:tr>
      <w:tr w:rsidR="00C41EE5" w14:paraId="778FA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02D19F5" w14:textId="77777777" w:rsidR="00C41EE5" w:rsidRDefault="00F23ACE">
            <w:r>
              <w:rPr>
                <w:sz w:val="20"/>
                <w:szCs w:val="20"/>
              </w:rPr>
              <w:t>Évaluation HAS et démarche qualité</w:t>
            </w:r>
          </w:p>
        </w:tc>
        <w:tc>
          <w:tcPr>
            <w:tcW w:w="0" w:type="auto"/>
            <w:shd w:val="clear" w:color="auto" w:fill="auto"/>
          </w:tcPr>
          <w:p w14:paraId="2D497EBB" w14:textId="77777777" w:rsidR="00C41EE5" w:rsidRDefault="00F23ACE">
            <w:r>
              <w:rPr>
                <w:sz w:val="20"/>
                <w:szCs w:val="20"/>
              </w:rPr>
              <w:t>Tout déploiement doit s'inscrire dans la démarche qualité avec preuves d'efficacité et de r</w:t>
            </w:r>
            <w:r>
              <w:rPr>
                <w:sz w:val="20"/>
                <w:szCs w:val="20"/>
              </w:rPr>
              <w:t>espect des droits.</w:t>
            </w:r>
          </w:p>
        </w:tc>
      </w:tr>
    </w:tbl>
    <w:p w14:paraId="5CAC508A" w14:textId="77777777" w:rsidR="00C41EE5" w:rsidRDefault="00C41EE5">
      <w:pPr>
        <w:spacing w:after="200"/>
      </w:pPr>
    </w:p>
    <w:p w14:paraId="599AAF0C" w14:textId="77777777" w:rsidR="00C41EE5" w:rsidRDefault="00C41EE5">
      <w:pPr>
        <w:pBdr>
          <w:bottom w:val="single" w:sz="6" w:space="1" w:color="CCCCCC"/>
        </w:pBdr>
        <w:spacing w:after="200"/>
      </w:pPr>
    </w:p>
    <w:p w14:paraId="1E3A554D" w14:textId="77777777" w:rsidR="00C41EE5" w:rsidRDefault="00F23ACE">
      <w:pPr>
        <w:spacing w:before="380" w:after="140"/>
      </w:pPr>
      <w:proofErr w:type="gramStart"/>
      <w:r>
        <w:rPr>
          <w:b/>
          <w:bCs/>
          <w:color w:val="1B3A6B"/>
          <w:sz w:val="28"/>
          <w:szCs w:val="28"/>
        </w:rPr>
        <w:t>📅</w:t>
      </w:r>
      <w:proofErr w:type="gramEnd"/>
      <w:r>
        <w:rPr>
          <w:b/>
          <w:bCs/>
          <w:color w:val="1B3A6B"/>
          <w:sz w:val="28"/>
          <w:szCs w:val="28"/>
        </w:rPr>
        <w:t xml:space="preserve"> Agenda et veille recommandés</w:t>
      </w:r>
    </w:p>
    <w:p w14:paraId="3EE71A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Lire le rapport HAS complet (45 pages, Sources/RBPP/robots-sociaux/)</w:t>
      </w:r>
    </w:p>
    <w:p w14:paraId="42F839EA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Identifier les fournisseurs de robots thérapeutiques actifs en France (Paro, Pepper, Nao)</w:t>
      </w:r>
    </w:p>
    <w:p w14:paraId="47D2ADA2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Si projet : programmer une visite d'un EHPAD utilisateur de Paro pour retour terrain</w:t>
      </w:r>
    </w:p>
    <w:p w14:paraId="785C01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Cadrage interne : charte d'usage IA + robotique (anticipation 2</w:t>
      </w:r>
      <w:r>
        <w:t>027)</w:t>
      </w:r>
    </w:p>
    <w:p w14:paraId="7CBA5F22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Information CSE sur les évolutions sectorielles</w:t>
      </w:r>
    </w:p>
    <w:p w14:paraId="14E0883A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Veille active sur les financements ARS / CNSA pour les démarches expérimentales</w:t>
      </w:r>
    </w:p>
    <w:p w14:paraId="04D6C9B4" w14:textId="77777777" w:rsidR="00C41EE5" w:rsidRDefault="00F23ACE">
      <w:pPr>
        <w:spacing w:after="80"/>
        <w:ind w:left="360"/>
      </w:pPr>
      <w:r>
        <w:t xml:space="preserve">• </w:t>
      </w:r>
      <w:proofErr w:type="gramStart"/>
      <w:r>
        <w:t>[ ]</w:t>
      </w:r>
      <w:proofErr w:type="gramEnd"/>
      <w:r>
        <w:t xml:space="preserve"> Surveiller la sortie de futures RBPP HAS spécifiques au handicap mental</w:t>
      </w:r>
    </w:p>
    <w:p w14:paraId="3F04AD72" w14:textId="77777777" w:rsidR="00C41EE5" w:rsidRDefault="00C41EE5">
      <w:pPr>
        <w:spacing w:after="300"/>
      </w:pPr>
    </w:p>
    <w:p w14:paraId="317ECAF4" w14:textId="77777777" w:rsidR="00C41EE5" w:rsidRDefault="00C41EE5">
      <w:pPr>
        <w:pBdr>
          <w:bottom w:val="single" w:sz="6" w:space="1" w:color="CCCCCC"/>
        </w:pBdr>
        <w:spacing w:after="200"/>
      </w:pPr>
    </w:p>
    <w:p w14:paraId="683CB2A1" w14:textId="77777777" w:rsidR="00C41EE5" w:rsidRDefault="00F23ACE">
      <w:pPr>
        <w:jc w:val="center"/>
      </w:pPr>
      <w:r>
        <w:rPr>
          <w:color w:val="6B7280"/>
          <w:sz w:val="18"/>
          <w:szCs w:val="18"/>
        </w:rPr>
        <w:t xml:space="preserve">Source : HAS, </w:t>
      </w:r>
      <w:hyperlink w:history="1" r:id="rIdhas3996266">
        <w:r>
          <w:rPr>
            <w:sz w:val="18"/>
            <w:szCs w:val="18"/>
            <w:color w:val="1155CC"/>
            <w:u w:val="single"/>
          </w:rPr>
          <w:t xml:space="preserve">has-sante.fr/jcms/p_3996266</w:t>
        </w:r>
      </w:hyperlink>
      <w:r>
        <w:rPr>
          <w:color w:val="6B7280"/>
          <w:sz w:val="18"/>
          <w:szCs w:val="18"/>
        </w:rPr>
        <w:t xml:space="preserve"> — Rapport d'analys</w:t>
      </w:r>
      <w:r>
        <w:rPr>
          <w:color w:val="6B7280"/>
          <w:sz w:val="18"/>
          <w:szCs w:val="18"/>
        </w:rPr>
        <w:t>e prospective 2026 (publié le 19/05/2026) — PDF dans Sources/RBPP/robots-sociaux/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relue le 12/09/2026 au cours d'un contrôle d'attribution des 221 documents du dépôt (passes A2 et A4 : une norme nommée, une ligne « Source : », portent une adresse).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« Source : HAS — Rapport d'analyse prospective 2026 (publié le 19/05/2026) — PDF dans Sources/RBPP/robots-sociaux/ » nommait le rapport sans page. La page HAS du rapport (p_3996266, à 200 le 12/09/2026) est ajoutée et liée ; le PDF local reste mentionné.</w:t>
      </w:r>
    </w:p>
    <w:sectPr w:rsidR="00C41EE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801F7"/>
    <w:multiLevelType w:val="hybridMultilevel"/>
    <w:tmpl w:val="FA0AFD18"/>
    <w:lvl w:ilvl="0" w:tplc="0AD8749C">
      <w:start w:val="1"/>
      <w:numFmt w:val="bullet"/>
      <w:lvlText w:val="●"/>
      <w:lvlJc w:val="left"/>
      <w:pPr>
        <w:ind w:left="720" w:hanging="360"/>
      </w:pPr>
    </w:lvl>
    <w:lvl w:ilvl="1" w:tplc="E6225030">
      <w:start w:val="1"/>
      <w:numFmt w:val="bullet"/>
      <w:lvlText w:val="○"/>
      <w:lvlJc w:val="left"/>
      <w:pPr>
        <w:ind w:left="1440" w:hanging="360"/>
      </w:pPr>
    </w:lvl>
    <w:lvl w:ilvl="2" w:tplc="932EC2C4">
      <w:start w:val="1"/>
      <w:numFmt w:val="bullet"/>
      <w:lvlText w:val="■"/>
      <w:lvlJc w:val="left"/>
      <w:pPr>
        <w:ind w:left="2160" w:hanging="360"/>
      </w:pPr>
    </w:lvl>
    <w:lvl w:ilvl="3" w:tplc="4EFEF310">
      <w:start w:val="1"/>
      <w:numFmt w:val="bullet"/>
      <w:lvlText w:val="●"/>
      <w:lvlJc w:val="left"/>
      <w:pPr>
        <w:ind w:left="2880" w:hanging="360"/>
      </w:pPr>
    </w:lvl>
    <w:lvl w:ilvl="4" w:tplc="4A64758C">
      <w:start w:val="1"/>
      <w:numFmt w:val="bullet"/>
      <w:lvlText w:val="○"/>
      <w:lvlJc w:val="left"/>
      <w:pPr>
        <w:ind w:left="3600" w:hanging="360"/>
      </w:pPr>
    </w:lvl>
    <w:lvl w:ilvl="5" w:tplc="1B18CFAE">
      <w:start w:val="1"/>
      <w:numFmt w:val="bullet"/>
      <w:lvlText w:val="■"/>
      <w:lvlJc w:val="left"/>
      <w:pPr>
        <w:ind w:left="4320" w:hanging="360"/>
      </w:pPr>
    </w:lvl>
    <w:lvl w:ilvl="6" w:tplc="FAAC3F38">
      <w:start w:val="1"/>
      <w:numFmt w:val="bullet"/>
      <w:lvlText w:val="●"/>
      <w:lvlJc w:val="left"/>
      <w:pPr>
        <w:ind w:left="5040" w:hanging="360"/>
      </w:pPr>
    </w:lvl>
    <w:lvl w:ilvl="7" w:tplc="A06A7DCE">
      <w:start w:val="1"/>
      <w:numFmt w:val="bullet"/>
      <w:lvlText w:val="●"/>
      <w:lvlJc w:val="left"/>
      <w:pPr>
        <w:ind w:left="5760" w:hanging="360"/>
      </w:pPr>
    </w:lvl>
    <w:lvl w:ilvl="8" w:tplc="B7909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EE5"/>
    <w:rsid w:val="00C41EE5"/>
    <w:rsid w:val="00F2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342B"/>
  <w15:docId w15:val="{95D8BCFD-66D5-43FF-AF48-16BB5E8E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as3996266" Type="http://schemas.openxmlformats.org/officeDocument/2006/relationships/hyperlink" Target="https://www.has-sante.fr/jcms/p_3996266/fr/robots-sociaux-quels-enjeux-pour-demain-rapport-d-analyse-prospective-202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1067</Words>
  <Characters>5871</Characters>
  <Application>Microsoft Office Word</Application>
  <DocSecurity>0</DocSecurity>
  <Lines>48</Lines>
  <Paragraphs>13</Paragraphs>
  <ScaleCrop>false</ScaleCrop>
  <Company>Ari_Office2021_ProPlus</Company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AUBRUN</cp:lastModifiedBy>
  <cp:revision>3</cp:revision>
  <dcterms:created xsi:type="dcterms:W3CDTF">2026-05-22T14:47:00Z</dcterms:created>
  <dcterms:modified xsi:type="dcterms:W3CDTF">2026-05-22T21:05:00Z</dcterms:modified>
</cp:coreProperties>
</file>