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veille_essms_semaine_du_20_mai_au_314826"/>
      <w:r>
        <w:rPr>
          <w:rFonts w:eastAsia="georgia" w:cs="georgia" w:ascii="georgia" w:hAnsi="georgia"/>
          <w:b/>
          <w:color w:val="000000"/>
          <w:sz w:val="39"/>
        </w:rPr>
        <w:t xml:space="preserve">Veille ESSMS — Semaine du 20 mai au 26 mai 2026</w:t>
      </w:r>
      <w:bookmarkEnd w:id="0"/>
    </w:p>
    <w:p>
      <w:pPr>
        <w:spacing w:line="360" w:before="315" w:after="105" w:lineRule="auto"/>
        <w:ind w:left="-30"/>
        <w:jc w:val="left"/>
      </w:pPr>
      <w:bookmarkStart w:id="1" w:name="synthèse_exécutive"/>
      <w:r>
        <w:rPr>
          <w:rFonts w:eastAsia="georgia" w:cs="georgia" w:ascii="georgia" w:hAnsi="georgia"/>
          <w:b/>
          <w:color w:val="000000"/>
          <w:sz w:val="24"/>
        </w:rPr>
        <w:t xml:space="preserve">Synthèse exécutive</w:t>
      </w:r>
      <w:bookmarkEnd w:id="1"/>
    </w:p>
    <w:p>
      <w:pPr>
        <w:spacing w:line="360" w:after="210" w:lineRule="auto"/>
      </w:pPr>
      <w:r>
        <w:rPr>
          <w:rFonts w:eastAsia="georgia" w:cs="georgia" w:ascii="georgia" w:hAnsi="georgia"/>
          <w:color w:val="000000"/>
        </w:rPr>
        <w:t xml:space="preserve">La semaine reste modérément active dans le périmètre ESSMS handicap adulte, sans nouvelle obligation réglementaire directe identifiée dans les sources institutionnelles consultées. Les points les plus actionnables concernent l’appel à contribution sur l’autodétermination relayé par Nexem, la mobilisation sociale des 26 et 27 mai, et le plan « Santé des professionnels de santé » ciblant notamment les aides-soignants et AES en secteur médico-social (</w:t>
      </w:r>
      <w:hyperlink r:id="rId5">
        <w:r>
          <w:rPr>
            <w:rFonts w:eastAsia="helvetica neue" w:cs="helvetica neue" w:ascii="helvetica neue" w:hAnsi="helvetica neue"/>
            <w:color w:val="#000"/>
            <w:u w:val="single"/>
          </w:rPr>
          <w:t xml:space="preserve">Nexem</w:t>
        </w:r>
      </w:hyperlink>
      <w:r>
        <w:rPr>
          <w:rFonts w:eastAsia="georgia" w:cs="georgia" w:ascii="georgia" w:hAnsi="georgia"/>
          <w:color w:val="000000"/>
        </w:rPr>
        <w:t xml:space="preserve">, </w:t>
      </w:r>
      <w:hyperlink r:id="rId6">
        <w:r>
          <w:rPr>
            <w:rFonts w:eastAsia="helvetica neue" w:cs="helvetica neue" w:ascii="helvetica neue" w:hAnsi="helvetica neue"/>
            <w:color w:val="#000"/>
            <w:u w:val="single"/>
          </w:rPr>
          <w:t xml:space="preserve">Handicap.fr</w:t>
        </w:r>
      </w:hyperlink>
      <w:r>
        <w:rPr>
          <w:rFonts w:eastAsia="georgia" w:cs="georgia" w:ascii="georgia" w:hAnsi="georgia"/>
          <w:color w:val="000000"/>
        </w:rPr>
        <w:t xml:space="preserve">, </w:t>
      </w:r>
      <w:hyperlink r:id="rId7">
        <w:r>
          <w:rPr>
            <w:rFonts w:eastAsia="helvetica neue" w:cs="helvetica neue" w:ascii="helvetica neue" w:hAnsi="helvetica neue"/>
            <w:color w:val="#000"/>
            <w:u w:val="single"/>
          </w:rPr>
          <w:t xml:space="preserve">Le Media Social</w:t>
        </w:r>
      </w:hyperlink>
      <w:r>
        <w:rPr>
          <w:rFonts w:eastAsia="georgia" w:cs="georgia" w:ascii="georgia" w:hAnsi="georgia"/>
          <w:color w:val="000000"/>
        </w:rPr>
        <w:t xml:space="preserve">). SERAFIN-PH ne fait pas l’objet d’une nouvelle publication officielle dans la fenêtre stricte, mais reste un sujet stratégique à suivre en vue de l’entrée en vigueur 2027 pour les ESMS du champ enfance handicap (</w:t>
      </w:r>
      <w:hyperlink r:id="rId8">
        <w:r>
          <w:rPr>
            <w:rFonts w:eastAsia="helvetica neue" w:cs="helvetica neue" w:ascii="helvetica neue" w:hAnsi="helvetica neue"/>
            <w:color w:val="#000"/>
            <w:u w:val="single"/>
          </w:rPr>
          <w:t xml:space="preserve">Handicap.gouv.fr</w:t>
        </w:r>
      </w:hyperlink>
      <w:r>
        <w:rPr>
          <w:rFonts w:eastAsia="georgia" w:cs="georgia" w:ascii="georgia" w:hAnsi="georgia"/>
          <w:color w:val="000000"/>
        </w:rPr>
        <w:t xml:space="preserve">).</w:t>
      </w:r>
    </w:p>
    <w:p>
      <w:pPr>
        <w:spacing w:line="360" w:before="315" w:after="105" w:lineRule="auto"/>
        <w:ind w:left="-30"/>
        <w:jc w:val="left"/>
      </w:pPr>
      <w:bookmarkStart w:id="2" w:name="items_prioritaires"/>
      <w:r>
        <w:rPr>
          <w:rFonts w:eastAsia="georgia" w:cs="georgia" w:ascii="georgia" w:hAnsi="georgia"/>
          <w:b/>
          <w:color w:val="000000"/>
          <w:sz w:val="24"/>
        </w:rPr>
        <w:t xml:space="preserve">Items prioritaires</w:t>
      </w:r>
      <w:bookmarkEnd w:id="2"/>
    </w:p>
    <w:p>
      <w:pPr>
        <w:spacing w:line="360" w:before="315" w:after="105" w:lineRule="auto"/>
        <w:ind w:left="-30"/>
        <w:jc w:val="left"/>
      </w:pPr>
      <w:bookmarkStart w:id="3" w:name="contribution_nationale_sur_l_auto_b90239"/>
      <w:r>
        <w:rPr>
          <w:rFonts w:eastAsia="georgia" w:cs="georgia" w:ascii="georgia" w:hAnsi="georgia"/>
          <w:b/>
          <w:color w:val="000000"/>
          <w:sz w:val="24"/>
        </w:rPr>
        <w:t xml:space="preserve">🟠 Contribution nationale sur l’autodétermination et les choix de vie des personnes en situation de handicap</w:t>
      </w:r>
      <w:bookmarkEnd w:id="3"/>
    </w:p>
    <w:p>
      <w:pPr>
        <w:numPr>
          <w:ilvl w:val="0"/>
          <w:numId w:val="1"/>
        </w:numPr>
        <w:spacing w:line="360" w:before="105" w:after="105" w:lineRule="auto"/>
      </w:pPr>
      <w:r>
        <w:rPr>
          <w:rFonts w:eastAsia="georgia" w:cs="georgia" w:ascii="georgia" w:hAnsi="georgia"/>
          <w:color w:val="000000"/>
          <w:sz w:val="21"/>
        </w:rPr>
        <w:t xml:space="preserve">Catégorie : Droits des personnes / Qualité / Autodétermination</w:t>
      </w:r>
    </w:p>
    <w:p>
      <w:pPr>
        <w:numPr>
          <w:ilvl w:val="0"/>
          <w:numId w:val="1"/>
        </w:numPr>
        <w:spacing w:line="360" w:before="105" w:after="105" w:lineRule="auto"/>
      </w:pPr>
      <w:r>
        <w:rPr>
          <w:rFonts w:eastAsia="georgia" w:cs="georgia" w:ascii="georgia" w:hAnsi="georgia"/>
          <w:color w:val="000000"/>
          <w:sz w:val="21"/>
        </w:rPr>
        <w:t xml:space="preserve">Source : Nexem, nexem.fr — 21 mai 2026</w:t>
      </w:r>
    </w:p>
    <w:p>
      <w:pPr>
        <w:numPr>
          <w:ilvl w:val="0"/>
          <w:numId w:val="1"/>
        </w:numPr>
        <w:spacing w:line="360" w:before="105" w:after="105" w:lineRule="auto"/>
      </w:pPr>
      <w:r>
        <w:rPr>
          <w:rFonts w:eastAsia="georgia" w:cs="georgia" w:ascii="georgia" w:hAnsi="georgia"/>
          <w:color w:val="000000"/>
          <w:sz w:val="21"/>
        </w:rPr>
        <w:t xml:space="preserve">Lien : </w:t>
      </w:r>
      <w:hyperlink r:id="rId9">
        <w:r>
          <w:rPr>
            <w:rFonts w:eastAsia="helvetica neue" w:cs="helvetica neue" w:ascii="helvetica neue" w:hAnsi="helvetica neue"/>
            <w:color w:val="#000"/>
            <w:sz w:val="21"/>
            <w:u w:val="single"/>
          </w:rPr>
          <w:t xml:space="preserve">Nexem</w:t>
        </w:r>
      </w:hyperlink>
    </w:p>
    <w:p>
      <w:pPr>
        <w:numPr>
          <w:ilvl w:val="0"/>
          <w:numId w:val="1"/>
        </w:numPr>
        <w:spacing w:line="360" w:before="105" w:after="105" w:lineRule="auto"/>
      </w:pPr>
      <w:r>
        <w:rPr>
          <w:rFonts w:eastAsia="georgia" w:cs="georgia" w:ascii="georgia" w:hAnsi="georgia"/>
          <w:color w:val="000000"/>
          <w:sz w:val="21"/>
        </w:rPr>
        <w:t xml:space="preserve">Résumé : Nexem relaie un questionnaire national inscrit dans le projet européen « Soutenir les choix de vie des personnes en situation de handicap », piloté par la DGCS, financé par l’Union européenne et mis en œuvre par Expertise France (</w:t>
      </w:r>
      <w:hyperlink r:id="rId10">
        <w:r>
          <w:rPr>
            <w:rFonts w:eastAsia="helvetica neue" w:cs="helvetica neue" w:ascii="helvetica neue" w:hAnsi="helvetica neue"/>
            <w:color w:val="#000"/>
            <w:sz w:val="21"/>
            <w:u w:val="single"/>
          </w:rPr>
          <w:t xml:space="preserve">Nexem</w:t>
        </w:r>
      </w:hyperlink>
      <w:r>
        <w:rPr>
          <w:rFonts w:eastAsia="georgia" w:cs="georgia" w:ascii="georgia" w:hAnsi="georgia"/>
          <w:color w:val="000000"/>
          <w:sz w:val="21"/>
        </w:rPr>
        <w:t xml:space="preserve">). La démarche vise à documenter les conditions réelles d’exercice de l’autodétermination, les pratiques existantes, les freins et les besoins du terrain autour des pratiques professionnelles, de la mobilité, des transports et des outils digitaux (</w:t>
      </w:r>
      <w:hyperlink r:id="rId11">
        <w:r>
          <w:rPr>
            <w:rFonts w:eastAsia="helvetica neue" w:cs="helvetica neue" w:ascii="helvetica neue" w:hAnsi="helvetica neue"/>
            <w:color w:val="#000"/>
            <w:sz w:val="21"/>
            <w:u w:val="single"/>
          </w:rPr>
          <w:t xml:space="preserve">Nexem</w:t>
        </w:r>
      </w:hyperlink>
      <w:r>
        <w:rPr>
          <w:rFonts w:eastAsia="georgia" w:cs="georgia" w:ascii="georgia" w:hAnsi="georgia"/>
          <w:color w:val="000000"/>
          <w:sz w:val="21"/>
        </w:rPr>
        <w:t xml:space="preserve">). Le questionnaire cible notamment les organismes gestionnaires, établissements, professionnels, personnes concernées, proches aidants et acteurs institutionnels, avec une échéance au 27 mai 2026 (</w:t>
      </w:r>
      <w:hyperlink r:id="rId12">
        <w:r>
          <w:rPr>
            <w:rFonts w:eastAsia="helvetica neue" w:cs="helvetica neue" w:ascii="helvetica neue" w:hAnsi="helvetica neue"/>
            <w:color w:val="#000"/>
            <w:sz w:val="21"/>
            <w:u w:val="single"/>
          </w:rPr>
          <w:t xml:space="preserve">Nexem</w:t>
        </w:r>
      </w:hyperlink>
      <w:r>
        <w:rPr>
          <w:rFonts w:eastAsia="georgia" w:cs="georgia" w:ascii="georgia" w:hAnsi="georgia"/>
          <w:color w:val="000000"/>
          <w:sz w:val="21"/>
        </w:rPr>
        <w:t xml:space="preserve">).</w:t>
      </w:r>
    </w:p>
    <w:p>
      <w:pPr>
        <w:numPr>
          <w:ilvl w:val="0"/>
          <w:numId w:val="1"/>
        </w:numPr>
        <w:spacing w:line="360" w:before="105" w:after="105" w:lineRule="auto"/>
      </w:pPr>
      <w:r>
        <w:rPr>
          <w:rFonts w:eastAsia="georgia" w:cs="georgia" w:ascii="georgia" w:hAnsi="georgia"/>
          <w:color w:val="000000"/>
          <w:sz w:val="21"/>
        </w:rPr>
        <w:t xml:space="preserve">Implication pratique pour ESSMS : Diffuser sans délai le questionnaire aux directions, services qualité, référents projet personnalisé et professionnels impliqués dans l’autodétermination. Utiliser la contribution pour faire remonter les freins observés en foyer de vie, FAM, MAS, SAVS ou SAMSAH : choix de lieu de vie, participation aux décisions, mobilité, accès au droit commun et usage du numérique.</w:t>
      </w:r>
    </w:p>
    <w:p>
      <w:pPr>
        <w:spacing w:line="360" w:before="315" w:after="105" w:lineRule="auto"/>
        <w:ind w:left="-30"/>
        <w:jc w:val="left"/>
      </w:pPr>
      <w:bookmarkStart w:id="4" w:name="mobilisation_nationale_du_secteur_9cad3b"/>
      <w:r>
        <w:rPr>
          <w:rFonts w:eastAsia="georgia" w:cs="georgia" w:ascii="georgia" w:hAnsi="georgia"/>
          <w:b/>
          <w:color w:val="000000"/>
          <w:sz w:val="24"/>
        </w:rPr>
        <w:t xml:space="preserve">🟠 Mobilisation nationale du secteur sanitaire, social et médico-social les 26 et 27 mai</w:t>
      </w:r>
      <w:bookmarkEnd w:id="4"/>
    </w:p>
    <w:p>
      <w:pPr>
        <w:numPr>
          <w:ilvl w:val="0"/>
          <w:numId w:val="2"/>
        </w:numPr>
        <w:spacing w:line="360" w:before="105" w:after="105" w:lineRule="auto"/>
      </w:pPr>
      <w:r>
        <w:rPr>
          <w:rFonts w:eastAsia="georgia" w:cs="georgia" w:ascii="georgia" w:hAnsi="georgia"/>
          <w:color w:val="000000"/>
          <w:sz w:val="21"/>
        </w:rPr>
        <w:t xml:space="preserve">Catégorie : QVT / Management / Attractivité</w:t>
      </w:r>
    </w:p>
    <w:p>
      <w:pPr>
        <w:numPr>
          <w:ilvl w:val="0"/>
          <w:numId w:val="2"/>
        </w:numPr>
        <w:spacing w:line="360" w:before="105" w:after="105" w:lineRule="auto"/>
      </w:pPr>
      <w:r>
        <w:rPr>
          <w:rFonts w:eastAsia="georgia" w:cs="georgia" w:ascii="georgia" w:hAnsi="georgia"/>
          <w:color w:val="000000"/>
          <w:sz w:val="21"/>
        </w:rPr>
        <w:t xml:space="preserve">Source : </w:t>
      </w:r>
      <w:hyperlink r:id="rId13">
        <w:r>
          <w:rPr>
            <w:rFonts w:eastAsia="helvetica neue" w:cs="helvetica neue" w:ascii="helvetica neue" w:hAnsi="helvetica neue"/>
            <w:color w:val="#000"/>
            <w:sz w:val="21"/>
            <w:u w:val="single"/>
          </w:rPr>
          <w:t xml:space="preserve">Handicap.fr</w:t>
        </w:r>
      </w:hyperlink>
      <w:r>
        <w:rPr>
          <w:rFonts w:eastAsia="georgia" w:cs="georgia" w:ascii="georgia" w:hAnsi="georgia"/>
          <w:color w:val="000000"/>
          <w:sz w:val="21"/>
        </w:rPr>
        <w:t xml:space="preserve"> — 25 mai 2026</w:t>
      </w:r>
    </w:p>
    <w:p>
      <w:pPr>
        <w:numPr>
          <w:ilvl w:val="0"/>
          <w:numId w:val="2"/>
        </w:numPr>
        <w:spacing w:line="360" w:before="105" w:after="105" w:lineRule="auto"/>
      </w:pPr>
      <w:r>
        <w:rPr>
          <w:rFonts w:eastAsia="georgia" w:cs="georgia" w:ascii="georgia" w:hAnsi="georgia"/>
          <w:color w:val="000000"/>
          <w:sz w:val="21"/>
        </w:rPr>
        <w:t xml:space="preserve">Lien : </w:t>
      </w:r>
      <w:hyperlink r:id="rId14">
        <w:r>
          <w:rPr>
            <w:rFonts w:eastAsia="helvetica neue" w:cs="helvetica neue" w:ascii="helvetica neue" w:hAnsi="helvetica neue"/>
            <w:color w:val="#000"/>
            <w:sz w:val="21"/>
            <w:u w:val="single"/>
          </w:rPr>
          <w:t xml:space="preserve">Handicap.fr</w:t>
        </w:r>
      </w:hyperlink>
    </w:p>
    <w:p>
      <w:pPr>
        <w:numPr>
          <w:ilvl w:val="0"/>
          <w:numId w:val="2"/>
        </w:numPr>
        <w:spacing w:line="360" w:before="105" w:after="105" w:lineRule="auto"/>
      </w:pPr>
      <w:r>
        <w:rPr>
          <w:rFonts w:eastAsia="georgia" w:cs="georgia" w:ascii="georgia" w:hAnsi="georgia"/>
          <w:color w:val="000000"/>
          <w:sz w:val="21"/>
        </w:rPr>
        <w:t xml:space="preserve">Résumé : </w:t>
      </w:r>
      <w:hyperlink r:id="rId15">
        <w:r>
          <w:rPr>
            <w:rFonts w:eastAsia="helvetica neue" w:cs="helvetica neue" w:ascii="helvetica neue" w:hAnsi="helvetica neue"/>
            <w:color w:val="#000"/>
            <w:sz w:val="21"/>
            <w:u w:val="single"/>
          </w:rPr>
          <w:t xml:space="preserve">Handicap.fr</w:t>
        </w:r>
      </w:hyperlink>
      <w:r>
        <w:rPr>
          <w:rFonts w:eastAsia="georgia" w:cs="georgia" w:ascii="georgia" w:hAnsi="georgia"/>
          <w:color w:val="000000"/>
          <w:sz w:val="21"/>
        </w:rPr>
        <w:t xml:space="preserve"> rapporte une grève nationale et des actions départementales le 26 mai 2026, suivies d’un rassemblement devant le ministère de la Santé et des Familles le 27 mai (</w:t>
      </w:r>
      <w:hyperlink r:id="rId16">
        <w:r>
          <w:rPr>
            <w:rFonts w:eastAsia="helvetica neue" w:cs="helvetica neue" w:ascii="helvetica neue" w:hAnsi="helvetica neue"/>
            <w:color w:val="#000"/>
            <w:sz w:val="21"/>
            <w:u w:val="single"/>
          </w:rPr>
          <w:t xml:space="preserve">Handicap.fr</w:t>
        </w:r>
      </w:hyperlink>
      <w:r>
        <w:rPr>
          <w:rFonts w:eastAsia="georgia" w:cs="georgia" w:ascii="georgia" w:hAnsi="georgia"/>
          <w:color w:val="000000"/>
          <w:sz w:val="21"/>
        </w:rPr>
        <w:t xml:space="preserve">). L’article relie la mobilisation aux tensions salariales, à la rupture des discussions en commission mixte paritaire de la branche associative sanitaire, sociale et médico-sociale le 30 avril 2026, ainsi qu’aux difficultés de recrutement et de moyens dans les établissements (</w:t>
      </w:r>
      <w:hyperlink r:id="rId17">
        <w:r>
          <w:rPr>
            <w:rFonts w:eastAsia="helvetica neue" w:cs="helvetica neue" w:ascii="helvetica neue" w:hAnsi="helvetica neue"/>
            <w:color w:val="#000"/>
            <w:sz w:val="21"/>
            <w:u w:val="single"/>
          </w:rPr>
          <w:t xml:space="preserve">Handicap.fr</w:t>
        </w:r>
      </w:hyperlink>
      <w:r>
        <w:rPr>
          <w:rFonts w:eastAsia="georgia" w:cs="georgia" w:ascii="georgia" w:hAnsi="georgia"/>
          <w:color w:val="000000"/>
          <w:sz w:val="21"/>
        </w:rPr>
        <w:t xml:space="preserve">). Les revendications rapportées portent notamment sur la valeur du point, l’extension du Ségur, les dotations pérennes et les moyens humains (</w:t>
      </w:r>
      <w:hyperlink r:id="rId18">
        <w:r>
          <w:rPr>
            <w:rFonts w:eastAsia="helvetica neue" w:cs="helvetica neue" w:ascii="helvetica neue" w:hAnsi="helvetica neue"/>
            <w:color w:val="#000"/>
            <w:sz w:val="21"/>
            <w:u w:val="single"/>
          </w:rPr>
          <w:t xml:space="preserve">Handicap.fr</w:t>
        </w:r>
      </w:hyperlink>
      <w:r>
        <w:rPr>
          <w:rFonts w:eastAsia="georgia" w:cs="georgia" w:ascii="georgia" w:hAnsi="georgia"/>
          <w:color w:val="000000"/>
          <w:sz w:val="21"/>
        </w:rPr>
        <w:t xml:space="preserve">).</w:t>
      </w:r>
    </w:p>
    <w:p>
      <w:pPr>
        <w:numPr>
          <w:ilvl w:val="0"/>
          <w:numId w:val="2"/>
        </w:numPr>
        <w:spacing w:line="360" w:before="105" w:after="105" w:lineRule="auto"/>
      </w:pPr>
      <w:r>
        <w:rPr>
          <w:rFonts w:eastAsia="georgia" w:cs="georgia" w:ascii="georgia" w:hAnsi="georgia"/>
          <w:color w:val="000000"/>
          <w:sz w:val="21"/>
        </w:rPr>
        <w:t xml:space="preserve">Implication pratique pour ESSMS : Anticiper les impacts sur la continuité de service, les remplacements, les plannings, la communication aux équipes et le suivi du climat social. Pour le pilotage qualité, intégrer ce contexte dans les analyses QVCT, absentéisme, attractivité et continuité de l’accompagnement.</w:t>
      </w:r>
    </w:p>
    <w:p>
      <w:pPr>
        <w:spacing w:line="360" w:before="315" w:after="105" w:lineRule="auto"/>
        <w:ind w:left="-30"/>
        <w:jc w:val="left"/>
      </w:pPr>
      <w:bookmarkStart w:id="5" w:name="plan_santé_des_professionnels_de_50a1d0"/>
      <w:r>
        <w:rPr>
          <w:rFonts w:eastAsia="georgia" w:cs="georgia" w:ascii="georgia" w:hAnsi="georgia"/>
          <w:b/>
          <w:color w:val="000000"/>
          <w:sz w:val="24"/>
        </w:rPr>
        <w:t xml:space="preserve">🟠 Plan « Santé des professionnels de santé » : aides-soignants et AES ciblés</w:t>
      </w:r>
      <w:bookmarkEnd w:id="5"/>
    </w:p>
    <w:p>
      <w:pPr>
        <w:numPr>
          <w:ilvl w:val="0"/>
          <w:numId w:val="3"/>
        </w:numPr>
        <w:spacing w:line="360" w:before="105" w:after="105" w:lineRule="auto"/>
      </w:pPr>
      <w:r>
        <w:rPr>
          <w:rFonts w:eastAsia="georgia" w:cs="georgia" w:ascii="georgia" w:hAnsi="georgia"/>
          <w:color w:val="000000"/>
          <w:sz w:val="21"/>
        </w:rPr>
        <w:t xml:space="preserve">Catégorie : QVT / Prévention des risques professionnels / Management</w:t>
      </w:r>
    </w:p>
    <w:p>
      <w:pPr>
        <w:numPr>
          <w:ilvl w:val="0"/>
          <w:numId w:val="3"/>
        </w:numPr>
        <w:spacing w:line="360" w:before="105" w:after="105" w:lineRule="auto"/>
      </w:pPr>
      <w:r>
        <w:rPr>
          <w:rFonts w:eastAsia="georgia" w:cs="georgia" w:ascii="georgia" w:hAnsi="georgia"/>
          <w:color w:val="000000"/>
          <w:sz w:val="21"/>
        </w:rPr>
        <w:t xml:space="preserve">Source : Le Media Social, lemediasocial.fr — 26 mai 2026</w:t>
      </w:r>
    </w:p>
    <w:p>
      <w:pPr>
        <w:numPr>
          <w:ilvl w:val="0"/>
          <w:numId w:val="3"/>
        </w:numPr>
        <w:spacing w:line="360" w:before="105" w:after="105" w:lineRule="auto"/>
      </w:pPr>
      <w:r>
        <w:rPr>
          <w:rFonts w:eastAsia="georgia" w:cs="georgia" w:ascii="georgia" w:hAnsi="georgia"/>
          <w:color w:val="000000"/>
          <w:sz w:val="21"/>
        </w:rPr>
        <w:t xml:space="preserve">Lien : </w:t>
      </w:r>
      <w:hyperlink r:id="rId19">
        <w:r>
          <w:rPr>
            <w:rFonts w:eastAsia="helvetica neue" w:cs="helvetica neue" w:ascii="helvetica neue" w:hAnsi="helvetica neue"/>
            <w:color w:val="#000"/>
            <w:sz w:val="21"/>
            <w:u w:val="single"/>
          </w:rPr>
          <w:t xml:space="preserve">Le Media Social</w:t>
        </w:r>
      </w:hyperlink>
    </w:p>
    <w:p>
      <w:pPr>
        <w:numPr>
          <w:ilvl w:val="0"/>
          <w:numId w:val="3"/>
        </w:numPr>
        <w:spacing w:line="360" w:before="105" w:after="105" w:lineRule="auto"/>
      </w:pPr>
      <w:r>
        <w:rPr>
          <w:rFonts w:eastAsia="georgia" w:cs="georgia" w:ascii="georgia" w:hAnsi="georgia"/>
          <w:color w:val="000000"/>
          <w:sz w:val="21"/>
        </w:rPr>
        <w:t xml:space="preserve">Résumé : Le Media Social indique que le ministère de la Santé a présenté le 22 mai un plan « Santé des professionnels de santé » visant les secteurs hospitalier et médico-social, y compris les étudiants (</w:t>
      </w:r>
      <w:hyperlink r:id="rId20">
        <w:r>
          <w:rPr>
            <w:rFonts w:eastAsia="helvetica neue" w:cs="helvetica neue" w:ascii="helvetica neue" w:hAnsi="helvetica neue"/>
            <w:color w:val="#000"/>
            <w:sz w:val="21"/>
            <w:u w:val="single"/>
          </w:rPr>
          <w:t xml:space="preserve">Le Media Social</w:t>
        </w:r>
      </w:hyperlink>
      <w:r>
        <w:rPr>
          <w:rFonts w:eastAsia="georgia" w:cs="georgia" w:ascii="georgia" w:hAnsi="georgia"/>
          <w:color w:val="000000"/>
          <w:sz w:val="21"/>
        </w:rPr>
        <w:t xml:space="preserve">). Le plan comprendrait un travail prioritaire sur la formalisation des risques professionnels spécifiques aux aides-soignants et accompagnants éducatifs et sociaux, avec identification des principaux risques d’exposition, prévention dédiée et maintien durable en activité (</w:t>
      </w:r>
      <w:hyperlink r:id="rId21">
        <w:r>
          <w:rPr>
            <w:rFonts w:eastAsia="helvetica neue" w:cs="helvetica neue" w:ascii="helvetica neue" w:hAnsi="helvetica neue"/>
            <w:color w:val="#000"/>
            <w:sz w:val="21"/>
            <w:u w:val="single"/>
          </w:rPr>
          <w:t xml:space="preserve">Le Media Social</w:t>
        </w:r>
      </w:hyperlink>
      <w:r>
        <w:rPr>
          <w:rFonts w:eastAsia="georgia" w:cs="georgia" w:ascii="georgia" w:hAnsi="georgia"/>
          <w:color w:val="000000"/>
          <w:sz w:val="21"/>
        </w:rPr>
        <w:t xml:space="preserve">). La source mentionne aussi une attention aux professionnels de nuit, notamment les temps de pause, les courtes siestes et l’accès adapté aux services administratifs (</w:t>
      </w:r>
      <w:hyperlink r:id="rId22">
        <w:r>
          <w:rPr>
            <w:rFonts w:eastAsia="helvetica neue" w:cs="helvetica neue" w:ascii="helvetica neue" w:hAnsi="helvetica neue"/>
            <w:color w:val="#000"/>
            <w:sz w:val="21"/>
            <w:u w:val="single"/>
          </w:rPr>
          <w:t xml:space="preserve">Le Media Social</w:t>
        </w:r>
      </w:hyperlink>
      <w:r>
        <w:rPr>
          <w:rFonts w:eastAsia="georgia" w:cs="georgia" w:ascii="georgia" w:hAnsi="georgia"/>
          <w:color w:val="000000"/>
          <w:sz w:val="21"/>
        </w:rPr>
        <w:t xml:space="preserve">).</w:t>
      </w:r>
    </w:p>
    <w:p>
      <w:pPr>
        <w:numPr>
          <w:ilvl w:val="0"/>
          <w:numId w:val="3"/>
        </w:numPr>
        <w:spacing w:line="360" w:before="105" w:after="105" w:lineRule="auto"/>
      </w:pPr>
      <w:r>
        <w:rPr>
          <w:rFonts w:eastAsia="georgia" w:cs="georgia" w:ascii="georgia" w:hAnsi="georgia"/>
          <w:color w:val="000000"/>
          <w:sz w:val="21"/>
        </w:rPr>
        <w:t xml:space="preserve">Implication pratique pour ESSMS : Mettre le sujet à l’agenda QVCT : risques liés aux manutentions, usure professionnelle des AES et aides-soignants, conditions du travail de nuit et accès aux ressources internes. À ce stade, prévoir une veille de la source ministérielle ou de l’instruction de mise en œuvre avant d’en faire une obligation interne.</w:t>
      </w:r>
    </w:p>
    <w:p>
      <w:pPr>
        <w:spacing w:line="360" w:before="315" w:after="105" w:lineRule="auto"/>
        <w:ind w:left="-30"/>
        <w:jc w:val="left"/>
      </w:pPr>
      <w:bookmarkStart w:id="6" w:name="suppression_de_l_aide_france_trav_ead2d5"/>
      <w:r>
        <w:rPr>
          <w:rFonts w:eastAsia="georgia" w:cs="georgia" w:ascii="georgia" w:hAnsi="georgia"/>
          <w:b/>
          <w:color w:val="000000"/>
          <w:sz w:val="24"/>
        </w:rPr>
        <w:t xml:space="preserve">🟢 Suppression de l’aide France Travail à la VAE</w:t>
      </w:r>
      <w:bookmarkEnd w:id="6"/>
    </w:p>
    <w:p>
      <w:pPr>
        <w:numPr>
          <w:ilvl w:val="0"/>
          <w:numId w:val="4"/>
        </w:numPr>
        <w:spacing w:line="360" w:before="105" w:after="105" w:lineRule="auto"/>
      </w:pPr>
      <w:r>
        <w:rPr>
          <w:rFonts w:eastAsia="georgia" w:cs="georgia" w:ascii="georgia" w:hAnsi="georgia"/>
          <w:color w:val="000000"/>
          <w:sz w:val="21"/>
        </w:rPr>
        <w:t xml:space="preserve">Catégorie : Formation / Professionnalisation</w:t>
      </w:r>
    </w:p>
    <w:p>
      <w:pPr>
        <w:numPr>
          <w:ilvl w:val="0"/>
          <w:numId w:val="4"/>
        </w:numPr>
        <w:spacing w:line="360" w:before="105" w:after="105" w:lineRule="auto"/>
      </w:pPr>
      <w:r>
        <w:rPr>
          <w:rFonts w:eastAsia="georgia" w:cs="georgia" w:ascii="georgia" w:hAnsi="georgia"/>
          <w:color w:val="000000"/>
          <w:sz w:val="21"/>
        </w:rPr>
        <w:t xml:space="preserve">Source : Centre Inffo, centre-inffo.fr — 21 mai 2026</w:t>
      </w:r>
    </w:p>
    <w:p>
      <w:pPr>
        <w:numPr>
          <w:ilvl w:val="0"/>
          <w:numId w:val="4"/>
        </w:numPr>
        <w:spacing w:line="360" w:before="105" w:after="105" w:lineRule="auto"/>
      </w:pPr>
      <w:r>
        <w:rPr>
          <w:rFonts w:eastAsia="georgia" w:cs="georgia" w:ascii="georgia" w:hAnsi="georgia"/>
          <w:color w:val="000000"/>
          <w:sz w:val="21"/>
        </w:rPr>
        <w:t xml:space="preserve">Lien : </w:t>
      </w:r>
      <w:hyperlink r:id="rId23">
        <w:r>
          <w:rPr>
            <w:rFonts w:eastAsia="helvetica neue" w:cs="helvetica neue" w:ascii="helvetica neue" w:hAnsi="helvetica neue"/>
            <w:color w:val="#000"/>
            <w:sz w:val="21"/>
            <w:u w:val="single"/>
          </w:rPr>
          <w:t xml:space="preserve">Centre Inffo</w:t>
        </w:r>
      </w:hyperlink>
    </w:p>
    <w:p>
      <w:pPr>
        <w:numPr>
          <w:ilvl w:val="0"/>
          <w:numId w:val="4"/>
        </w:numPr>
        <w:spacing w:line="360" w:before="105" w:after="105" w:lineRule="auto"/>
      </w:pPr>
      <w:r>
        <w:rPr>
          <w:rFonts w:eastAsia="georgia" w:cs="georgia" w:ascii="georgia" w:hAnsi="georgia"/>
          <w:color w:val="000000"/>
          <w:sz w:val="21"/>
        </w:rPr>
        <w:t xml:space="preserve">Résumé : Centre Inffo indique que l’aide à la validation des acquis de l’expérience pouvant être attribuée par France Travail est supprimée, avec absence de prise en compte des nouvelles demandes à compter du 8 mai 2026 (</w:t>
      </w:r>
      <w:hyperlink r:id="rId24">
        <w:r>
          <w:rPr>
            <w:rFonts w:eastAsia="helvetica neue" w:cs="helvetica neue" w:ascii="helvetica neue" w:hAnsi="helvetica neue"/>
            <w:color w:val="#000"/>
            <w:sz w:val="21"/>
            <w:u w:val="single"/>
          </w:rPr>
          <w:t xml:space="preserve">Centre Inffo</w:t>
        </w:r>
      </w:hyperlink>
      <w:r>
        <w:rPr>
          <w:rFonts w:eastAsia="georgia" w:cs="georgia" w:ascii="georgia" w:hAnsi="georgia"/>
          <w:color w:val="000000"/>
          <w:sz w:val="21"/>
        </w:rPr>
        <w:t xml:space="preserve">). L’information renvoie à la délibération n° 2026-18 du 30 avril 2026, publiée au BOFT n° 2026-27 du 5 mai 2026 (</w:t>
      </w:r>
      <w:hyperlink r:id="rId25">
        <w:r>
          <w:rPr>
            <w:rFonts w:eastAsia="helvetica neue" w:cs="helvetica neue" w:ascii="helvetica neue" w:hAnsi="helvetica neue"/>
            <w:color w:val="#000"/>
            <w:sz w:val="21"/>
            <w:u w:val="single"/>
          </w:rPr>
          <w:t xml:space="preserve">Centre Inffo</w:t>
        </w:r>
      </w:hyperlink>
      <w:r>
        <w:rPr>
          <w:rFonts w:eastAsia="georgia" w:cs="georgia" w:ascii="georgia" w:hAnsi="georgia"/>
          <w:color w:val="000000"/>
          <w:sz w:val="21"/>
        </w:rPr>
        <w:t xml:space="preserve">). Les alternatives mentionnées sont notamment le CPF et les financements régionaux pour l’accompagnement VAE (</w:t>
      </w:r>
      <w:hyperlink r:id="rId26">
        <w:r>
          <w:rPr>
            <w:rFonts w:eastAsia="helvetica neue" w:cs="helvetica neue" w:ascii="helvetica neue" w:hAnsi="helvetica neue"/>
            <w:color w:val="#000"/>
            <w:sz w:val="21"/>
            <w:u w:val="single"/>
          </w:rPr>
          <w:t xml:space="preserve">Centre Inffo</w:t>
        </w:r>
      </w:hyperlink>
      <w:r>
        <w:rPr>
          <w:rFonts w:eastAsia="georgia" w:cs="georgia" w:ascii="georgia" w:hAnsi="georgia"/>
          <w:color w:val="000000"/>
          <w:sz w:val="21"/>
        </w:rPr>
        <w:t xml:space="preserve">).</w:t>
      </w:r>
    </w:p>
    <w:p>
      <w:pPr>
        <w:numPr>
          <w:ilvl w:val="0"/>
          <w:numId w:val="4"/>
        </w:numPr>
        <w:spacing w:line="360" w:before="105" w:after="105" w:lineRule="auto"/>
      </w:pPr>
      <w:r>
        <w:rPr>
          <w:rFonts w:eastAsia="georgia" w:cs="georgia" w:ascii="georgia" w:hAnsi="georgia"/>
          <w:color w:val="000000"/>
          <w:sz w:val="21"/>
        </w:rPr>
        <w:t xml:space="preserve">Implication pratique pour ESSMS : Vérifier les parcours VAE de candidats ou futurs salariés accompagnés par France Travail, en particulier pour les métiers éducatifs, soignants et d’accompagnement. Informer les candidats concernés des circuits alternatifs de financement avant d’engager ou de relancer une démarche VAE.</w:t>
      </w:r>
    </w:p>
    <w:p>
      <w:pPr>
        <w:spacing w:line="360" w:before="315" w:after="105" w:lineRule="auto"/>
        <w:ind w:left="-30"/>
        <w:jc w:val="left"/>
      </w:pPr>
      <w:bookmarkStart w:id="7" w:name="classement_thématique"/>
      <w:r>
        <w:rPr>
          <w:rFonts w:eastAsia="georgia" w:cs="georgia" w:ascii="georgia" w:hAnsi="georgia"/>
          <w:b/>
          <w:color w:val="000000"/>
          <w:sz w:val="24"/>
        </w:rPr>
        <w:t xml:space="preserve">Classement thématique</w:t>
      </w:r>
      <w:bookmarkEnd w:id="7"/>
    </w:p>
    <w:p>
      <w:pPr>
        <w:spacing w:line="360" w:before="315" w:after="105" w:lineRule="auto"/>
        <w:ind w:left="-30"/>
        <w:jc w:val="left"/>
      </w:pPr>
      <w:bookmarkStart w:id="8" w:name="qualité_rbpp_et_cadre_réglementaire"/>
      <w:r>
        <w:rPr>
          <w:rFonts w:eastAsia="georgia" w:cs="georgia" w:ascii="georgia" w:hAnsi="georgia"/>
          <w:b/>
          <w:color w:val="000000"/>
          <w:sz w:val="24"/>
        </w:rPr>
        <w:t xml:space="preserve">Qualité, RBPP et cadre réglementaire</w:t>
      </w:r>
      <w:bookmarkEnd w:id="8"/>
    </w:p>
    <w:p>
      <w:pPr>
        <w:numPr>
          <w:ilvl w:val="0"/>
          <w:numId w:val="5"/>
        </w:numPr>
        <w:spacing w:line="360" w:before="105" w:after="105" w:lineRule="auto"/>
      </w:pPr>
      <w:r>
        <w:rPr>
          <w:rFonts w:eastAsia="georgia" w:cs="georgia" w:ascii="georgia" w:hAnsi="georgia"/>
          <w:color w:val="000000"/>
          <w:sz w:val="21"/>
        </w:rPr>
        <w:t xml:space="preserve">Aucun nouvel item HAS/RBPP substantiel daté du 20 au 26 mai 2026 n’a été identifié. Les résultats renvoient principalement à l’évaluation des ESSMS et à la présence de la HAS à SantExpo, sans nouvelle publication opérationnelle spécifique dans la fenêtre (</w:t>
      </w:r>
      <w:hyperlink r:id="rId27">
        <w:r>
          <w:rPr>
            <w:rFonts w:eastAsia="helvetica neue" w:cs="helvetica neue" w:ascii="helvetica neue" w:hAnsi="helvetica neue"/>
            <w:color w:val="#000"/>
            <w:sz w:val="21"/>
            <w:u w:val="single"/>
          </w:rPr>
          <w:t xml:space="preserve">HAS</w:t>
        </w:r>
      </w:hyperlink>
      <w:r>
        <w:rPr>
          <w:rFonts w:eastAsia="georgia" w:cs="georgia" w:ascii="georgia" w:hAnsi="georgia"/>
          <w:color w:val="000000"/>
          <w:sz w:val="21"/>
        </w:rPr>
        <w:t xml:space="preserve">).</w:t>
      </w:r>
    </w:p>
    <w:p>
      <w:pPr>
        <w:spacing w:line="360" w:before="315" w:after="105" w:lineRule="auto"/>
        <w:ind w:left="-30"/>
        <w:jc w:val="left"/>
      </w:pPr>
      <w:bookmarkStart w:id="9" w:name="financement_tarification_et_serafin_ph"/>
      <w:r>
        <w:rPr>
          <w:rFonts w:eastAsia="georgia" w:cs="georgia" w:ascii="georgia" w:hAnsi="georgia"/>
          <w:b/>
          <w:color w:val="000000"/>
          <w:sz w:val="24"/>
        </w:rPr>
        <w:t xml:space="preserve">Financement, tarification et SERAFIN-PH</w:t>
      </w:r>
      <w:bookmarkEnd w:id="9"/>
    </w:p>
    <w:p>
      <w:pPr>
        <w:numPr>
          <w:ilvl w:val="0"/>
          <w:numId w:val="6"/>
        </w:numPr>
        <w:spacing w:line="360" w:before="105" w:after="105" w:lineRule="auto"/>
      </w:pPr>
      <w:r>
        <w:rPr>
          <w:rFonts w:eastAsia="georgia" w:cs="georgia" w:ascii="georgia" w:hAnsi="georgia"/>
          <w:color w:val="000000"/>
          <w:sz w:val="21"/>
        </w:rPr>
        <w:t xml:space="preserve">Aucun nouvel item SERAFIN-PH daté du 20 au 26 mai 2026 n’est promu en item principal. Une reprise du 18 mai 2026 sur le décret SERAFIN-PH est antérieure à la fenêtre stricte de cette veille et reste donc exclue du corps principal, malgré son intérêt opérationnel (</w:t>
      </w:r>
      <w:hyperlink r:id="rId28">
        <w:r>
          <w:rPr>
            <w:rFonts w:eastAsia="helvetica neue" w:cs="helvetica neue" w:ascii="helvetica neue" w:hAnsi="helvetica neue"/>
            <w:color w:val="#000"/>
            <w:sz w:val="21"/>
            <w:u w:val="single"/>
          </w:rPr>
          <w:t xml:space="preserve">Le Media Social</w:t>
        </w:r>
      </w:hyperlink>
      <w:r>
        <w:rPr>
          <w:rFonts w:eastAsia="georgia" w:cs="georgia" w:ascii="georgia" w:hAnsi="georgia"/>
          <w:color w:val="000000"/>
          <w:sz w:val="21"/>
        </w:rPr>
        <w:t xml:space="preserve">).</w:t>
      </w:r>
    </w:p>
    <w:p>
      <w:pPr>
        <w:spacing w:line="360" w:before="315" w:after="105" w:lineRule="auto"/>
        <w:ind w:left="-30"/>
        <w:jc w:val="left"/>
      </w:pPr>
      <w:bookmarkStart w:id="10" w:name="pratiques_professionnelles_et_int_7b4b41"/>
      <w:r>
        <w:rPr>
          <w:rFonts w:eastAsia="georgia" w:cs="georgia" w:ascii="georgia" w:hAnsi="georgia"/>
          <w:b/>
          <w:color w:val="000000"/>
          <w:sz w:val="24"/>
        </w:rPr>
        <w:t xml:space="preserve">Pratiques professionnelles et interventions non médicamenteuses</w:t>
      </w:r>
      <w:bookmarkEnd w:id="10"/>
    </w:p>
    <w:p>
      <w:pPr>
        <w:numPr>
          <w:ilvl w:val="0"/>
          <w:numId w:val="7"/>
        </w:numPr>
        <w:spacing w:line="360" w:before="105" w:after="105" w:lineRule="auto"/>
      </w:pPr>
      <w:r>
        <w:rPr>
          <w:rFonts w:eastAsia="georgia" w:cs="georgia" w:ascii="georgia" w:hAnsi="georgia"/>
          <w:color w:val="000000"/>
          <w:sz w:val="21"/>
        </w:rPr>
        <w:t xml:space="preserve">Aucun item substantiel identifié cette semaine sur Snoezelen, PBS, NPI-ES, CMAI ou interventions non médicamenteuses directement transférables aux ESSMS handicap adulte.</w:t>
      </w:r>
    </w:p>
    <w:p>
      <w:pPr>
        <w:spacing w:line="360" w:before="315" w:after="105" w:lineRule="auto"/>
        <w:ind w:left="-30"/>
        <w:jc w:val="left"/>
      </w:pPr>
      <w:bookmarkStart w:id="11" w:name="droits_des_personnes_éthique_et_rgpd"/>
      <w:r>
        <w:rPr>
          <w:rFonts w:eastAsia="georgia" w:cs="georgia" w:ascii="georgia" w:hAnsi="georgia"/>
          <w:b/>
          <w:color w:val="000000"/>
          <w:sz w:val="24"/>
        </w:rPr>
        <w:t xml:space="preserve">Droits des personnes, éthique et RGPD</w:t>
      </w:r>
      <w:bookmarkEnd w:id="11"/>
    </w:p>
    <w:p>
      <w:pPr>
        <w:numPr>
          <w:ilvl w:val="0"/>
          <w:numId w:val="8"/>
        </w:numPr>
        <w:spacing w:line="360" w:before="105" w:after="105" w:lineRule="auto"/>
      </w:pPr>
      <w:r>
        <w:rPr>
          <w:rFonts w:eastAsia="georgia" w:cs="georgia" w:ascii="georgia" w:hAnsi="georgia"/>
          <w:color w:val="000000"/>
          <w:sz w:val="21"/>
        </w:rPr>
        <w:t xml:space="preserve">L’appel à contribution relayé par Nexem est le principal point de la semaine concernant l’autodétermination, les choix de vie et la participation des personnes accompagnées (</w:t>
      </w:r>
      <w:hyperlink r:id="rId29">
        <w:r>
          <w:rPr>
            <w:rFonts w:eastAsia="helvetica neue" w:cs="helvetica neue" w:ascii="helvetica neue" w:hAnsi="helvetica neue"/>
            <w:color w:val="#000"/>
            <w:sz w:val="21"/>
            <w:u w:val="single"/>
          </w:rPr>
          <w:t xml:space="preserve">Nexem</w:t>
        </w:r>
      </w:hyperlink>
      <w:r>
        <w:rPr>
          <w:rFonts w:eastAsia="georgia" w:cs="georgia" w:ascii="georgia" w:hAnsi="georgia"/>
          <w:color w:val="000000"/>
          <w:sz w:val="21"/>
        </w:rPr>
        <w:t xml:space="preserve">).</w:t>
      </w:r>
    </w:p>
    <w:p>
      <w:pPr>
        <w:spacing w:line="360" w:before="315" w:after="105" w:lineRule="auto"/>
        <w:ind w:left="-30"/>
        <w:jc w:val="left"/>
      </w:pPr>
      <w:bookmarkStart w:id="12" w:name="qvt_management_et_formation"/>
      <w:r>
        <w:rPr>
          <w:rFonts w:eastAsia="georgia" w:cs="georgia" w:ascii="georgia" w:hAnsi="georgia"/>
          <w:b/>
          <w:color w:val="000000"/>
          <w:sz w:val="24"/>
        </w:rPr>
        <w:t xml:space="preserve">QVT, management et formation</w:t>
      </w:r>
      <w:bookmarkEnd w:id="12"/>
    </w:p>
    <w:p>
      <w:pPr>
        <w:numPr>
          <w:ilvl w:val="0"/>
          <w:numId w:val="9"/>
        </w:numPr>
        <w:spacing w:line="360" w:before="105" w:after="105" w:lineRule="auto"/>
      </w:pPr>
      <w:r>
        <w:rPr>
          <w:rFonts w:eastAsia="georgia" w:cs="georgia" w:ascii="georgia" w:hAnsi="georgia"/>
          <w:color w:val="000000"/>
          <w:sz w:val="21"/>
        </w:rPr>
        <w:t xml:space="preserve">La mobilisation nationale des 26 et 27 mai constitue un point de vigilance immédiat pour la continuité d’activité, l’attractivité et le dialogue social dans les ESSMS (</w:t>
      </w:r>
      <w:hyperlink r:id="rId30">
        <w:r>
          <w:rPr>
            <w:rFonts w:eastAsia="helvetica neue" w:cs="helvetica neue" w:ascii="helvetica neue" w:hAnsi="helvetica neue"/>
            <w:color w:val="#000"/>
            <w:sz w:val="21"/>
            <w:u w:val="single"/>
          </w:rPr>
          <w:t xml:space="preserve">Handicap.fr</w:t>
        </w:r>
      </w:hyperlink>
      <w:r>
        <w:rPr>
          <w:rFonts w:eastAsia="georgia" w:cs="georgia" w:ascii="georgia" w:hAnsi="georgia"/>
          <w:color w:val="000000"/>
          <w:sz w:val="21"/>
        </w:rPr>
        <w:t xml:space="preserve">).</w:t>
      </w:r>
    </w:p>
    <w:p>
      <w:pPr>
        <w:numPr>
          <w:ilvl w:val="0"/>
          <w:numId w:val="9"/>
        </w:numPr>
        <w:spacing w:line="360" w:before="105" w:after="105" w:lineRule="auto"/>
      </w:pPr>
      <w:r>
        <w:rPr>
          <w:rFonts w:eastAsia="georgia" w:cs="georgia" w:ascii="georgia" w:hAnsi="georgia"/>
          <w:color w:val="000000"/>
          <w:sz w:val="21"/>
        </w:rPr>
        <w:t xml:space="preserve">Le plan « Santé des professionnels de santé » mérite une surveillance QVCT car il cible les aides-soignants et AES, métiers directement présents en FAM, MAS et autres ESSMS médicalisés ou accompagnants (</w:t>
      </w:r>
      <w:hyperlink r:id="rId31">
        <w:r>
          <w:rPr>
            <w:rFonts w:eastAsia="helvetica neue" w:cs="helvetica neue" w:ascii="helvetica neue" w:hAnsi="helvetica neue"/>
            <w:color w:val="#000"/>
            <w:sz w:val="21"/>
            <w:u w:val="single"/>
          </w:rPr>
          <w:t xml:space="preserve">Le Media Social</w:t>
        </w:r>
      </w:hyperlink>
      <w:r>
        <w:rPr>
          <w:rFonts w:eastAsia="georgia" w:cs="georgia" w:ascii="georgia" w:hAnsi="georgia"/>
          <w:color w:val="000000"/>
          <w:sz w:val="21"/>
        </w:rPr>
        <w:t xml:space="preserve">).</w:t>
      </w:r>
    </w:p>
    <w:p>
      <w:pPr>
        <w:numPr>
          <w:ilvl w:val="0"/>
          <w:numId w:val="9"/>
        </w:numPr>
        <w:spacing w:line="360" w:before="105" w:after="105" w:lineRule="auto"/>
      </w:pPr>
      <w:r>
        <w:rPr>
          <w:rFonts w:eastAsia="georgia" w:cs="georgia" w:ascii="georgia" w:hAnsi="georgia"/>
          <w:color w:val="000000"/>
          <w:sz w:val="21"/>
        </w:rPr>
        <w:t xml:space="preserve">La suppression de l’aide France Travail à la VAE relève d’une veille formation transversale, à suivre pour les parcours de professionnalisation et de recrutement dans le médico-social (</w:t>
      </w:r>
      <w:hyperlink r:id="rId32">
        <w:r>
          <w:rPr>
            <w:rFonts w:eastAsia="helvetica neue" w:cs="helvetica neue" w:ascii="helvetica neue" w:hAnsi="helvetica neue"/>
            <w:color w:val="#000"/>
            <w:sz w:val="21"/>
            <w:u w:val="single"/>
          </w:rPr>
          <w:t xml:space="preserve">Centre Inffo</w:t>
        </w:r>
      </w:hyperlink>
      <w:r>
        <w:rPr>
          <w:rFonts w:eastAsia="georgia" w:cs="georgia" w:ascii="georgia" w:hAnsi="georgia"/>
          <w:color w:val="000000"/>
          <w:sz w:val="21"/>
        </w:rPr>
        <w:t xml:space="preserve">).</w:t>
      </w:r>
    </w:p>
    <w:p>
      <w:pPr>
        <w:spacing w:line="360" w:before="315" w:after="105" w:lineRule="auto"/>
        <w:ind w:left="-30"/>
        <w:jc w:val="left"/>
      </w:pPr>
      <w:bookmarkStart w:id="13" w:name="signaux_faibles_et_sujets_à_surveiller"/>
      <w:r>
        <w:rPr>
          <w:rFonts w:eastAsia="georgia" w:cs="georgia" w:ascii="georgia" w:hAnsi="georgia"/>
          <w:b/>
          <w:color w:val="000000"/>
          <w:sz w:val="24"/>
        </w:rPr>
        <w:t xml:space="preserve">Signaux faibles et sujets à surveiller</w:t>
      </w:r>
      <w:bookmarkEnd w:id="13"/>
    </w:p>
    <w:p>
      <w:pPr>
        <w:numPr>
          <w:ilvl w:val="0"/>
          <w:numId w:val="10"/>
        </w:numPr>
        <w:spacing w:line="360" w:before="105" w:after="105" w:lineRule="auto"/>
      </w:pPr>
      <w:r>
        <w:rPr>
          <w:rFonts w:eastAsia="georgia" w:cs="georgia" w:ascii="georgia" w:hAnsi="georgia"/>
          <w:color w:val="000000"/>
          <w:sz w:val="21"/>
        </w:rPr>
        <w:t xml:space="preserve">Autisme sévère — Le Media Social signalait des travaux sur des modalités d’accompagnement adaptées, mais la source primaire et le contenu complet n’ont pas été confirmés dans cette exécution ; à maintenir en surveillance sans promotion en item principal (</w:t>
      </w:r>
      <w:hyperlink r:id="rId33">
        <w:r>
          <w:rPr>
            <w:rFonts w:eastAsia="helvetica neue" w:cs="helvetica neue" w:ascii="helvetica neue" w:hAnsi="helvetica neue"/>
            <w:color w:val="#000"/>
            <w:sz w:val="21"/>
            <w:u w:val="single"/>
          </w:rPr>
          <w:t xml:space="preserve">Le Media Social</w:t>
        </w:r>
      </w:hyperlink>
      <w:r>
        <w:rPr>
          <w:rFonts w:eastAsia="georgia" w:cs="georgia" w:ascii="georgia" w:hAnsi="georgia"/>
          <w:color w:val="000000"/>
          <w:sz w:val="21"/>
        </w:rPr>
        <w:t xml:space="preserve">).</w:t>
      </w:r>
    </w:p>
    <w:p>
      <w:pPr>
        <w:numPr>
          <w:ilvl w:val="0"/>
          <w:numId w:val="10"/>
        </w:numPr>
        <w:spacing w:line="360" w:before="105" w:after="105" w:lineRule="auto"/>
      </w:pPr>
      <w:r>
        <w:rPr>
          <w:rFonts w:eastAsia="georgia" w:cs="georgia" w:ascii="georgia" w:hAnsi="georgia"/>
          <w:color w:val="000000"/>
          <w:sz w:val="21"/>
        </w:rPr>
        <w:t xml:space="preserve">Handicap, emploi et rapprochement France Travail/Cap emploi — Le Media Social mentionne une amélioration des maintiens et reprises d’emploi des personnes handicapées, mais l’impact ESSMS employeur ou accompagnement reste indirect à ce stade (</w:t>
      </w:r>
      <w:hyperlink r:id="rId34">
        <w:r>
          <w:rPr>
            <w:rFonts w:eastAsia="helvetica neue" w:cs="helvetica neue" w:ascii="helvetica neue" w:hAnsi="helvetica neue"/>
            <w:color w:val="#000"/>
            <w:sz w:val="21"/>
            <w:u w:val="single"/>
          </w:rPr>
          <w:t xml:space="preserve">Le Media Social</w:t>
        </w:r>
      </w:hyperlink>
      <w:r>
        <w:rPr>
          <w:rFonts w:eastAsia="georgia" w:cs="georgia" w:ascii="georgia" w:hAnsi="georgia"/>
          <w:color w:val="000000"/>
          <w:sz w:val="21"/>
        </w:rPr>
        <w:t xml:space="preserve">).</w:t>
      </w:r>
    </w:p>
    <w:p>
      <w:pPr>
        <w:numPr>
          <w:ilvl w:val="0"/>
          <w:numId w:val="10"/>
        </w:numPr>
        <w:spacing w:line="360" w:before="105" w:after="105" w:lineRule="auto"/>
      </w:pPr>
      <w:r>
        <w:rPr>
          <w:rFonts w:eastAsia="georgia" w:cs="georgia" w:ascii="georgia" w:hAnsi="georgia"/>
          <w:color w:val="000000"/>
          <w:sz w:val="21"/>
        </w:rPr>
        <w:t xml:space="preserve">JORF du 21 mai 2026 — Les textes repérés concernent principalement les spécialités pharmaceutiques, les prix, les taux de participation et des autorisations d’exercice ; l’impact sur les ESSMS handicap adulte apparaît indirect et ne justifie pas un item principal (</w:t>
      </w:r>
      <w:hyperlink r:id="rId35">
        <w:r>
          <w:rPr>
            <w:rFonts w:eastAsia="helvetica neue" w:cs="helvetica neue" w:ascii="helvetica neue" w:hAnsi="helvetica neue"/>
            <w:color w:val="#000"/>
            <w:sz w:val="21"/>
            <w:u w:val="single"/>
          </w:rPr>
          <w:t xml:space="preserve">La Veille Acteurs de Santé</w:t>
        </w:r>
      </w:hyperlink>
      <w:r>
        <w:rPr>
          <w:rFonts w:eastAsia="georgia" w:cs="georgia" w:ascii="georgia" w:hAnsi="georgia"/>
          <w:color w:val="000000"/>
          <w:sz w:val="21"/>
        </w:rPr>
        <w:t xml:space="preserve">).</w:t>
      </w:r>
    </w:p>
    <w:p>
      <w:pPr>
        <w:spacing w:line="360" w:before="315" w:after="105" w:lineRule="auto"/>
        <w:ind w:left="-30"/>
        <w:jc w:val="left"/>
      </w:pPr>
      <w:bookmarkStart w:id="14" w:name="serafin_ph_2027_à_surveiller"/>
      <w:r>
        <w:rPr>
          <w:rFonts w:eastAsia="georgia" w:cs="georgia" w:ascii="georgia" w:hAnsi="georgia"/>
          <w:b/>
          <w:color w:val="000000"/>
          <w:sz w:val="24"/>
        </w:rPr>
        <w:t xml:space="preserve">SERAFIN-PH 2027 à surveiller</w:t>
      </w:r>
      <w:bookmarkEnd w:id="14"/>
    </w:p>
    <w:p>
      <w:pPr>
        <w:spacing w:line="360" w:after="210" w:lineRule="auto"/>
      </w:pPr>
      <w:r>
        <w:rPr>
          <w:rFonts w:eastAsia="georgia" w:cs="georgia" w:ascii="georgia" w:hAnsi="georgia"/>
          <w:color w:val="000000"/>
        </w:rPr>
        <w:t xml:space="preserve">Pas de nouvelle publication officielle identifiée dans la fenêtre du 20 au 26 mai 2026 ; maintien en surveillance stratégique. Le calendrier de référence reste l’entrée en vigueur au 1er janvier 2027 pour environ 4 000 ESMS accompagnant des enfants en situation de handicap, avec notification des dotations théoriques annoncée à l’automne 2026 et convergence progressive sur huit ans (</w:t>
      </w:r>
      <w:hyperlink r:id="rId36">
        <w:r>
          <w:rPr>
            <w:rFonts w:eastAsia="helvetica neue" w:cs="helvetica neue" w:ascii="helvetica neue" w:hAnsi="helvetica neue"/>
            <w:color w:val="#000"/>
            <w:u w:val="single"/>
          </w:rPr>
          <w:t xml:space="preserve">Handicap.gouv.fr</w:t>
        </w:r>
      </w:hyperlink>
      <w:r>
        <w:rPr>
          <w:rFonts w:eastAsia="georgia" w:cs="georgia" w:ascii="georgia" w:hAnsi="georgia"/>
          <w:color w:val="000000"/>
        </w:rPr>
        <w:t xml:space="preserve">). La trajectoire annoncée distingue une phase 2027-2030 de mise en place très progressive, sans perte sur la dotation principale pour les ESMS en convergence négative, puis une phase 2030-2034 où la convergence doit produire pleinement ses effets (</w:t>
      </w:r>
      <w:hyperlink r:id="rId37">
        <w:r>
          <w:rPr>
            <w:rFonts w:eastAsia="helvetica neue" w:cs="helvetica neue" w:ascii="helvetica neue" w:hAnsi="helvetica neue"/>
            <w:color w:val="#000"/>
            <w:u w:val="single"/>
          </w:rPr>
          <w:t xml:space="preserve">Handicap.gouv.fr</w:t>
        </w:r>
      </w:hyperlink>
      <w:r>
        <w:rPr>
          <w:rFonts w:eastAsia="georgia" w:cs="georgia" w:ascii="georgia" w:hAnsi="georgia"/>
          <w:color w:val="000000"/>
        </w:rPr>
        <w:t xml:space="preserve">). Une enveloppe de 360 M€, soit 90 M€ par an, est annoncée pour valoriser l’évolution des organisations, des pratiques et l’implication territoriale des ESMS concernés (</w:t>
      </w:r>
      <w:hyperlink r:id="rId38">
        <w:r>
          <w:rPr>
            <w:rFonts w:eastAsia="helvetica neue" w:cs="helvetica neue" w:ascii="helvetica neue" w:hAnsi="helvetica neue"/>
            <w:color w:val="#000"/>
            <w:u w:val="single"/>
          </w:rPr>
          <w:t xml:space="preserve">Handicap.gouv.fr</w:t>
        </w:r>
      </w:hyperlink>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À surveiller pour les prochaines veilles : publication de textes d’application, précisions DGCS/CNSA/ATIH sur le recueil PH 2026, calendrier de restitution des dotations théoriques, critères de dotations complémentaires, éventuelle extension ou articulation avec le champ adulte.</w:t>
      </w:r>
    </w:p>
    <w:p>
      <w:pPr>
        <w:spacing w:line="360" w:before="315" w:after="105" w:lineRule="auto"/>
        <w:ind w:left="-30"/>
        <w:jc w:val="left"/>
      </w:pPr>
      <w:bookmarkStart w:id="15" w:name="sources_explorées_cette_semaine"/>
      <w:r>
        <w:rPr>
          <w:rFonts w:eastAsia="georgia" w:cs="georgia" w:ascii="georgia" w:hAnsi="georgia"/>
          <w:b/>
          <w:color w:val="000000"/>
          <w:sz w:val="24"/>
        </w:rPr>
        <w:t xml:space="preserve">Sources explorées cette semaine</w:t>
      </w:r>
      <w:bookmarkEnd w:id="15"/>
    </w:p>
    <w:p>
      <w:pPr>
        <w:numPr>
          <w:ilvl w:val="0"/>
          <w:numId w:val="11"/>
        </w:numPr>
        <w:spacing w:line="360" w:before="105" w:after="105" w:lineRule="auto"/>
      </w:pPr>
      <w:r>
        <w:rPr>
          <w:rFonts w:eastAsia="georgia" w:cs="georgia" w:ascii="georgia" w:hAnsi="georgia"/>
          <w:color w:val="000000"/>
          <w:sz w:val="21"/>
        </w:rPr>
        <w:t xml:space="preserve">HAS : aucune nouvelle publication ESSMS/RBPP substantielle confirmée dans la fenêtre ; résultats surtout liés à l’évaluation ESSMS et à SantExpo (</w:t>
      </w:r>
      <w:hyperlink r:id="rId39">
        <w:r>
          <w:rPr>
            <w:rFonts w:eastAsia="helvetica neue" w:cs="helvetica neue" w:ascii="helvetica neue" w:hAnsi="helvetica neue"/>
            <w:color w:val="#000"/>
            <w:sz w:val="21"/>
            <w:u w:val="single"/>
          </w:rPr>
          <w:t xml:space="preserve">HAS</w:t>
        </w:r>
      </w:hyperlink>
      <w:r>
        <w:rPr>
          <w:rFonts w:eastAsia="georgia" w:cs="georgia" w:ascii="georgia" w:hAnsi="georgia"/>
          <w:color w:val="000000"/>
          <w:sz w:val="21"/>
        </w:rPr>
        <w:t xml:space="preserve">).</w:t>
      </w:r>
    </w:p>
    <w:p>
      <w:pPr>
        <w:numPr>
          <w:ilvl w:val="0"/>
          <w:numId w:val="11"/>
        </w:numPr>
        <w:spacing w:line="360" w:before="105" w:after="105" w:lineRule="auto"/>
      </w:pPr>
      <w:r>
        <w:rPr>
          <w:rFonts w:eastAsia="georgia" w:cs="georgia" w:ascii="georgia" w:hAnsi="georgia"/>
          <w:color w:val="000000"/>
          <w:sz w:val="21"/>
        </w:rPr>
        <w:t xml:space="preserve">CNSA : aucun item nouveau daté de manière robuste dans la fenêtre ; SERAFIN-PH reste suivi via les sources institutionnelles antérieures et la rubrique dédiée.</w:t>
      </w:r>
    </w:p>
    <w:p>
      <w:pPr>
        <w:numPr>
          <w:ilvl w:val="0"/>
          <w:numId w:val="11"/>
        </w:numPr>
        <w:spacing w:line="360" w:before="105" w:after="105" w:lineRule="auto"/>
      </w:pPr>
      <w:r>
        <w:rPr>
          <w:rFonts w:eastAsia="georgia" w:cs="georgia" w:ascii="georgia" w:hAnsi="georgia"/>
          <w:color w:val="000000"/>
          <w:sz w:val="21"/>
        </w:rPr>
        <w:t xml:space="preserve">Légifrance / JORF : JORF du 21 mai consulté via veille spécialisée ; pas de texte ESSMS handicap adulte directement actionnable identifié (</w:t>
      </w:r>
      <w:hyperlink r:id="rId40">
        <w:r>
          <w:rPr>
            <w:rFonts w:eastAsia="helvetica neue" w:cs="helvetica neue" w:ascii="helvetica neue" w:hAnsi="helvetica neue"/>
            <w:color w:val="#000"/>
            <w:sz w:val="21"/>
            <w:u w:val="single"/>
          </w:rPr>
          <w:t xml:space="preserve">La Veille Acteurs de Santé</w:t>
        </w:r>
      </w:hyperlink>
      <w:r>
        <w:rPr>
          <w:rFonts w:eastAsia="georgia" w:cs="georgia" w:ascii="georgia" w:hAnsi="georgia"/>
          <w:color w:val="000000"/>
          <w:sz w:val="21"/>
        </w:rPr>
        <w:t xml:space="preserve">).</w:t>
      </w:r>
    </w:p>
    <w:p>
      <w:pPr>
        <w:numPr>
          <w:ilvl w:val="0"/>
          <w:numId w:val="11"/>
        </w:numPr>
        <w:spacing w:line="360" w:before="105" w:after="105" w:lineRule="auto"/>
      </w:pPr>
      <w:r>
        <w:rPr>
          <w:rFonts w:eastAsia="georgia" w:cs="georgia" w:ascii="georgia" w:hAnsi="georgia"/>
          <w:color w:val="000000"/>
          <w:sz w:val="21"/>
        </w:rPr>
        <w:t xml:space="preserve">ANAP : aucun nouvel outil médico-social daté de façon suffisamment confirmée dans la fenêtre.</w:t>
      </w:r>
    </w:p>
    <w:p>
      <w:pPr>
        <w:numPr>
          <w:ilvl w:val="0"/>
          <w:numId w:val="11"/>
        </w:numPr>
        <w:spacing w:line="360" w:before="105" w:after="105" w:lineRule="auto"/>
      </w:pPr>
      <w:hyperlink r:id="rId41">
        <w:r>
          <w:rPr>
            <w:rFonts w:eastAsia="helvetica neue" w:cs="helvetica neue" w:ascii="helvetica neue" w:hAnsi="helvetica neue"/>
            <w:color w:val="#000"/>
            <w:sz w:val="21"/>
            <w:u w:val="single"/>
          </w:rPr>
          <w:t xml:space="preserve">Handicap.gouv.fr</w:t>
        </w:r>
      </w:hyperlink>
      <w:r>
        <w:rPr>
          <w:rFonts w:eastAsia="georgia" w:cs="georgia" w:ascii="georgia" w:hAnsi="georgia"/>
          <w:color w:val="000000"/>
          <w:sz w:val="21"/>
        </w:rPr>
        <w:t xml:space="preserve"> et ministères : calendrier SERAFIN-PH 2027 conservé comme référence de surveillance, sans nouvelle publication dans la fenêtre (</w:t>
      </w:r>
      <w:hyperlink r:id="rId42">
        <w:r>
          <w:rPr>
            <w:rFonts w:eastAsia="helvetica neue" w:cs="helvetica neue" w:ascii="helvetica neue" w:hAnsi="helvetica neue"/>
            <w:color w:val="#000"/>
            <w:sz w:val="21"/>
            <w:u w:val="single"/>
          </w:rPr>
          <w:t xml:space="preserve">Handicap.gouv.fr</w:t>
        </w:r>
      </w:hyperlink>
      <w:r>
        <w:rPr>
          <w:rFonts w:eastAsia="georgia" w:cs="georgia" w:ascii="georgia" w:hAnsi="georgia"/>
          <w:color w:val="000000"/>
          <w:sz w:val="21"/>
        </w:rPr>
        <w:t xml:space="preserve">).</w:t>
      </w:r>
    </w:p>
    <w:p>
      <w:pPr>
        <w:numPr>
          <w:ilvl w:val="0"/>
          <w:numId w:val="11"/>
        </w:numPr>
        <w:spacing w:line="360" w:before="105" w:after="105" w:lineRule="auto"/>
      </w:pPr>
      <w:r>
        <w:rPr>
          <w:rFonts w:eastAsia="georgia" w:cs="georgia" w:ascii="georgia" w:hAnsi="georgia"/>
          <w:color w:val="000000"/>
          <w:sz w:val="21"/>
        </w:rPr>
        <w:t xml:space="preserve">ATIH / SERAFIN-PH : aucune nouvelle publication datée du 20 au 26 mai identifiée ; veille maintenue sur le recueil PH 2026 et les dotations théoriques.</w:t>
      </w:r>
    </w:p>
    <w:p>
      <w:pPr>
        <w:numPr>
          <w:ilvl w:val="0"/>
          <w:numId w:val="11"/>
        </w:numPr>
        <w:spacing w:line="360" w:before="105" w:after="105" w:lineRule="auto"/>
      </w:pPr>
      <w:r>
        <w:rPr>
          <w:rFonts w:eastAsia="georgia" w:cs="georgia" w:ascii="georgia" w:hAnsi="georgia"/>
          <w:color w:val="000000"/>
          <w:sz w:val="21"/>
        </w:rPr>
        <w:t xml:space="preserve">Fédérations et réseaux : Nexem fournit l’item le plus actionnable de la semaine sur l’autodétermination (</w:t>
      </w:r>
      <w:hyperlink r:id="rId43">
        <w:r>
          <w:rPr>
            <w:rFonts w:eastAsia="helvetica neue" w:cs="helvetica neue" w:ascii="helvetica neue" w:hAnsi="helvetica neue"/>
            <w:color w:val="#000"/>
            <w:sz w:val="21"/>
            <w:u w:val="single"/>
          </w:rPr>
          <w:t xml:space="preserve">Nexem</w:t>
        </w:r>
      </w:hyperlink>
      <w:r>
        <w:rPr>
          <w:rFonts w:eastAsia="georgia" w:cs="georgia" w:ascii="georgia" w:hAnsi="georgia"/>
          <w:color w:val="000000"/>
          <w:sz w:val="21"/>
        </w:rPr>
        <w:t xml:space="preserve">).</w:t>
      </w:r>
    </w:p>
    <w:p>
      <w:pPr>
        <w:numPr>
          <w:ilvl w:val="0"/>
          <w:numId w:val="11"/>
        </w:numPr>
        <w:spacing w:line="360" w:before="105" w:after="105" w:lineRule="auto"/>
      </w:pPr>
      <w:r>
        <w:rPr>
          <w:rFonts w:eastAsia="georgia" w:cs="georgia" w:ascii="georgia" w:hAnsi="georgia"/>
          <w:color w:val="000000"/>
          <w:sz w:val="21"/>
        </w:rPr>
        <w:t xml:space="preserve">Presse spécialisée : </w:t>
      </w:r>
      <w:hyperlink r:id="rId44">
        <w:r>
          <w:rPr>
            <w:rFonts w:eastAsia="helvetica neue" w:cs="helvetica neue" w:ascii="helvetica neue" w:hAnsi="helvetica neue"/>
            <w:color w:val="#000"/>
            <w:sz w:val="21"/>
            <w:u w:val="single"/>
          </w:rPr>
          <w:t xml:space="preserve">Handicap.fr</w:t>
        </w:r>
      </w:hyperlink>
      <w:r>
        <w:rPr>
          <w:rFonts w:eastAsia="georgia" w:cs="georgia" w:ascii="georgia" w:hAnsi="georgia"/>
          <w:color w:val="000000"/>
          <w:sz w:val="21"/>
        </w:rPr>
        <w:t xml:space="preserve">, Le Media Social et Centre Inffo apportent les principaux signaux RH, QVT et formation (</w:t>
      </w:r>
      <w:hyperlink r:id="rId45">
        <w:r>
          <w:rPr>
            <w:rFonts w:eastAsia="helvetica neue" w:cs="helvetica neue" w:ascii="helvetica neue" w:hAnsi="helvetica neue"/>
            <w:color w:val="#000"/>
            <w:sz w:val="21"/>
            <w:u w:val="single"/>
          </w:rPr>
          <w:t xml:space="preserve">Handicap.fr</w:t>
        </w:r>
      </w:hyperlink>
      <w:r>
        <w:rPr>
          <w:rFonts w:eastAsia="georgia" w:cs="georgia" w:ascii="georgia" w:hAnsi="georgia"/>
          <w:color w:val="000000"/>
          <w:sz w:val="21"/>
        </w:rPr>
        <w:t xml:space="preserve">, </w:t>
      </w:r>
      <w:hyperlink r:id="rId46">
        <w:r>
          <w:rPr>
            <w:rFonts w:eastAsia="helvetica neue" w:cs="helvetica neue" w:ascii="helvetica neue" w:hAnsi="helvetica neue"/>
            <w:color w:val="#000"/>
            <w:sz w:val="21"/>
            <w:u w:val="single"/>
          </w:rPr>
          <w:t xml:space="preserve">Le Media Social</w:t>
        </w:r>
      </w:hyperlink>
      <w:r>
        <w:rPr>
          <w:rFonts w:eastAsia="georgia" w:cs="georgia" w:ascii="georgia" w:hAnsi="georgia"/>
          <w:color w:val="000000"/>
          <w:sz w:val="21"/>
        </w:rPr>
        <w:t xml:space="preserve">, </w:t>
      </w:r>
      <w:hyperlink r:id="rId47">
        <w:r>
          <w:rPr>
            <w:rFonts w:eastAsia="helvetica neue" w:cs="helvetica neue" w:ascii="helvetica neue" w:hAnsi="helvetica neue"/>
            <w:color w:val="#000"/>
            <w:sz w:val="21"/>
            <w:u w:val="single"/>
          </w:rPr>
          <w:t xml:space="preserve">Centre Inffo</w:t>
        </w:r>
      </w:hyperlink>
      <w:r>
        <w:rPr>
          <w:rFonts w:eastAsia="georgia" w:cs="georgia" w:ascii="georgia" w:hAnsi="georgia"/>
          <w:color w:val="000000"/>
          <w:sz w:val="21"/>
        </w:rPr>
        <w:t xml:space="preserve">).</w:t>
      </w:r>
    </w:p>
    <w:p>
      <w:pPr>
        <w:spacing w:line="360" w:before="315" w:after="105" w:lineRule="auto"/>
        <w:ind w:left="-30"/>
        <w:jc w:val="left"/>
      </w:pPr>
      <w:bookmarkStart w:id="16" w:name="limites"/>
      <w:r>
        <w:rPr>
          <w:rFonts w:eastAsia="georgia" w:cs="georgia" w:ascii="georgia" w:hAnsi="georgia"/>
          <w:b/>
          <w:color w:val="000000"/>
          <w:sz w:val="24"/>
        </w:rPr>
        <w:t xml:space="preserve">Limites</w:t>
      </w:r>
      <w:bookmarkEnd w:id="16"/>
    </w:p>
    <w:p>
      <w:pPr>
        <w:spacing w:line="360" w:after="210" w:lineRule="auto"/>
      </w:pPr>
      <w:r>
        <w:rPr>
          <w:rFonts w:eastAsia="georgia" w:cs="georgia" w:ascii="georgia" w:hAnsi="georgia"/>
          <w:color w:val="000000"/>
        </w:rPr>
        <w:t xml:space="preserve">La source primaire ministérielle du plan « Santé des professionnels de santé » n’a pas été retrouvée dans cette exécution ; l’item est donc fondé sur une source spécialisée et doit être confirmé lors d’une prochaine veille si un dossier officiel est publié. La veille ne disposait pas encore d’un historique automatisé des deux semaines précédentes pour contrôler les doublons inter-semaines. Les informations antérieures au 20 mai 2026 ont été exclues des items principaux, sauf dans la rubrique fixe SERAFIN-PH 2027 à surveiller.</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relue le 12/09/2026 au cours d'un contrôle d'attribution des 221 documents du dépôt (passes A2 et A4 : une norme nommée, une ligne « Source : », portent une adresse). Contenu inchangé.</w:t>
      </w:r>
    </w:p>
    <w:p>
      <w:pPr>
        <w:spacing w:after="80"/>
      </w:pPr>
      <w:r>
        <w:rPr>
          <w:rFonts w:ascii="Calibri" w:cs="Calibri" w:eastAsia="Calibri" w:hAnsi="Calibri"/>
          <w:color w:val="1F2937"/>
          <w:sz w:val="22"/>
          <w:szCs w:val="22"/>
        </w:rPr>
        <w:t xml:space="preserve">Trois lignes « Source : Nexem — 21 mai 2026 », « Source : Le Media Social — 26 mai 2026 », « Source : Centre Inffo — 21 mai 2026 » nommaient leur source sans domaine sur la ligne — le lien était bien là, deux lignes plus bas, mais sous un libellé sans domaine (« Nexem »). Le domaine est ajouté sur chaque ligne ; les liens sont inchangés.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exem.fr/actualites/autodetermination-contribuez-au-diagnostic-national-sur-les-choix-de-vie-des-personnes-en-situation-de-handicap-0" TargetMode="External"/><Relationship Id="rId6" Type="http://schemas.openxmlformats.org/officeDocument/2006/relationships/hyperlink" Target="https://informations.handicap.fr/a-medico-social-pourquoi-le-secteur-re-descend-dans-la-rue-39191.php" TargetMode="External"/><Relationship Id="rId7" Type="http://schemas.openxmlformats.org/officeDocument/2006/relationships/hyperlink" Target="https://www.lemediasocial.fr/sante-des-soignants-les-aides-soignants-et-aes-cibles-par-le-nouveau-plan_TmS1B2" TargetMode="External"/><Relationship Id="rId8" Type="http://schemas.openxmlformats.org/officeDocument/2006/relationships/hyperlink" Target="https://handicap.gouv.fr/reforme-tarifaire-des-esms-serafin-ph-reunion-du-comite-strategique" TargetMode="External"/><Relationship Id="rId9" Type="http://schemas.openxmlformats.org/officeDocument/2006/relationships/hyperlink" Target="https://nexem.fr/actualites/autodetermination-contribuez-au-diagnostic-national-sur-les-choix-de-vie-des-personnes-en-situation-de-handicap-0" TargetMode="External"/><Relationship Id="rId10" Type="http://schemas.openxmlformats.org/officeDocument/2006/relationships/hyperlink" Target="https://nexem.fr/actualites/autodetermination-contribuez-au-diagnostic-national-sur-les-choix-de-vie-des-personnes-en-situation-de-handicap-0" TargetMode="External"/><Relationship Id="rId11" Type="http://schemas.openxmlformats.org/officeDocument/2006/relationships/hyperlink" Target="https://nexem.fr/actualites/autodetermination-contribuez-au-diagnostic-national-sur-les-choix-de-vie-des-personnes-en-situation-de-handicap-0" TargetMode="External"/><Relationship Id="rId12" Type="http://schemas.openxmlformats.org/officeDocument/2006/relationships/hyperlink" Target="https://nexem.fr/actualites/autodetermination-contribuez-au-diagnostic-national-sur-les-choix-de-vie-des-personnes-en-situation-de-handicap-0" TargetMode="External"/><Relationship Id="rId13" Type="http://schemas.openxmlformats.org/officeDocument/2006/relationships/hyperlink" Target="http://Handicap.fr" TargetMode="External"/><Relationship Id="rId14" Type="http://schemas.openxmlformats.org/officeDocument/2006/relationships/hyperlink" Target="https://informations.handicap.fr/a-medico-social-pourquoi-le-secteur-re-descend-dans-la-rue-39191.php" TargetMode="External"/><Relationship Id="rId15" Type="http://schemas.openxmlformats.org/officeDocument/2006/relationships/hyperlink" Target="http://Handicap.fr" TargetMode="External"/><Relationship Id="rId16" Type="http://schemas.openxmlformats.org/officeDocument/2006/relationships/hyperlink" Target="https://informations.handicap.fr/a-medico-social-pourquoi-le-secteur-re-descend-dans-la-rue-39191.php" TargetMode="External"/><Relationship Id="rId17" Type="http://schemas.openxmlformats.org/officeDocument/2006/relationships/hyperlink" Target="https://informations.handicap.fr/a-medico-social-pourquoi-le-secteur-re-descend-dans-la-rue-39191.php" TargetMode="External"/><Relationship Id="rId18" Type="http://schemas.openxmlformats.org/officeDocument/2006/relationships/hyperlink" Target="https://informations.handicap.fr/a-medico-social-pourquoi-le-secteur-re-descend-dans-la-rue-39191.php" TargetMode="External"/><Relationship Id="rId19" Type="http://schemas.openxmlformats.org/officeDocument/2006/relationships/hyperlink" Target="https://www.lemediasocial.fr/sante-des-soignants-les-aides-soignants-et-aes-cibles-par-le-nouveau-plan_TmS1B2" TargetMode="External"/><Relationship Id="rId20" Type="http://schemas.openxmlformats.org/officeDocument/2006/relationships/hyperlink" Target="https://www.lemediasocial.fr/sante-des-soignants-les-aides-soignants-et-aes-cibles-par-le-nouveau-plan_TmS1B2" TargetMode="External"/><Relationship Id="rId21" Type="http://schemas.openxmlformats.org/officeDocument/2006/relationships/hyperlink" Target="https://www.lemediasocial.fr/sante-des-soignants-les-aides-soignants-et-aes-cibles-par-le-nouveau-plan_TmS1B2" TargetMode="External"/><Relationship Id="rId22" Type="http://schemas.openxmlformats.org/officeDocument/2006/relationships/hyperlink" Target="https://www.lemediasocial.fr/sante-des-soignants-les-aides-soignants-et-aes-cibles-par-le-nouveau-plan_TmS1B2" TargetMode="External"/><Relationship Id="rId23" Type="http://schemas.openxmlformats.org/officeDocument/2006/relationships/hyperlink" Target="https://www.centre-inffo.fr/site-droit-formation/actualites-droit/france-travail-suppression-de-laide-a-la-vae" TargetMode="External"/><Relationship Id="rId24" Type="http://schemas.openxmlformats.org/officeDocument/2006/relationships/hyperlink" Target="https://www.centre-inffo.fr/site-droit-formation/actualites-droit/france-travail-suppression-de-laide-a-la-vae" TargetMode="External"/><Relationship Id="rId25" Type="http://schemas.openxmlformats.org/officeDocument/2006/relationships/hyperlink" Target="https://www.centre-inffo.fr/site-droit-formation/actualites-droit/france-travail-suppression-de-laide-a-la-vae" TargetMode="External"/><Relationship Id="rId26" Type="http://schemas.openxmlformats.org/officeDocument/2006/relationships/hyperlink" Target="https://www.centre-inffo.fr/site-droit-formation/actualites-droit/france-travail-suppression-de-laide-a-la-vae" TargetMode="External"/><Relationship Id="rId27" Type="http://schemas.openxmlformats.org/officeDocument/2006/relationships/hyperlink" Target="https://www.has-sante.fr/jcms/fc_2875473/fr/evaluation-des-essms" TargetMode="External"/><Relationship Id="rId28" Type="http://schemas.openxmlformats.org/officeDocument/2006/relationships/hyperlink" Target="https://www.lemediasocial.fr/reforme-serafin-ph-un-decret-precise-les-modalites-de-transmission-des-donnees_e2LpZ8" TargetMode="External"/><Relationship Id="rId29" Type="http://schemas.openxmlformats.org/officeDocument/2006/relationships/hyperlink" Target="https://nexem.fr/actualites/autodetermination-contribuez-au-diagnostic-national-sur-les-choix-de-vie-des-personnes-en-situation-de-handicap-0" TargetMode="External"/><Relationship Id="rId30" Type="http://schemas.openxmlformats.org/officeDocument/2006/relationships/hyperlink" Target="https://informations.handicap.fr/a-medico-social-pourquoi-le-secteur-re-descend-dans-la-rue-39191.php" TargetMode="External"/><Relationship Id="rId31" Type="http://schemas.openxmlformats.org/officeDocument/2006/relationships/hyperlink" Target="https://www.lemediasocial.fr/sante-des-soignants-les-aides-soignants-et-aes-cibles-par-le-nouveau-plan_TmS1B2" TargetMode="External"/><Relationship Id="rId32" Type="http://schemas.openxmlformats.org/officeDocument/2006/relationships/hyperlink" Target="https://www.centre-inffo.fr/site-droit-formation/actualites-droit/france-travail-suppression-de-laide-a-la-vae" TargetMode="External"/><Relationship Id="rId33" Type="http://schemas.openxmlformats.org/officeDocument/2006/relationships/hyperlink" Target="https://www.lemediasocial.fr" TargetMode="External"/><Relationship Id="rId34" Type="http://schemas.openxmlformats.org/officeDocument/2006/relationships/hyperlink" Target="https://www.lemediasocial.fr" TargetMode="External"/><Relationship Id="rId35" Type="http://schemas.openxmlformats.org/officeDocument/2006/relationships/hyperlink" Target="https://toute-la.veille-acteurs-sante.fr/243258/jorf-n0118-du-21-mai-2026/" TargetMode="External"/><Relationship Id="rId36" Type="http://schemas.openxmlformats.org/officeDocument/2006/relationships/hyperlink" Target="https://handicap.gouv.fr/reforme-tarifaire-des-esms-serafin-ph-reunion-du-comite-strategique" TargetMode="External"/><Relationship Id="rId37" Type="http://schemas.openxmlformats.org/officeDocument/2006/relationships/hyperlink" Target="https://handicap.gouv.fr/reforme-tarifaire-des-esms-serafin-ph-reunion-du-comite-strategique" TargetMode="External"/><Relationship Id="rId38" Type="http://schemas.openxmlformats.org/officeDocument/2006/relationships/hyperlink" Target="https://handicap.gouv.fr/reforme-tarifaire-des-esms-serafin-ph-reunion-du-comite-strategique" TargetMode="External"/><Relationship Id="rId39" Type="http://schemas.openxmlformats.org/officeDocument/2006/relationships/hyperlink" Target="https://www.has-sante.fr/jcms/fc_2875473/fr/evaluation-des-essms" TargetMode="External"/><Relationship Id="rId40" Type="http://schemas.openxmlformats.org/officeDocument/2006/relationships/hyperlink" Target="https://toute-la.veille-acteurs-sante.fr/243258/jorf-n0118-du-21-mai-2026/" TargetMode="External"/><Relationship Id="rId41" Type="http://schemas.openxmlformats.org/officeDocument/2006/relationships/hyperlink" Target="http://Handicap.gouv.fr" TargetMode="External"/><Relationship Id="rId42" Type="http://schemas.openxmlformats.org/officeDocument/2006/relationships/hyperlink" Target="https://handicap.gouv.fr/reforme-tarifaire-des-esms-serafin-ph-reunion-du-comite-strategique" TargetMode="External"/><Relationship Id="rId43" Type="http://schemas.openxmlformats.org/officeDocument/2006/relationships/hyperlink" Target="https://nexem.fr/actualites/autodetermination-contribuez-au-diagnostic-national-sur-les-choix-de-vie-des-personnes-en-situation-de-handicap-0" TargetMode="External"/><Relationship Id="rId44" Type="http://schemas.openxmlformats.org/officeDocument/2006/relationships/hyperlink" Target="http://Handicap.fr" TargetMode="External"/><Relationship Id="rId45" Type="http://schemas.openxmlformats.org/officeDocument/2006/relationships/hyperlink" Target="https://informations.handicap.fr/a-medico-social-pourquoi-le-secteur-re-descend-dans-la-rue-39191.php" TargetMode="External"/><Relationship Id="rId46" Type="http://schemas.openxmlformats.org/officeDocument/2006/relationships/hyperlink" Target="https://www.lemediasocial.fr/sante-des-soignants-les-aides-soignants-et-aes-cibles-par-le-nouveau-plan_TmS1B2" TargetMode="External"/><Relationship Id="rId47" Type="http://schemas.openxmlformats.org/officeDocument/2006/relationships/hyperlink" Target="https://www.centre-inffo.fr/site-droit-formation/actualites-droit/france-travail-suppression-de-laide-a-la-va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2026-05-26T20:48:36.557Z</dcterms:created>
  <dcterms:modified xsi:type="dcterms:W3CDTF">2026-05-26T20:48:36.557Z</dcterms:modified>
</cp:coreProperties>
</file>