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B3A6B"/>
          <w:sz w:val="52"/>
          <w:szCs w:val="52"/>
        </w:rPr>
        <w:t xml:space="preserve">Leçon Hypnose &amp; auto-hypnose n°20 — BILAN</w:t>
      </w:r>
    </w:p>
    <w:p>
      <w:pPr>
        <w:spacing w:after="120"/>
      </w:pPr>
      <w:r>
        <w:rPr>
          <w:rFonts w:ascii="Times New Roman" w:cs="Times New Roman" w:eastAsia="Times New Roman" w:hAnsi="Times New Roman"/>
          <w:b/>
          <w:bCs/>
          <w:i w:val="false"/>
          <w:iCs w:val="false"/>
          <w:color w:val="1B3A6B"/>
          <w:sz w:val="24"/>
          <w:szCs w:val="24"/>
        </w:rPr>
        <w:t xml:space="preserve">Synthèse du parcours : construire sa propre pratique d’auto-hypnose,
et savoir où s’arrête l’usage personnel</w:t>
      </w:r>
    </w:p>
    <w:p>
      <w:pPr>
        <w:spacing w:after="120"/>
      </w:pPr>
      <w:r>
        <w:rPr>
          <w:rFonts w:ascii="Times New Roman" w:cs="Times New Roman" w:eastAsia="Times New Roman" w:hAnsi="Times New Roman"/>
          <w:b w:val="false"/>
          <w:bCs w:val="false"/>
          <w:i/>
          <w:iCs/>
          <w:color w:val="1F2937"/>
          <w:sz w:val="22"/>
          <w:szCs w:val="22"/>
        </w:rPr>
        <w:t xml:space="preserve">27 octobre 2026 · Leçon 20 / 20</w:t>
      </w:r>
    </w:p>
    <w:p>
      <w:pPr>
        <w:spacing w:after="80"/>
      </w:pPr>
      <w:r>
        <w:t xml:space="preserve"/>
      </w:r>
    </w:p>
    <w:p>
      <w:pPr>
        <w:spacing w:after="120" w:before="28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auras une cartographie complète de ce que tu as appris sur les vingt semaines du parcours, un protocole d’auto-hypnose personnel et opérationnel, et une compréhension claire de la frontière entre l’usage personnel de l’auto-hypnose et la pratique professionnelle sur autrui.</w:t>
      </w:r>
    </w:p>
    <w:p>
      <w:pPr>
        <w:spacing w:after="120"/>
      </w:pPr>
      <w:r>
        <w:rPr>
          <w:rFonts w:ascii="Times New Roman" w:cs="Times New Roman" w:eastAsia="Times New Roman" w:hAnsi="Times New Roman"/>
          <w:b w:val="false"/>
          <w:bCs w:val="false"/>
          <w:i w:val="false"/>
          <w:iCs w:val="false"/>
          <w:color w:val="1F2937"/>
          <w:sz w:val="22"/>
          <w:szCs w:val="22"/>
        </w:rPr>
        <w:t xml:space="preserve">Ce bilan est la suite directe de la leçon 19 (cadre éthique et juridique en France) et referme le cycle ouvert à la leçon 1 (introduction à l’état hypnotique). Il ne s’agit pas d’une leçon supplémentaire : c’est la fin du parcours, et elle est rédigée comme telle.</w:t>
      </w:r>
    </w:p>
    <w:p>
      <w:pPr>
        <w:spacing w:after="80"/>
      </w:pPr>
      <w:r>
        <w:t xml:space="preserve"/>
      </w:r>
    </w:p>
    <w:p>
      <w:pPr>
        <w:spacing w:after="120" w:before="280"/>
      </w:pPr>
      <w:r>
        <w:rPr>
          <w:rFonts w:ascii="Times New Roman" w:cs="Times New Roman" w:eastAsia="Times New Roman" w:hAnsi="Times New Roman"/>
          <w:b/>
          <w:bCs/>
          <w:color w:val="1B3A6B"/>
          <w:sz w:val="30"/>
          <w:szCs w:val="30"/>
        </w:rPr>
        <w:t xml:space="preserve">⚠️ Cadre &amp; sécurité</w:t>
      </w:r>
    </w:p>
    <w:p>
      <w:pPr>
        <w:spacing w:after="120"/>
      </w:pPr>
      <w:r>
        <w:rPr>
          <w:rFonts w:ascii="Times New Roman" w:cs="Times New Roman" w:eastAsia="Times New Roman" w:hAnsi="Times New Roman"/>
          <w:b w:val="false"/>
          <w:bCs w:val="false"/>
          <w:i w:val="false"/>
          <w:iCs w:val="false"/>
          <w:color w:val="1F2937"/>
          <w:sz w:val="22"/>
          <w:szCs w:val="22"/>
        </w:rPr>
        <w:t xml:space="preserve">Ce parcours porte sur le développement personnel par l’auto-hypnose. Il ne forme pas à l’hypnothérapie sur autrui (qualification spécifique requise) et ne remplace pas un avis médical ou psychologique. Les pratiques présentées ici sont destinées à un usage individuel, par une personne sans contre-indication connue. Si tu accompagnes des personnes vulnérables dans un cadre professionnel : la pratique de l’hypnose auprès des personnes accompagnées exige une formation qualifiante distincte de ce parcours.</w:t>
      </w:r>
    </w:p>
    <w:p>
      <w:pPr>
        <w:spacing w:after="80"/>
      </w:pPr>
      <w:r>
        <w:t xml:space="preserve"/>
      </w:r>
    </w:p>
    <w:p>
      <w:pPr>
        <w:spacing w:after="120" w:before="280"/>
      </w:pPr>
      <w:r>
        <w:rPr>
          <w:rFonts w:ascii="Times New Roman" w:cs="Times New Roman" w:eastAsia="Times New Roman" w:hAnsi="Times New Roman"/>
          <w:b/>
          <w:bCs/>
          <w:color w:val="1B3A6B"/>
          <w:sz w:val="30"/>
          <w:szCs w:val="30"/>
        </w:rPr>
        <w:t xml:space="preserve">🔬 Théorie (20 %) — Ce que ce parcours t’a appris</w:t>
      </w:r>
    </w:p>
    <w:p>
      <w:pPr>
        <w:spacing w:after="80" w:before="200"/>
      </w:pPr>
      <w:r>
        <w:rPr>
          <w:rFonts w:ascii="Times New Roman" w:cs="Times New Roman" w:eastAsia="Times New Roman" w:hAnsi="Times New Roman"/>
          <w:b/>
          <w:bCs/>
          <w:color w:val="1F2937"/>
          <w:sz w:val="26"/>
          <w:szCs w:val="26"/>
        </w:rPr>
        <w:t xml:space="preserve">1. La carte du territoire : 20 leçons, cinq grands blocs</w:t>
      </w:r>
    </w:p>
    <w:p>
      <w:pPr>
        <w:spacing w:after="120"/>
      </w:pPr>
      <w:r>
        <w:rPr>
          <w:rFonts w:ascii="Times New Roman" w:cs="Times New Roman" w:eastAsia="Times New Roman" w:hAnsi="Times New Roman"/>
          <w:b w:val="false"/>
          <w:bCs w:val="false"/>
          <w:i w:val="false"/>
          <w:iCs w:val="false"/>
          <w:color w:val="1F2937"/>
          <w:sz w:val="22"/>
          <w:szCs w:val="22"/>
        </w:rPr>
        <w:t xml:space="preserve">Ce parcours s’est articulé en cinq grandes zones :</w:t>
      </w:r>
    </w:p>
    <w:p>
      <w:pPr>
        <w:spacing w:after="80"/>
        <w:ind w:left="360"/>
      </w:pPr>
      <w:r>
        <w:rPr>
          <w:rFonts w:ascii="Times New Roman" w:cs="Times New Roman" w:eastAsia="Times New Roman" w:hAnsi="Times New Roman"/>
          <w:color w:val="1F2937"/>
          <w:sz w:val="22"/>
          <w:szCs w:val="22"/>
        </w:rPr>
        <w:t xml:space="preserve">• Bloc fondations (leçons 1-4) : qu’est-ce que l’état hypnotique, son histoire, les grands courants (classique/directif, ericksonien, nouvelle hypnose, humaniste), le langage hypnotique.</w:t>
      </w:r>
    </w:p>
    <w:p>
      <w:pPr>
        <w:spacing w:after="80"/>
        <w:ind w:left="360"/>
      </w:pPr>
      <w:r>
        <w:rPr>
          <w:rFonts w:ascii="Times New Roman" w:cs="Times New Roman" w:eastAsia="Times New Roman" w:hAnsi="Times New Roman"/>
          <w:color w:val="1F2937"/>
          <w:sz w:val="22"/>
          <w:szCs w:val="22"/>
        </w:rPr>
        <w:t xml:space="preserve">• Bloc technique (leçons 5-7) : induction, approfondissement, ratification et sortie de transe. Les bases procédurales indispensables à toute pratique.</w:t>
      </w:r>
    </w:p>
    <w:p>
      <w:pPr>
        <w:spacing w:after="80"/>
        <w:ind w:left="360"/>
      </w:pPr>
      <w:r>
        <w:rPr>
          <w:rFonts w:ascii="Times New Roman" w:cs="Times New Roman" w:eastAsia="Times New Roman" w:hAnsi="Times New Roman"/>
          <w:color w:val="1F2937"/>
          <w:sz w:val="22"/>
          <w:szCs w:val="22"/>
        </w:rPr>
        <w:t xml:space="preserve">• Bloc auto-hypnose (leçons 8-10) : les fondations de la pratique personnelle, les ancrages au quotidien, la suggestion post-hypnotique.</w:t>
      </w:r>
    </w:p>
    <w:p>
      <w:pPr>
        <w:spacing w:after="80"/>
        <w:ind w:left="360"/>
      </w:pPr>
      <w:r>
        <w:rPr>
          <w:rFonts w:ascii="Times New Roman" w:cs="Times New Roman" w:eastAsia="Times New Roman" w:hAnsi="Times New Roman"/>
          <w:color w:val="1F2937"/>
          <w:sz w:val="22"/>
          <w:szCs w:val="22"/>
        </w:rPr>
        <w:t xml:space="preserve">• Bloc applications (leçons 11-15) : métaphores thérapeutiques, douleur, anxiété/stress, hypnose conversationnelle, troubles du sommeil.</w:t>
      </w:r>
    </w:p>
    <w:p>
      <w:pPr>
        <w:spacing w:after="80"/>
        <w:ind w:left="360"/>
      </w:pPr>
      <w:r>
        <w:rPr>
          <w:rFonts w:ascii="Times New Roman" w:cs="Times New Roman" w:eastAsia="Times New Roman" w:hAnsi="Times New Roman"/>
          <w:color w:val="1F2937"/>
          <w:sz w:val="22"/>
          <w:szCs w:val="22"/>
        </w:rPr>
        <w:t xml:space="preserve">• Bloc limites et cadre (leçons 16-19) : résistances, contre-indications, neurosciences (ce qu’elles établissent et ce qu’elles ne disent pas encore), éthique et droit.</w:t>
      </w:r>
    </w:p>
    <w:p>
      <w:pPr>
        <w:spacing w:after="80" w:before="200"/>
      </w:pPr>
      <w:r>
        <w:rPr>
          <w:rFonts w:ascii="Times New Roman" w:cs="Times New Roman" w:eastAsia="Times New Roman" w:hAnsi="Times New Roman"/>
          <w:b/>
          <w:bCs/>
          <w:color w:val="1F2937"/>
          <w:sz w:val="26"/>
          <w:szCs w:val="26"/>
        </w:rPr>
        <w:t xml:space="preserve">2. Les fondamentaux qui ne changent pas</w:t>
      </w:r>
    </w:p>
    <w:p>
      <w:pPr>
        <w:spacing w:after="120"/>
      </w:pPr>
      <w:r>
        <w:rPr>
          <w:rFonts w:ascii="Times New Roman" w:cs="Times New Roman" w:eastAsia="Times New Roman" w:hAnsi="Times New Roman"/>
          <w:b w:val="false"/>
          <w:bCs w:val="false"/>
          <w:i w:val="false"/>
          <w:iCs w:val="false"/>
          <w:color w:val="1F2937"/>
          <w:sz w:val="22"/>
          <w:szCs w:val="22"/>
        </w:rPr>
        <w:t xml:space="preserve">Quelle que soit l’école de pensée, cinq invariants structurent toute séance d’auto-hypnose :</w:t>
      </w:r>
    </w:p>
    <w:p>
      <w:pPr>
        <w:spacing w:after="80"/>
        <w:ind w:left="360"/>
      </w:pPr>
      <w:r>
        <w:rPr>
          <w:rFonts w:ascii="Times New Roman" w:cs="Times New Roman" w:eastAsia="Times New Roman" w:hAnsi="Times New Roman"/>
          <w:color w:val="1F2937"/>
          <w:sz w:val="22"/>
          <w:szCs w:val="22"/>
        </w:rPr>
        <w:t xml:space="preserve">• La fixation de l’intention avant d’entrer en transe.</w:t>
      </w:r>
    </w:p>
    <w:p>
      <w:pPr>
        <w:spacing w:after="80"/>
        <w:ind w:left="360"/>
      </w:pPr>
      <w:r>
        <w:rPr>
          <w:rFonts w:ascii="Times New Roman" w:cs="Times New Roman" w:eastAsia="Times New Roman" w:hAnsi="Times New Roman"/>
          <w:color w:val="1F2937"/>
          <w:sz w:val="22"/>
          <w:szCs w:val="22"/>
        </w:rPr>
        <w:t xml:space="preserve">• L’induction : un protocole reproductible (respiration, fixation, comptage) qui signale au système nerveux qu’il est temps de modifier l’état de conscience.</w:t>
      </w:r>
    </w:p>
    <w:p>
      <w:pPr>
        <w:spacing w:after="80"/>
        <w:ind w:left="360"/>
      </w:pPr>
      <w:r>
        <w:rPr>
          <w:rFonts w:ascii="Times New Roman" w:cs="Times New Roman" w:eastAsia="Times New Roman" w:hAnsi="Times New Roman"/>
          <w:color w:val="1F2937"/>
          <w:sz w:val="22"/>
          <w:szCs w:val="22"/>
        </w:rPr>
        <w:t xml:space="preserve">• L’approfondissement : une descente progressive qui amplifie la réceptivité interne.</w:t>
      </w:r>
    </w:p>
    <w:p>
      <w:pPr>
        <w:spacing w:after="80"/>
        <w:ind w:left="360"/>
      </w:pPr>
      <w:r>
        <w:rPr>
          <w:rFonts w:ascii="Times New Roman" w:cs="Times New Roman" w:eastAsia="Times New Roman" w:hAnsi="Times New Roman"/>
          <w:color w:val="1F2937"/>
          <w:sz w:val="22"/>
          <w:szCs w:val="22"/>
        </w:rPr>
        <w:t xml:space="preserve">• La zone de travail : suggestion, imagerie, ancre, ou simple observation. C’est ici que la leçon 9 (ancrages) et la leçon 10 (suggestion post-hypnotique) prennent tout leur sens.</w:t>
      </w:r>
    </w:p>
    <w:p>
      <w:pPr>
        <w:spacing w:after="80"/>
        <w:ind w:left="360"/>
      </w:pPr>
      <w:r>
        <w:rPr>
          <w:rFonts w:ascii="Times New Roman" w:cs="Times New Roman" w:eastAsia="Times New Roman" w:hAnsi="Times New Roman"/>
          <w:color w:val="1F2937"/>
          <w:sz w:val="22"/>
          <w:szCs w:val="22"/>
        </w:rPr>
        <w:t xml:space="preserve">• La sortie : un retour progressif, jamais abrupt. La leçon 7 lui était entièrement consacrée.</w:t>
      </w:r>
    </w:p>
    <w:p>
      <w:pPr>
        <w:spacing w:after="80" w:before="200"/>
      </w:pPr>
      <w:r>
        <w:rPr>
          <w:rFonts w:ascii="Times New Roman" w:cs="Times New Roman" w:eastAsia="Times New Roman" w:hAnsi="Times New Roman"/>
          <w:b/>
          <w:bCs/>
          <w:color w:val="1F2937"/>
          <w:sz w:val="26"/>
          <w:szCs w:val="26"/>
        </w:rPr>
        <w:t xml:space="preserve">3. Ce que la science établit (et ce qu’elle ne dit pas encore)</w:t>
      </w:r>
    </w:p>
    <w:p>
      <w:pPr>
        <w:spacing w:after="120"/>
      </w:pPr>
      <w:r>
        <w:rPr>
          <w:rFonts w:ascii="Times New Roman" w:cs="Times New Roman" w:eastAsia="Times New Roman" w:hAnsi="Times New Roman"/>
          <w:b w:val="false"/>
          <w:bCs w:val="false"/>
          <w:i w:val="false"/>
          <w:iCs w:val="false"/>
          <w:color w:val="1F2937"/>
          <w:sz w:val="22"/>
          <w:szCs w:val="22"/>
        </w:rPr>
        <w:t xml:space="preserve">Les neurosciences confirment des modifications réelles de l’activité cérébrale en état hypnotique — en particulier dans le cortex cingulaire antérieur et le réseau fronto-pariétal (leçon 18). Ces changements ne sont pas de la simulation. En revanche, les mécanismes fins restent débattus, et l’hypnotisabilité varie fortement d’un individu à l’autre.</w:t>
      </w:r>
    </w:p>
    <w:p>
      <w:pPr>
        <w:spacing w:after="120"/>
      </w:pPr>
      <w:r>
        <w:rPr>
          <w:rFonts w:ascii="Times New Roman" w:cs="Times New Roman" w:eastAsia="Times New Roman" w:hAnsi="Times New Roman"/>
          <w:b w:val="false"/>
          <w:bCs w:val="false"/>
          <w:i w:val="false"/>
          <w:iCs w:val="false"/>
          <w:color w:val="1F2937"/>
          <w:sz w:val="22"/>
          <w:szCs w:val="22"/>
        </w:rPr>
        <w:t xml:space="preserve">La recherche établit que l’auto-hypnose et l’hétéro-hypnose montrent une corrélation élevée sur les mesures comportementales et phénoménologiques (Kihlstrom, 2008, Oxford Handbook of Hypnosis, cité par Wikipedia Self-hypnosis). Ce que cela signifie en pratique : ce que tu apprends sur toi-même en auto-hypnose est transférable.</w:t>
      </w:r>
    </w:p>
    <w:p>
      <w:pPr>
        <w:spacing w:after="120"/>
      </w:pPr>
      <w:r>
        <w:rPr>
          <w:rFonts w:ascii="Times New Roman" w:cs="Times New Roman" w:eastAsia="Times New Roman" w:hAnsi="Times New Roman"/>
          <w:b w:val="false"/>
          <w:bCs w:val="false"/>
          <w:i w:val="false"/>
          <w:iCs w:val="false"/>
          <w:color w:val="1F2937"/>
          <w:sz w:val="22"/>
          <w:szCs w:val="22"/>
        </w:rPr>
        <w:t xml:space="preserve">Une étude prospective récente (Mialon et al., 2026, Santé Publique, 38(2):65-76) sur des étudiants en odontologie ayant suivi une formation d’auto-hypnose optionnelle montre que 68 % des participants rapportent des bénéfices perçus et un retour positif sur l’expérience. La régularité de la pratique et la qualité de la formation initiale restent les deux variables les plus souvent citées dans la littérature.</w:t>
      </w:r>
    </w:p>
    <w:p>
      <w:pPr>
        <w:spacing w:after="80"/>
      </w:pPr>
      <w:r>
        <w:t xml:space="preserve"/>
      </w:r>
    </w:p>
    <w:p>
      <w:pPr>
        <w:spacing w:after="120" w:before="280"/>
      </w:pPr>
      <w:r>
        <w:rPr>
          <w:rFonts w:ascii="Times New Roman" w:cs="Times New Roman" w:eastAsia="Times New Roman" w:hAnsi="Times New Roman"/>
          <w:b/>
          <w:bCs/>
          <w:color w:val="1B3A6B"/>
          <w:sz w:val="30"/>
          <w:szCs w:val="30"/>
        </w:rPr>
        <w:t xml:space="preserve">🛠️ Pratique (80 %) — Consolider, personnaliser, pérenniser</w:t>
      </w:r>
    </w:p>
    <w:p>
      <w:pPr>
        <w:spacing w:after="80" w:before="200"/>
      </w:pPr>
      <w:r>
        <w:rPr>
          <w:rFonts w:ascii="Times New Roman" w:cs="Times New Roman" w:eastAsia="Times New Roman" w:hAnsi="Times New Roman"/>
          <w:b/>
          <w:bCs/>
          <w:color w:val="1F2937"/>
          <w:sz w:val="26"/>
          <w:szCs w:val="26"/>
        </w:rPr>
        <w:t xml:space="preserve">Exercice 1 — L’inventaire du praticien (45 min)</w:t>
      </w:r>
    </w:p>
    <w:p>
      <w:pPr>
        <w:spacing w:after="120"/>
      </w:pPr>
      <w:r>
        <w:rPr>
          <w:rFonts w:ascii="Times New Roman" w:cs="Times New Roman" w:eastAsia="Times New Roman" w:hAnsi="Times New Roman"/>
          <w:b w:val="false"/>
          <w:bCs w:val="false"/>
          <w:i w:val="false"/>
          <w:iCs w:val="false"/>
          <w:color w:val="1F2937"/>
          <w:sz w:val="22"/>
          <w:szCs w:val="22"/>
        </w:rPr>
        <w:t xml:space="preserve">Avant de construire ta pratique, fais le point sur ce que ces vingt leçons t’ont vraiment laissé. Réponds par écrit dans ton journal :</w:t>
      </w:r>
    </w:p>
    <w:p>
      <w:pPr>
        <w:shd w:fill="F3F4F6" w:color="F3F4F6" w:val="solid"/>
        <w:spacing w:after="60"/>
        <w:ind w:left="360" w:right="360"/>
      </w:pPr>
      <w:r>
        <w:rPr>
          <w:rFonts w:ascii="Times New Roman" w:cs="Times New Roman" w:eastAsia="Times New Roman" w:hAnsi="Times New Roman"/>
          <w:color w:val="1F2937"/>
          <w:sz w:val="22"/>
          <w:szCs w:val="22"/>
        </w:rPr>
        <w:t xml:space="preserve">A. Technique d’induction qui me réussit le mieux :</w:t>
      </w:r>
    </w:p>
    <w:p>
      <w:pPr>
        <w:shd w:fill="F3F4F6" w:color="F3F4F6" w:val="solid"/>
        <w:spacing w:after="60"/>
        <w:ind w:left="360" w:right="360"/>
      </w:pPr>
      <w:r>
        <w:rPr>
          <w:rFonts w:ascii="Times New Roman" w:cs="Times New Roman" w:eastAsia="Times New Roman" w:hAnsi="Times New Roman"/>
          <w:color w:val="1F2937"/>
          <w:sz w:val="22"/>
          <w:szCs w:val="22"/>
        </w:rPr>
        <w:t xml:space="preserve">   respiration abdominale / comptage 10→1 / fixation d’un point / autre : ___</w:t>
      </w:r>
    </w:p>
    <w:p>
      <w:pPr>
        <w:shd w:fill="F3F4F6" w:color="F3F4F6" w:val="solid"/>
        <w:spacing w:after="60"/>
        <w:ind w:left="360" w:right="360"/>
      </w:pPr>
      <w:r>
        <w:rPr>
          <w:rFonts w:ascii="Times New Roman" w:cs="Times New Roman" w:eastAsia="Times New Roman" w:hAnsi="Times New Roman"/>
          <w:color w:val="1F2937"/>
          <w:sz w:val="22"/>
          <w:szCs w:val="22"/>
        </w:rPr>
        <w:t xml:space="preserve"/>
      </w:r>
    </w:p>
    <w:p>
      <w:pPr>
        <w:shd w:fill="F3F4F6" w:color="F3F4F6" w:val="solid"/>
        <w:spacing w:after="60"/>
        <w:ind w:left="360" w:right="360"/>
      </w:pPr>
      <w:r>
        <w:rPr>
          <w:rFonts w:ascii="Times New Roman" w:cs="Times New Roman" w:eastAsia="Times New Roman" w:hAnsi="Times New Roman"/>
          <w:color w:val="1F2937"/>
          <w:sz w:val="22"/>
          <w:szCs w:val="22"/>
        </w:rPr>
        <w:t xml:space="preserve">B. Technique d’approfondissement qui crée la meilleure qualité de transe :</w:t>
      </w:r>
    </w:p>
    <w:p>
      <w:pPr>
        <w:shd w:fill="F3F4F6" w:color="F3F4F6" w:val="solid"/>
        <w:spacing w:after="60"/>
        <w:ind w:left="360" w:right="360"/>
      </w:pPr>
      <w:r>
        <w:rPr>
          <w:rFonts w:ascii="Times New Roman" w:cs="Times New Roman" w:eastAsia="Times New Roman" w:hAnsi="Times New Roman"/>
          <w:color w:val="1F2937"/>
          <w:sz w:val="22"/>
          <w:szCs w:val="22"/>
        </w:rPr>
        <w:t xml:space="preserve">   descente d’escalier / image de plage / lumière douce / autre : ___</w:t>
      </w:r>
    </w:p>
    <w:p>
      <w:pPr>
        <w:shd w:fill="F3F4F6" w:color="F3F4F6" w:val="solid"/>
        <w:spacing w:after="60"/>
        <w:ind w:left="360" w:right="360"/>
      </w:pPr>
      <w:r>
        <w:rPr>
          <w:rFonts w:ascii="Times New Roman" w:cs="Times New Roman" w:eastAsia="Times New Roman" w:hAnsi="Times New Roman"/>
          <w:color w:val="1F2937"/>
          <w:sz w:val="22"/>
          <w:szCs w:val="22"/>
        </w:rPr>
        <w:t xml:space="preserve"/>
      </w:r>
    </w:p>
    <w:p>
      <w:pPr>
        <w:shd w:fill="F3F4F6" w:color="F3F4F6" w:val="solid"/>
        <w:spacing w:after="60"/>
        <w:ind w:left="360" w:right="360"/>
      </w:pPr>
      <w:r>
        <w:rPr>
          <w:rFonts w:ascii="Times New Roman" w:cs="Times New Roman" w:eastAsia="Times New Roman" w:hAnsi="Times New Roman"/>
          <w:color w:val="1F2937"/>
          <w:sz w:val="22"/>
          <w:szCs w:val="22"/>
        </w:rPr>
        <w:t xml:space="preserve">C. Type de suggestion le plus efficace pour moi :</w:t>
      </w:r>
    </w:p>
    <w:p>
      <w:pPr>
        <w:shd w:fill="F3F4F6" w:color="F3F4F6" w:val="solid"/>
        <w:spacing w:after="60"/>
        <w:ind w:left="360" w:right="360"/>
      </w:pPr>
      <w:r>
        <w:rPr>
          <w:rFonts w:ascii="Times New Roman" w:cs="Times New Roman" w:eastAsia="Times New Roman" w:hAnsi="Times New Roman"/>
          <w:color w:val="1F2937"/>
          <w:sz w:val="22"/>
          <w:szCs w:val="22"/>
        </w:rPr>
        <w:t xml:space="preserve">   suggestion directe / métaphore / image sensorielle / ancre geste / autre : ___</w:t>
      </w:r>
    </w:p>
    <w:p>
      <w:pPr>
        <w:shd w:fill="F3F4F6" w:color="F3F4F6" w:val="solid"/>
        <w:spacing w:after="60"/>
        <w:ind w:left="360" w:right="360"/>
      </w:pPr>
      <w:r>
        <w:rPr>
          <w:rFonts w:ascii="Times New Roman" w:cs="Times New Roman" w:eastAsia="Times New Roman" w:hAnsi="Times New Roman"/>
          <w:color w:val="1F2937"/>
          <w:sz w:val="22"/>
          <w:szCs w:val="22"/>
        </w:rPr>
        <w:t xml:space="preserve"/>
      </w:r>
    </w:p>
    <w:p>
      <w:pPr>
        <w:shd w:fill="F3F4F6" w:color="F3F4F6" w:val="solid"/>
        <w:spacing w:after="60"/>
        <w:ind w:left="360" w:right="360"/>
      </w:pPr>
      <w:r>
        <w:rPr>
          <w:rFonts w:ascii="Times New Roman" w:cs="Times New Roman" w:eastAsia="Times New Roman" w:hAnsi="Times New Roman"/>
          <w:color w:val="1F2937"/>
          <w:sz w:val="22"/>
          <w:szCs w:val="22"/>
        </w:rPr>
        <w:t xml:space="preserve">D. Durée de séance qui me convient : ___ min</w:t>
      </w:r>
    </w:p>
    <w:p>
      <w:pPr>
        <w:shd w:fill="F3F4F6" w:color="F3F4F6" w:val="solid"/>
        <w:spacing w:after="60"/>
        <w:ind w:left="360" w:right="360"/>
      </w:pPr>
      <w:r>
        <w:rPr>
          <w:rFonts w:ascii="Times New Roman" w:cs="Times New Roman" w:eastAsia="Times New Roman" w:hAnsi="Times New Roman"/>
          <w:color w:val="1F2937"/>
          <w:sz w:val="22"/>
          <w:szCs w:val="22"/>
        </w:rPr>
        <w:t xml:space="preserve">   Moment de la journée : matin / midi / soir / autre : ___</w:t>
      </w:r>
    </w:p>
    <w:p>
      <w:pPr>
        <w:shd w:fill="F3F4F6" w:color="F3F4F6" w:val="solid"/>
        <w:spacing w:after="60"/>
        <w:ind w:left="360" w:right="360"/>
      </w:pPr>
      <w:r>
        <w:rPr>
          <w:rFonts w:ascii="Times New Roman" w:cs="Times New Roman" w:eastAsia="Times New Roman" w:hAnsi="Times New Roman"/>
          <w:color w:val="1F2937"/>
          <w:sz w:val="22"/>
          <w:szCs w:val="22"/>
        </w:rPr>
        <w:t xml:space="preserve"/>
      </w:r>
    </w:p>
    <w:p>
      <w:pPr>
        <w:shd w:fill="F3F4F6" w:color="F3F4F6" w:val="solid"/>
        <w:spacing w:after="60"/>
        <w:ind w:left="360" w:right="360"/>
      </w:pPr>
      <w:r>
        <w:rPr>
          <w:rFonts w:ascii="Times New Roman" w:cs="Times New Roman" w:eastAsia="Times New Roman" w:hAnsi="Times New Roman"/>
          <w:color w:val="1F2937"/>
          <w:sz w:val="22"/>
          <w:szCs w:val="22"/>
        </w:rPr>
        <w:t xml:space="preserve">E. Leçon qui m’a le plus marqué et pourquoi : ___</w:t>
      </w:r>
    </w:p>
    <w:p>
      <w:pPr>
        <w:shd w:fill="F3F4F6" w:color="F3F4F6" w:val="solid"/>
        <w:spacing w:after="60"/>
        <w:ind w:left="360" w:right="360"/>
      </w:pPr>
      <w:r>
        <w:rPr>
          <w:rFonts w:ascii="Times New Roman" w:cs="Times New Roman" w:eastAsia="Times New Roman" w:hAnsi="Times New Roman"/>
          <w:color w:val="1F2937"/>
          <w:sz w:val="22"/>
          <w:szCs w:val="22"/>
        </w:rPr>
        <w:t xml:space="preserve"/>
      </w:r>
    </w:p>
    <w:p>
      <w:pPr>
        <w:shd w:fill="F3F4F6" w:color="F3F4F6" w:val="solid"/>
        <w:spacing w:after="60"/>
        <w:ind w:left="360" w:right="360"/>
      </w:pPr>
      <w:r>
        <w:rPr>
          <w:rFonts w:ascii="Times New Roman" w:cs="Times New Roman" w:eastAsia="Times New Roman" w:hAnsi="Times New Roman"/>
          <w:color w:val="1F2937"/>
          <w:sz w:val="22"/>
          <w:szCs w:val="22"/>
        </w:rPr>
        <w:t xml:space="preserve">F. Ce que je n’ai pas encore bien intégré et que je veux travailler : ___</w:t>
      </w:r>
    </w:p>
    <w:p>
      <w:pPr>
        <w:spacing w:after="8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Cet inventaire est ton point de départ. Il n’existe pas de « bonne réponse » : la pratique qui persiste est celle qui est adaptée à ton fonctionnement.</w:t>
      </w:r>
    </w:p>
    <w:p>
      <w:pPr>
        <w:spacing w:after="80" w:before="200"/>
      </w:pPr>
      <w:r>
        <w:rPr>
          <w:rFonts w:ascii="Times New Roman" w:cs="Times New Roman" w:eastAsia="Times New Roman" w:hAnsi="Times New Roman"/>
          <w:b/>
          <w:bCs/>
          <w:color w:val="1F2937"/>
          <w:sz w:val="26"/>
          <w:szCs w:val="26"/>
        </w:rPr>
        <w:t xml:space="preserve">Exercice 2 — Construire ta séance modèle (60 min)</w:t>
      </w:r>
    </w:p>
    <w:p>
      <w:pPr>
        <w:spacing w:after="120"/>
      </w:pPr>
      <w:r>
        <w:rPr>
          <w:rFonts w:ascii="Times New Roman" w:cs="Times New Roman" w:eastAsia="Times New Roman" w:hAnsi="Times New Roman"/>
          <w:b w:val="false"/>
          <w:bCs w:val="false"/>
          <w:i w:val="false"/>
          <w:iCs w:val="false"/>
          <w:color w:val="1F2937"/>
          <w:sz w:val="22"/>
          <w:szCs w:val="22"/>
        </w:rPr>
        <w:t xml:space="preserve">À partir de ton inventaire, rédige une séance complète de 15 à 20 minutes en cinq phases. Écris-la dans ton journal, puis pratique-la deux fois cette semaine.</w:t>
      </w:r>
    </w:p>
    <w:p>
      <w:pPr>
        <w:shd w:fill="F3F4F6" w:color="F3F4F6" w:val="solid"/>
        <w:spacing w:after="60"/>
        <w:ind w:left="360" w:right="360"/>
      </w:pPr>
      <w:r>
        <w:rPr>
          <w:rFonts w:ascii="Times New Roman" w:cs="Times New Roman" w:eastAsia="Times New Roman" w:hAnsi="Times New Roman"/>
          <w:color w:val="1F2937"/>
          <w:sz w:val="22"/>
          <w:szCs w:val="22"/>
        </w:rPr>
        <w:t xml:space="preserve">Phase 1 — Installation (2-3 min)</w:t>
      </w:r>
    </w:p>
    <w:p>
      <w:pPr>
        <w:shd w:fill="F3F4F6" w:color="F3F4F6" w:val="solid"/>
        <w:spacing w:after="60"/>
        <w:ind w:left="360" w:right="360"/>
      </w:pPr>
      <w:r>
        <w:rPr>
          <w:rFonts w:ascii="Times New Roman" w:cs="Times New Roman" w:eastAsia="Times New Roman" w:hAnsi="Times New Roman"/>
          <w:color w:val="1F2937"/>
          <w:sz w:val="22"/>
          <w:szCs w:val="22"/>
        </w:rPr>
        <w:t xml:space="preserve">Position : assis ou allongé, lieu calme, téléphone en mode silence.</w:t>
      </w:r>
    </w:p>
    <w:p>
      <w:pPr>
        <w:shd w:fill="F3F4F6" w:color="F3F4F6" w:val="solid"/>
        <w:spacing w:after="60"/>
        <w:ind w:left="360" w:right="360"/>
      </w:pPr>
      <w:r>
        <w:rPr>
          <w:rFonts w:ascii="Times New Roman" w:cs="Times New Roman" w:eastAsia="Times New Roman" w:hAnsi="Times New Roman"/>
          <w:color w:val="1F2937"/>
          <w:sz w:val="22"/>
          <w:szCs w:val="22"/>
        </w:rPr>
        <w:t xml:space="preserve">Intention : formule en une phrase ce que tu veux travailler aujourd’hui.</w:t>
      </w:r>
    </w:p>
    <w:p>
      <w:pPr>
        <w:shd w:fill="F3F4F6" w:color="F3F4F6" w:val="solid"/>
        <w:spacing w:after="60"/>
        <w:ind w:left="360" w:right="360"/>
      </w:pPr>
      <w:r>
        <w:rPr>
          <w:rFonts w:ascii="Times New Roman" w:cs="Times New Roman" w:eastAsia="Times New Roman" w:hAnsi="Times New Roman"/>
          <w:color w:val="1F2937"/>
          <w:sz w:val="22"/>
          <w:szCs w:val="22"/>
        </w:rPr>
        <w:t xml:space="preserve"/>
      </w:r>
    </w:p>
    <w:p>
      <w:pPr>
        <w:shd w:fill="F3F4F6" w:color="F3F4F6" w:val="solid"/>
        <w:spacing w:after="60"/>
        <w:ind w:left="360" w:right="360"/>
      </w:pPr>
      <w:r>
        <w:rPr>
          <w:rFonts w:ascii="Times New Roman" w:cs="Times New Roman" w:eastAsia="Times New Roman" w:hAnsi="Times New Roman"/>
          <w:color w:val="1F2937"/>
          <w:sz w:val="22"/>
          <w:szCs w:val="22"/>
        </w:rPr>
        <w:t xml:space="preserve">Phase 2 — Induction (3-5 min)</w:t>
      </w:r>
    </w:p>
    <w:p>
      <w:pPr>
        <w:shd w:fill="F3F4F6" w:color="F3F4F6" w:val="solid"/>
        <w:spacing w:after="60"/>
        <w:ind w:left="360" w:right="360"/>
      </w:pPr>
      <w:r>
        <w:rPr>
          <w:rFonts w:ascii="Times New Roman" w:cs="Times New Roman" w:eastAsia="Times New Roman" w:hAnsi="Times New Roman"/>
          <w:color w:val="1F2937"/>
          <w:sz w:val="22"/>
          <w:szCs w:val="22"/>
        </w:rPr>
        <w:t xml:space="preserve">Utilise ta technique préférée identifiée en exercice 1.</w:t>
      </w:r>
    </w:p>
    <w:p>
      <w:pPr>
        <w:shd w:fill="F3F4F6" w:color="F3F4F6" w:val="solid"/>
        <w:spacing w:after="60"/>
        <w:ind w:left="360" w:right="360"/>
      </w:pPr>
      <w:r>
        <w:rPr>
          <w:rFonts w:ascii="Times New Roman" w:cs="Times New Roman" w:eastAsia="Times New Roman" w:hAnsi="Times New Roman"/>
          <w:color w:val="1F2937"/>
          <w:sz w:val="22"/>
          <w:szCs w:val="22"/>
        </w:rPr>
        <w:t xml:space="preserve">Signaux de transe à observer : paupières lourdes, respiration ralentie, corps lourd.</w:t>
      </w:r>
    </w:p>
    <w:p>
      <w:pPr>
        <w:shd w:fill="F3F4F6" w:color="F3F4F6" w:val="solid"/>
        <w:spacing w:after="60"/>
        <w:ind w:left="360" w:right="360"/>
      </w:pPr>
      <w:r>
        <w:rPr>
          <w:rFonts w:ascii="Times New Roman" w:cs="Times New Roman" w:eastAsia="Times New Roman" w:hAnsi="Times New Roman"/>
          <w:color w:val="1F2937"/>
          <w:sz w:val="22"/>
          <w:szCs w:val="22"/>
        </w:rPr>
        <w:t xml:space="preserve"/>
      </w:r>
    </w:p>
    <w:p>
      <w:pPr>
        <w:shd w:fill="F3F4F6" w:color="F3F4F6" w:val="solid"/>
        <w:spacing w:after="60"/>
        <w:ind w:left="360" w:right="360"/>
      </w:pPr>
      <w:r>
        <w:rPr>
          <w:rFonts w:ascii="Times New Roman" w:cs="Times New Roman" w:eastAsia="Times New Roman" w:hAnsi="Times New Roman"/>
          <w:color w:val="1F2937"/>
          <w:sz w:val="22"/>
          <w:szCs w:val="22"/>
        </w:rPr>
        <w:t xml:space="preserve">Phase 3 — Approfondissement (2-3 min)</w:t>
      </w:r>
    </w:p>
    <w:p>
      <w:pPr>
        <w:shd w:fill="F3F4F6" w:color="F3F4F6" w:val="solid"/>
        <w:spacing w:after="60"/>
        <w:ind w:left="360" w:right="360"/>
      </w:pPr>
      <w:r>
        <w:rPr>
          <w:rFonts w:ascii="Times New Roman" w:cs="Times New Roman" w:eastAsia="Times New Roman" w:hAnsi="Times New Roman"/>
          <w:color w:val="1F2937"/>
          <w:sz w:val="22"/>
          <w:szCs w:val="22"/>
        </w:rPr>
        <w:t xml:space="preserve">Descends plus profond avec ton image ou ton protocole habituel.</w:t>
      </w:r>
    </w:p>
    <w:p>
      <w:pPr>
        <w:shd w:fill="F3F4F6" w:color="F3F4F6" w:val="solid"/>
        <w:spacing w:after="60"/>
        <w:ind w:left="360" w:right="360"/>
      </w:pPr>
      <w:r>
        <w:rPr>
          <w:rFonts w:ascii="Times New Roman" w:cs="Times New Roman" w:eastAsia="Times New Roman" w:hAnsi="Times New Roman"/>
          <w:color w:val="1F2937"/>
          <w:sz w:val="22"/>
          <w:szCs w:val="22"/>
        </w:rPr>
        <w:t xml:space="preserve"/>
      </w:r>
    </w:p>
    <w:p>
      <w:pPr>
        <w:shd w:fill="F3F4F6" w:color="F3F4F6" w:val="solid"/>
        <w:spacing w:after="60"/>
        <w:ind w:left="360" w:right="360"/>
      </w:pPr>
      <w:r>
        <w:rPr>
          <w:rFonts w:ascii="Times New Roman" w:cs="Times New Roman" w:eastAsia="Times New Roman" w:hAnsi="Times New Roman"/>
          <w:color w:val="1F2937"/>
          <w:sz w:val="22"/>
          <w:szCs w:val="22"/>
        </w:rPr>
        <w:t xml:space="preserve">Phase 4 — Zone de travail (5-10 min)</w:t>
      </w:r>
    </w:p>
    <w:p>
      <w:pPr>
        <w:shd w:fill="F3F4F6" w:color="F3F4F6" w:val="solid"/>
        <w:spacing w:after="60"/>
        <w:ind w:left="360" w:right="360"/>
      </w:pPr>
      <w:r>
        <w:rPr>
          <w:rFonts w:ascii="Times New Roman" w:cs="Times New Roman" w:eastAsia="Times New Roman" w:hAnsi="Times New Roman"/>
          <w:color w:val="1F2937"/>
          <w:sz w:val="22"/>
          <w:szCs w:val="22"/>
        </w:rPr>
        <w:t xml:space="preserve">Suggestions, imagerie, ancre, exploration — adapté à ton intention du jour.</w:t>
      </w:r>
    </w:p>
    <w:p>
      <w:pPr>
        <w:shd w:fill="F3F4F6" w:color="F3F4F6" w:val="solid"/>
        <w:spacing w:after="60"/>
        <w:ind w:left="360" w:right="360"/>
      </w:pPr>
      <w:r>
        <w:rPr>
          <w:rFonts w:ascii="Times New Roman" w:cs="Times New Roman" w:eastAsia="Times New Roman" w:hAnsi="Times New Roman"/>
          <w:color w:val="1F2937"/>
          <w:sz w:val="22"/>
          <w:szCs w:val="22"/>
        </w:rPr>
        <w:t xml:space="preserve">La suggestion post-hypnotique (leçon 10) peut venir ici.</w:t>
      </w:r>
    </w:p>
    <w:p>
      <w:pPr>
        <w:shd w:fill="F3F4F6" w:color="F3F4F6" w:val="solid"/>
        <w:spacing w:after="60"/>
        <w:ind w:left="360" w:right="360"/>
      </w:pPr>
      <w:r>
        <w:rPr>
          <w:rFonts w:ascii="Times New Roman" w:cs="Times New Roman" w:eastAsia="Times New Roman" w:hAnsi="Times New Roman"/>
          <w:color w:val="1F2937"/>
          <w:sz w:val="22"/>
          <w:szCs w:val="22"/>
        </w:rPr>
        <w:t xml:space="preserve"/>
      </w:r>
    </w:p>
    <w:p>
      <w:pPr>
        <w:shd w:fill="F3F4F6" w:color="F3F4F6" w:val="solid"/>
        <w:spacing w:after="60"/>
        <w:ind w:left="360" w:right="360"/>
      </w:pPr>
      <w:r>
        <w:rPr>
          <w:rFonts w:ascii="Times New Roman" w:cs="Times New Roman" w:eastAsia="Times New Roman" w:hAnsi="Times New Roman"/>
          <w:color w:val="1F2937"/>
          <w:sz w:val="22"/>
          <w:szCs w:val="22"/>
        </w:rPr>
        <w:t xml:space="preserve">Phase 5 — Sortie (2-3 min)</w:t>
      </w:r>
    </w:p>
    <w:p>
      <w:pPr>
        <w:shd w:fill="F3F4F6" w:color="F3F4F6" w:val="solid"/>
        <w:spacing w:after="60"/>
        <w:ind w:left="360" w:right="360"/>
      </w:pPr>
      <w:r>
        <w:rPr>
          <w:rFonts w:ascii="Times New Roman" w:cs="Times New Roman" w:eastAsia="Times New Roman" w:hAnsi="Times New Roman"/>
          <w:color w:val="1F2937"/>
          <w:sz w:val="22"/>
          <w:szCs w:val="22"/>
        </w:rPr>
        <w:t xml:space="preserve">Comptage 1→5, retour progressif. Ne te lève pas immédiatement.</w:t>
      </w:r>
    </w:p>
    <w:p>
      <w:pPr>
        <w:shd w:fill="F3F4F6" w:color="F3F4F6" w:val="solid"/>
        <w:spacing w:after="60"/>
        <w:ind w:left="360" w:right="360"/>
      </w:pPr>
      <w:r>
        <w:rPr>
          <w:rFonts w:ascii="Times New Roman" w:cs="Times New Roman" w:eastAsia="Times New Roman" w:hAnsi="Times New Roman"/>
          <w:color w:val="1F2937"/>
          <w:sz w:val="22"/>
          <w:szCs w:val="22"/>
        </w:rPr>
        <w:t xml:space="preserve">Note dans ton journal : état avant / état après / observations.</w:t>
      </w:r>
    </w:p>
    <w:p>
      <w:pPr>
        <w:spacing w:after="8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Variation : une fois la séance maîtrisée, tente une version courte (7 min) pour les journées chargées. La régularité prime sur la durée.</w:t>
      </w:r>
    </w:p>
    <w:p>
      <w:pPr>
        <w:spacing w:after="80" w:before="200"/>
      </w:pPr>
      <w:r>
        <w:rPr>
          <w:rFonts w:ascii="Times New Roman" w:cs="Times New Roman" w:eastAsia="Times New Roman" w:hAnsi="Times New Roman"/>
          <w:b/>
          <w:bCs/>
          <w:color w:val="1F2937"/>
          <w:sz w:val="26"/>
          <w:szCs w:val="26"/>
        </w:rPr>
        <w:t xml:space="preserve">Exercice 3 — Planifier ta pratique sur les 3 prochains mois (30 min)</w:t>
      </w:r>
    </w:p>
    <w:p>
      <w:pPr>
        <w:spacing w:after="120"/>
      </w:pPr>
      <w:r>
        <w:rPr>
          <w:rFonts w:ascii="Times New Roman" w:cs="Times New Roman" w:eastAsia="Times New Roman" w:hAnsi="Times New Roman"/>
          <w:b w:val="false"/>
          <w:bCs w:val="false"/>
          <w:i w:val="false"/>
          <w:iCs w:val="false"/>
          <w:color w:val="1F2937"/>
          <w:sz w:val="22"/>
          <w:szCs w:val="22"/>
        </w:rPr>
        <w:t xml:space="preserve">La régularité est plus prédictive des effets que l’intensité. Un agenda concret vaut mieux qu’une intention vague.</w:t>
      </w:r>
    </w:p>
    <w:p>
      <w:pPr>
        <w:shd w:fill="F3F4F6" w:color="F3F4F6" w:val="solid"/>
        <w:spacing w:after="60"/>
        <w:ind w:left="360" w:right="360"/>
      </w:pPr>
      <w:r>
        <w:rPr>
          <w:rFonts w:ascii="Times New Roman" w:cs="Times New Roman" w:eastAsia="Times New Roman" w:hAnsi="Times New Roman"/>
          <w:color w:val="1F2937"/>
          <w:sz w:val="22"/>
          <w:szCs w:val="22"/>
        </w:rPr>
        <w:t xml:space="preserve">Décide maintenant :</w:t>
      </w:r>
    </w:p>
    <w:p>
      <w:pPr>
        <w:shd w:fill="F3F4F6" w:color="F3F4F6" w:val="solid"/>
        <w:spacing w:after="60"/>
        <w:ind w:left="360" w:right="360"/>
      </w:pPr>
      <w:r>
        <w:rPr>
          <w:rFonts w:ascii="Times New Roman" w:cs="Times New Roman" w:eastAsia="Times New Roman" w:hAnsi="Times New Roman"/>
          <w:color w:val="1F2937"/>
          <w:sz w:val="22"/>
          <w:szCs w:val="22"/>
        </w:rPr>
        <w:t xml:space="preserve">→ Fréquence : ___ séances / semaine  (recommandation : 3 à 5, 15 min chacune)</w:t>
      </w:r>
    </w:p>
    <w:p>
      <w:pPr>
        <w:shd w:fill="F3F4F6" w:color="F3F4F6" w:val="solid"/>
        <w:spacing w:after="60"/>
        <w:ind w:left="360" w:right="360"/>
      </w:pPr>
      <w:r>
        <w:rPr>
          <w:rFonts w:ascii="Times New Roman" w:cs="Times New Roman" w:eastAsia="Times New Roman" w:hAnsi="Times New Roman"/>
          <w:color w:val="1F2937"/>
          <w:sz w:val="22"/>
          <w:szCs w:val="22"/>
        </w:rPr>
        <w:t xml:space="preserve">→ Créneau fixe : _______________________</w:t>
      </w:r>
    </w:p>
    <w:p>
      <w:pPr>
        <w:shd w:fill="F3F4F6" w:color="F3F4F6" w:val="solid"/>
        <w:spacing w:after="60"/>
        <w:ind w:left="360" w:right="360"/>
      </w:pPr>
      <w:r>
        <w:rPr>
          <w:rFonts w:ascii="Times New Roman" w:cs="Times New Roman" w:eastAsia="Times New Roman" w:hAnsi="Times New Roman"/>
          <w:color w:val="1F2937"/>
          <w:sz w:val="22"/>
          <w:szCs w:val="22"/>
        </w:rPr>
        <w:t xml:space="preserve">→ Thème prioritaire pour les 4 premières semaines : _______________________</w:t>
      </w:r>
    </w:p>
    <w:p>
      <w:pPr>
        <w:shd w:fill="F3F4F6" w:color="F3F4F6" w:val="solid"/>
        <w:spacing w:after="60"/>
        <w:ind w:left="360" w:right="360"/>
      </w:pPr>
      <w:r>
        <w:rPr>
          <w:rFonts w:ascii="Times New Roman" w:cs="Times New Roman" w:eastAsia="Times New Roman" w:hAnsi="Times New Roman"/>
          <w:color w:val="1F2937"/>
          <w:sz w:val="22"/>
          <w:szCs w:val="22"/>
        </w:rPr>
        <w:t xml:space="preserve">   (gestion du stress / qualité du sommeil / concentration / autre)</w:t>
      </w:r>
    </w:p>
    <w:p>
      <w:pPr>
        <w:shd w:fill="F3F4F6" w:color="F3F4F6" w:val="solid"/>
        <w:spacing w:after="60"/>
        <w:ind w:left="360" w:right="360"/>
      </w:pPr>
      <w:r>
        <w:rPr>
          <w:rFonts w:ascii="Times New Roman" w:cs="Times New Roman" w:eastAsia="Times New Roman" w:hAnsi="Times New Roman"/>
          <w:color w:val="1F2937"/>
          <w:sz w:val="22"/>
          <w:szCs w:val="22"/>
        </w:rPr>
        <w:t xml:space="preserve"/>
      </w:r>
    </w:p>
    <w:p>
      <w:pPr>
        <w:shd w:fill="F3F4F6" w:color="F3F4F6" w:val="solid"/>
        <w:spacing w:after="60"/>
        <w:ind w:left="360" w:right="360"/>
      </w:pPr>
      <w:r>
        <w:rPr>
          <w:rFonts w:ascii="Times New Roman" w:cs="Times New Roman" w:eastAsia="Times New Roman" w:hAnsi="Times New Roman"/>
          <w:color w:val="1F2937"/>
          <w:sz w:val="22"/>
          <w:szCs w:val="22"/>
        </w:rPr>
        <w:t xml:space="preserve">Pour tenir dans la durée — trois règles simples :</w:t>
      </w:r>
    </w:p>
    <w:p>
      <w:pPr>
        <w:shd w:fill="F3F4F6" w:color="F3F4F6" w:val="solid"/>
        <w:spacing w:after="60"/>
        <w:ind w:left="360" w:right="360"/>
      </w:pPr>
      <w:r>
        <w:rPr>
          <w:rFonts w:ascii="Times New Roman" w:cs="Times New Roman" w:eastAsia="Times New Roman" w:hAnsi="Times New Roman"/>
          <w:color w:val="1F2937"/>
          <w:sz w:val="22"/>
          <w:szCs w:val="22"/>
        </w:rPr>
        <w:t xml:space="preserve">1. Commence toujours par la même induction : la répétition ancre le réflexe.</w:t>
      </w:r>
    </w:p>
    <w:p>
      <w:pPr>
        <w:shd w:fill="F3F4F6" w:color="F3F4F6" w:val="solid"/>
        <w:spacing w:after="60"/>
        <w:ind w:left="360" w:right="360"/>
      </w:pPr>
      <w:r>
        <w:rPr>
          <w:rFonts w:ascii="Times New Roman" w:cs="Times New Roman" w:eastAsia="Times New Roman" w:hAnsi="Times New Roman"/>
          <w:color w:val="1F2937"/>
          <w:sz w:val="22"/>
          <w:szCs w:val="22"/>
        </w:rPr>
        <w:t xml:space="preserve">2. Note toujours l’état avant et après : le journal rend le progrès visible.</w:t>
      </w:r>
    </w:p>
    <w:p>
      <w:pPr>
        <w:shd w:fill="F3F4F6" w:color="F3F4F6" w:val="solid"/>
        <w:spacing w:after="60"/>
        <w:ind w:left="360" w:right="360"/>
      </w:pPr>
      <w:r>
        <w:rPr>
          <w:rFonts w:ascii="Times New Roman" w:cs="Times New Roman" w:eastAsia="Times New Roman" w:hAnsi="Times New Roman"/>
          <w:color w:val="1F2937"/>
          <w:sz w:val="22"/>
          <w:szCs w:val="22"/>
        </w:rPr>
        <w:t xml:space="preserve">3. Si tu rates une semaine, tu reprends là où tu t’es arrêté sans culpabilité.</w:t>
      </w:r>
    </w:p>
    <w:p>
      <w:pPr>
        <w:spacing w:after="80"/>
      </w:pPr>
      <w:r>
        <w:t xml:space="preserve"/>
      </w:r>
    </w:p>
    <w:p>
      <w:pPr>
        <w:spacing w:after="120" w:before="280"/>
      </w:pPr>
      <w:r>
        <w:rPr>
          <w:rFonts w:ascii="Times New Roman" w:cs="Times New Roman" w:eastAsia="Times New Roman" w:hAnsi="Times New Roman"/>
          <w:b/>
          <w:bCs/>
          <w:color w:val="1B3A6B"/>
          <w:sz w:val="30"/>
          <w:szCs w:val="30"/>
        </w:rPr>
        <w:t xml:space="preserve">🎯 Challenge — Écrire ton script d’auto-hypnose personnel</w:t>
      </w:r>
    </w:p>
    <w:p>
      <w:pPr>
        <w:spacing w:after="120"/>
      </w:pPr>
      <w:r>
        <w:rPr>
          <w:rFonts w:ascii="Times New Roman" w:cs="Times New Roman" w:eastAsia="Times New Roman" w:hAnsi="Times New Roman"/>
          <w:b w:val="false"/>
          <w:bCs w:val="false"/>
          <w:i w:val="false"/>
          <w:iCs w:val="false"/>
          <w:color w:val="1F2937"/>
          <w:sz w:val="22"/>
          <w:szCs w:val="22"/>
        </w:rPr>
        <w:t xml:space="preserve">Exercice de synthèse. Rédige un script d’auto-hypnose de 5 à 7 minutes en continu, à la première personne, qui intègre :</w:t>
      </w:r>
    </w:p>
    <w:p>
      <w:pPr>
        <w:spacing w:after="80"/>
        <w:ind w:left="360"/>
      </w:pPr>
      <w:r>
        <w:rPr>
          <w:rFonts w:ascii="Times New Roman" w:cs="Times New Roman" w:eastAsia="Times New Roman" w:hAnsi="Times New Roman"/>
          <w:color w:val="1F2937"/>
          <w:sz w:val="22"/>
          <w:szCs w:val="22"/>
        </w:rPr>
        <w:t xml:space="preserve">• Ton induction préférée (identifiée exercice 1).</w:t>
      </w:r>
    </w:p>
    <w:p>
      <w:pPr>
        <w:spacing w:after="80"/>
        <w:ind w:left="360"/>
      </w:pPr>
      <w:r>
        <w:rPr>
          <w:rFonts w:ascii="Times New Roman" w:cs="Times New Roman" w:eastAsia="Times New Roman" w:hAnsi="Times New Roman"/>
          <w:color w:val="1F2937"/>
          <w:sz w:val="22"/>
          <w:szCs w:val="22"/>
        </w:rPr>
        <w:t xml:space="preserve">• Une image d’approfondissement propre à toi (pas celle du cours — la tienne).</w:t>
      </w:r>
    </w:p>
    <w:p>
      <w:pPr>
        <w:spacing w:after="80"/>
        <w:ind w:left="360"/>
      </w:pPr>
      <w:r>
        <w:rPr>
          <w:rFonts w:ascii="Times New Roman" w:cs="Times New Roman" w:eastAsia="Times New Roman" w:hAnsi="Times New Roman"/>
          <w:color w:val="1F2937"/>
          <w:sz w:val="22"/>
          <w:szCs w:val="22"/>
        </w:rPr>
        <w:t xml:space="preserve">• Une zone de travail avec une métaphore ou une suggestion centrée sur un objectif personnel concret.</w:t>
      </w:r>
    </w:p>
    <w:p>
      <w:pPr>
        <w:spacing w:after="80"/>
        <w:ind w:left="360"/>
      </w:pPr>
      <w:r>
        <w:rPr>
          <w:rFonts w:ascii="Times New Roman" w:cs="Times New Roman" w:eastAsia="Times New Roman" w:hAnsi="Times New Roman"/>
          <w:color w:val="1F2937"/>
          <w:sz w:val="22"/>
          <w:szCs w:val="22"/>
        </w:rPr>
        <w:t xml:space="preserve">• Un ancre geste (leçon 9) que tu activeras ensuite hors transe.</w:t>
      </w:r>
    </w:p>
    <w:p>
      <w:pPr>
        <w:spacing w:after="80"/>
        <w:ind w:left="360"/>
      </w:pPr>
      <w:r>
        <w:rPr>
          <w:rFonts w:ascii="Times New Roman" w:cs="Times New Roman" w:eastAsia="Times New Roman" w:hAnsi="Times New Roman"/>
          <w:color w:val="1F2937"/>
          <w:sz w:val="22"/>
          <w:szCs w:val="22"/>
        </w:rPr>
        <w:t xml:space="preserve">• Une sortie douce avec une formule de « revenir » mémorisable.</w:t>
      </w:r>
    </w:p>
    <w:p>
      <w:pPr>
        <w:spacing w:after="8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Enregistre-le (voix, téléphone) ou lis-le lentement à voix haute. Tu auras ainsi ton premier outil d’auto-hypnose entièrement personnalisé. C’est l’objectif que ce parcours visait depuis la leçon 1.</w:t>
      </w:r>
    </w:p>
    <w:p>
      <w:pPr>
        <w:spacing w:after="80"/>
      </w:pPr>
      <w:r>
        <w:t xml:space="preserve"/>
      </w:r>
    </w:p>
    <w:p>
      <w:pPr>
        <w:spacing w:after="120" w:before="280"/>
      </w:pPr>
      <w:r>
        <w:rPr>
          <w:rFonts w:ascii="Times New Roman" w:cs="Times New Roman" w:eastAsia="Times New Roman" w:hAnsi="Times New Roman"/>
          <w:b/>
          <w:bCs/>
          <w:color w:val="1B3A6B"/>
          <w:sz w:val="30"/>
          <w:szCs w:val="30"/>
        </w:rPr>
        <w:t xml:space="preserve">🌉 Pont pro — Pour un chef de service en ESSMS</w:t>
      </w:r>
    </w:p>
    <w:p>
      <w:pPr>
        <w:spacing w:after="120"/>
      </w:pPr>
      <w:r>
        <w:rPr>
          <w:rFonts w:ascii="Times New Roman" w:cs="Times New Roman" w:eastAsia="Times New Roman" w:hAnsi="Times New Roman"/>
          <w:b w:val="false"/>
          <w:bCs w:val="false"/>
          <w:i w:val="false"/>
          <w:iCs w:val="false"/>
          <w:color w:val="1F2937"/>
          <w:sz w:val="22"/>
          <w:szCs w:val="22"/>
        </w:rPr>
        <w:t xml:space="preserve">La gestion du stress professionnel, la qualité de présence dans les réunions difficiles et la récupération entre deux situations complexes font partie des enjeux quotidiens d’un cadre de service. L’auto-hypnose offre ici un outil de régulation personnelle — avant une réunion, après une situation tendue, ou en fin de journée.</w:t>
      </w:r>
    </w:p>
    <w:p>
      <w:pPr>
        <w:spacing w:after="120"/>
      </w:pPr>
      <w:r>
        <w:rPr>
          <w:rFonts w:ascii="Times New Roman" w:cs="Times New Roman" w:eastAsia="Times New Roman" w:hAnsi="Times New Roman"/>
          <w:b w:val="false"/>
          <w:bCs w:val="false"/>
          <w:i/>
          <w:iCs/>
          <w:color w:val="1F2937"/>
          <w:sz w:val="22"/>
          <w:szCs w:val="22"/>
        </w:rPr>
        <w:t xml:space="preserve">Ce que ce parcours n’autorise pas : pratiquer l’hypnose auprès des personnes accompagnées ou animer des séances en équipe. L’accompagnement de personnes vulnérables par hypnose exige une formation qualifiante, un cadre clinique et une supervision. L’usage personnel reste l’unique périmètre de ce parcours.</w:t>
      </w:r>
    </w:p>
    <w:p>
      <w:pPr>
        <w:spacing w:after="80"/>
      </w:pPr>
      <w:r>
        <w:t xml:space="preserve"/>
      </w:r>
    </w:p>
    <w:p>
      <w:pPr>
        <w:spacing w:after="120" w:before="280"/>
      </w:pPr>
      <w:r>
        <w:rPr>
          <w:rFonts w:ascii="Times New Roman" w:cs="Times New Roman" w:eastAsia="Times New Roman" w:hAnsi="Times New Roman"/>
          <w:b/>
          <w:bCs/>
          <w:color w:val="1B3A6B"/>
          <w:sz w:val="30"/>
          <w:szCs w:val="30"/>
        </w:rPr>
        <w:t xml:space="preserve">📌 Ce que ce parcours n’a pas pu couvrir</w:t>
      </w:r>
    </w:p>
    <w:p>
      <w:pPr>
        <w:spacing w:after="120"/>
      </w:pPr>
      <w:r>
        <w:rPr>
          <w:rFonts w:ascii="Times New Roman" w:cs="Times New Roman" w:eastAsia="Times New Roman" w:hAnsi="Times New Roman"/>
          <w:b w:val="false"/>
          <w:bCs w:val="false"/>
          <w:i w:val="false"/>
          <w:iCs w:val="false"/>
          <w:color w:val="1F2937"/>
          <w:sz w:val="22"/>
          <w:szCs w:val="22"/>
        </w:rPr>
        <w:t xml:space="preserve">Vingt leçons ont des limites. Les sujets suivants mériteraient un développement spécifique :</w:t>
      </w:r>
    </w:p>
    <w:p>
      <w:pPr>
        <w:spacing w:after="80"/>
        <w:ind w:left="360"/>
      </w:pPr>
      <w:r>
        <w:rPr>
          <w:rFonts w:ascii="Times New Roman" w:cs="Times New Roman" w:eastAsia="Times New Roman" w:hAnsi="Times New Roman"/>
          <w:color w:val="1F2937"/>
          <w:sz w:val="22"/>
          <w:szCs w:val="22"/>
        </w:rPr>
        <w:t xml:space="preserve">• La formation clinique à l’hypnothérapie (EMDR, thérapies basées sur l’hypnose pour les traumatismes).</w:t>
      </w:r>
    </w:p>
    <w:p>
      <w:pPr>
        <w:spacing w:after="80"/>
        <w:ind w:left="360"/>
      </w:pPr>
      <w:r>
        <w:rPr>
          <w:rFonts w:ascii="Times New Roman" w:cs="Times New Roman" w:eastAsia="Times New Roman" w:hAnsi="Times New Roman"/>
          <w:color w:val="1F2937"/>
          <w:sz w:val="22"/>
          <w:szCs w:val="22"/>
        </w:rPr>
        <w:t xml:space="preserve">• L’hypnose de spectacle et ses dérives : brièvement évoqué en leçon 1, non développé.</w:t>
      </w:r>
    </w:p>
    <w:p>
      <w:pPr>
        <w:spacing w:after="80"/>
        <w:ind w:left="360"/>
      </w:pPr>
      <w:r>
        <w:rPr>
          <w:rFonts w:ascii="Times New Roman" w:cs="Times New Roman" w:eastAsia="Times New Roman" w:hAnsi="Times New Roman"/>
          <w:color w:val="1F2937"/>
          <w:sz w:val="22"/>
          <w:szCs w:val="22"/>
        </w:rPr>
        <w:t xml:space="preserve">• Les protocoles de groupe (hypnose de groupe, sophrologie, relaxation guidée collective).</w:t>
      </w:r>
    </w:p>
    <w:p>
      <w:pPr>
        <w:spacing w:after="80"/>
        <w:ind w:left="360"/>
      </w:pPr>
      <w:r>
        <w:rPr>
          <w:rFonts w:ascii="Times New Roman" w:cs="Times New Roman" w:eastAsia="Times New Roman" w:hAnsi="Times New Roman"/>
          <w:color w:val="1F2937"/>
          <w:sz w:val="22"/>
          <w:szCs w:val="22"/>
        </w:rPr>
        <w:t xml:space="preserve">• La littérature non anglophone : la recherche francophone en hypnose est vivante et sous-représentée ici.</w:t>
      </w:r>
    </w:p>
    <w:p>
      <w:pPr>
        <w:spacing w:after="80"/>
        <w:ind w:left="360"/>
      </w:pPr>
      <w:r>
        <w:rPr>
          <w:rFonts w:ascii="Times New Roman" w:cs="Times New Roman" w:eastAsia="Times New Roman" w:hAnsi="Times New Roman"/>
          <w:color w:val="1F2937"/>
          <w:sz w:val="22"/>
          <w:szCs w:val="22"/>
        </w:rPr>
        <w:t xml:space="preserve">• Les applications numériques d’auto-hypnose guidée : non évaluées dans ce parcours.</w:t>
      </w:r>
    </w:p>
    <w:p>
      <w:pPr>
        <w:spacing w:after="80"/>
      </w:pPr>
      <w:r>
        <w:t xml:space="preserve"/>
      </w:r>
    </w:p>
    <w:p>
      <w:pPr>
        <w:spacing w:after="120" w:before="280"/>
      </w:pPr>
      <w:r>
        <w:rPr>
          <w:rFonts w:ascii="Times New Roman" w:cs="Times New Roman" w:eastAsia="Times New Roman" w:hAnsi="Times New Roman"/>
          <w:b/>
          <w:bCs/>
          <w:color w:val="1B3A6B"/>
          <w:sz w:val="30"/>
          <w:szCs w:val="30"/>
        </w:rPr>
        <w:t xml:space="preserve">🗺️ Pistes d’approfondissement autonome</w:t>
      </w:r>
    </w:p>
    <w:p>
      <w:pPr>
        <w:spacing w:after="80"/>
        <w:ind w:left="360"/>
      </w:pPr>
      <w:r>
        <w:rPr>
          <w:rFonts w:ascii="Times New Roman" w:cs="Times New Roman" w:eastAsia="Times New Roman" w:hAnsi="Times New Roman"/>
          <w:color w:val="1F2937"/>
          <w:sz w:val="22"/>
          <w:szCs w:val="22"/>
        </w:rPr>
        <w:t xml:space="preserve">• Formation qualifiante en hypnose ericksonienne (Milton H. Erickson Foundation propose une liste de formateurs agréés) si tu envisages un usage clinique.</w:t>
      </w:r>
    </w:p>
    <w:p>
      <w:pPr>
        <w:spacing w:after="80"/>
        <w:ind w:left="360"/>
      </w:pPr>
      <w:r>
        <w:rPr>
          <w:rFonts w:ascii="Times New Roman" w:cs="Times New Roman" w:eastAsia="Times New Roman" w:hAnsi="Times New Roman"/>
          <w:color w:val="1F2937"/>
          <w:sz w:val="22"/>
          <w:szCs w:val="22"/>
        </w:rPr>
        <w:t xml:space="preserve">• Le rapport INSERM 2015 sur l’évaluation de l’efficacité de la pratique de l’hypnose : la synthèse de référence en français, 213 pages librement accessibles.</w:t>
      </w:r>
    </w:p>
    <w:p>
      <w:pPr>
        <w:spacing w:after="80"/>
        <w:ind w:left="360"/>
      </w:pPr>
      <w:r>
        <w:rPr>
          <w:rFonts w:ascii="Times New Roman" w:cs="Times New Roman" w:eastAsia="Times New Roman" w:hAnsi="Times New Roman"/>
          <w:color w:val="1F2937"/>
          <w:sz w:val="22"/>
          <w:szCs w:val="22"/>
        </w:rPr>
        <w:t xml:space="preserve">• The International Journal of Clinical and Experimental Hypnosis : la revue de référence du domaine depuis 1953.</w:t>
      </w:r>
    </w:p>
    <w:p>
      <w:pPr>
        <w:spacing w:after="80"/>
        <w:ind w:left="360"/>
      </w:pPr>
      <w:r>
        <w:rPr>
          <w:rFonts w:ascii="Times New Roman" w:cs="Times New Roman" w:eastAsia="Times New Roman" w:hAnsi="Times New Roman"/>
          <w:color w:val="1F2937"/>
          <w:sz w:val="22"/>
          <w:szCs w:val="22"/>
        </w:rPr>
        <w:t xml:space="preserve">• The Oxford Handbook of Hypnosis (Nash &amp; Barnier, 2008) : la référence encyclopédique académique.</w:t>
      </w:r>
    </w:p>
    <w:p>
      <w:pPr>
        <w:spacing w:after="80"/>
        <w:ind w:left="360"/>
      </w:pPr>
      <w:r>
        <w:rPr>
          <w:rFonts w:ascii="Times New Roman" w:cs="Times New Roman" w:eastAsia="Times New Roman" w:hAnsi="Times New Roman"/>
          <w:color w:val="1F2937"/>
          <w:sz w:val="22"/>
          <w:szCs w:val="22"/>
        </w:rPr>
        <w:t xml:space="preserve">• Cairn.info (psychologie) : pour la littérature francophone en accès ouvert.</w:t>
      </w:r>
    </w:p>
    <w:p>
      <w:pPr>
        <w:spacing w:after="80"/>
      </w:pPr>
      <w:r>
        <w:t xml:space="preserve"/>
      </w:r>
    </w:p>
    <w:p>
      <w:pPr>
        <w:spacing w:after="120" w:before="280"/>
      </w:pPr>
      <w:r>
        <w:rPr>
          <w:rFonts w:ascii="Times New Roman" w:cs="Times New Roman" w:eastAsia="Times New Roman" w:hAnsi="Times New Roman"/>
          <w:b/>
          <w:bCs/>
          <w:color w:val="1B3A6B"/>
          <w:sz w:val="30"/>
          <w:szCs w:val="30"/>
        </w:rPr>
        <w:t xml:space="preserve">📚 Ressources — Sources de ce bilan</w:t>
      </w:r>
    </w:p>
    <w:p>
      <w:pPr>
        <w:spacing w:after="120"/>
      </w:pPr>
      <w:r>
        <w:rPr>
          <w:rFonts w:ascii="Times New Roman" w:cs="Times New Roman" w:eastAsia="Times New Roman" w:hAnsi="Times New Roman"/>
          <w:b w:val="false"/>
          <w:bCs w:val="false"/>
          <w:i w:val="false"/>
          <w:iCs w:val="false"/>
          <w:color w:val="1F2937"/>
          <w:sz w:val="22"/>
          <w:szCs w:val="22"/>
        </w:rPr>
        <w:t xml:space="preserve">1. Kihlstrom, J.F. (2008). « The domain of hypnosis, revisited ». In Nash &amp; Barnier (Eds.), The Oxford Handbook of Hypnosis. Oxford University Press. (Corrélation élevée entre auto-hypnose et hétéro-hypnose ; cité par Wikipedia Self-hypnosis.)</w:t>
      </w:r>
    </w:p>
    <w:p>
      <w:pPr>
        <w:spacing w:after="100"/>
        <w:ind w:left="360"/>
      </w:pPr>
      <w:hyperlink w:history="1" r:id="rIdingxd4vrvfiwflzym1uud">
        <w:r>
          <w:rPr>
            <w:rFonts w:ascii="Times New Roman" w:cs="Times New Roman" w:eastAsia="Times New Roman" w:hAnsi="Times New Roman"/>
            <w:color w:val="1155CC"/>
            <w:sz w:val="22"/>
            <w:szCs w:val="22"/>
            <w:u w:val="single"/>
          </w:rPr>
          <w:t xml:space="preserve">   Wikipedia — Self-hypnosis</w:t>
        </w:r>
      </w:hyperlink>
    </w:p>
    <w:p>
      <w:pPr>
        <w:spacing w:after="120"/>
      </w:pPr>
      <w:r>
        <w:rPr>
          <w:rFonts w:ascii="Times New Roman" w:cs="Times New Roman" w:eastAsia="Times New Roman" w:hAnsi="Times New Roman"/>
          <w:b w:val="false"/>
          <w:bCs w:val="false"/>
          <w:i w:val="false"/>
          <w:iCs w:val="false"/>
          <w:color w:val="1F2937"/>
          <w:sz w:val="22"/>
          <w:szCs w:val="22"/>
        </w:rPr>
        <w:t xml:space="preserve">2. Mialon, M., Sturaro, E., Canceill, T., Marty, M., Fournier, G. &amp; Diemer, F. (2026). Autohypnose et santé mentale des étudiants en odontologie : étude prospective. Santé Publique, 38(2), 65-76. doi: 10.3917/spub.262.0065. (68 % des participants rapportent des bénéfices perçus ; importance de la régularité.)</w:t>
      </w:r>
    </w:p>
    <w:p>
      <w:pPr>
        <w:spacing w:after="100"/>
        <w:ind w:left="360"/>
      </w:pPr>
      <w:hyperlink w:history="1" r:id="rIdcc20ygmpztvphp6oi-tpc">
        <w:r>
          <w:rPr>
            <w:rFonts w:ascii="Times New Roman" w:cs="Times New Roman" w:eastAsia="Times New Roman" w:hAnsi="Times New Roman"/>
            <w:color w:val="1155CC"/>
            <w:sz w:val="22"/>
            <w:szCs w:val="22"/>
            <w:u w:val="single"/>
          </w:rPr>
          <w:t xml:space="preserve">   Mialon et al. (2026) — PubMed</w:t>
        </w:r>
      </w:hyperlink>
    </w:p>
    <w:p>
      <w:pPr>
        <w:spacing w:after="120"/>
      </w:pPr>
      <w:r>
        <w:rPr>
          <w:rFonts w:ascii="Times New Roman" w:cs="Times New Roman" w:eastAsia="Times New Roman" w:hAnsi="Times New Roman"/>
          <w:b w:val="false"/>
          <w:bCs w:val="false"/>
          <w:i w:val="false"/>
          <w:iCs w:val="false"/>
          <w:color w:val="1F2937"/>
          <w:sz w:val="22"/>
          <w:szCs w:val="22"/>
        </w:rPr>
        <w:t xml:space="preserve">3. INSERM (2015). Évaluation de l’efficacité de la pratique de l’hypnose. Rapport thématique, 213 p. (Synthèse des preuves, effets indésirables, contre-indications, sécurité.)</w:t>
      </w:r>
    </w:p>
    <w:p>
      <w:pPr>
        <w:spacing w:after="100"/>
        <w:ind w:left="360"/>
      </w:pPr>
      <w:hyperlink w:history="1" r:id="rIdxa77wndbgcbmultm4oznq">
        <w:r>
          <w:rPr>
            <w:rFonts w:ascii="Times New Roman" w:cs="Times New Roman" w:eastAsia="Times New Roman" w:hAnsi="Times New Roman"/>
            <w:color w:val="1155CC"/>
            <w:sz w:val="22"/>
            <w:szCs w:val="22"/>
            <w:u w:val="single"/>
          </w:rPr>
          <w:t xml:space="preserve">   Rapport INSERM 2015 — PDF</w:t>
        </w:r>
      </w:hyperlink>
    </w:p>
    <w:p>
      <w:pPr>
        <w:spacing w:after="120"/>
      </w:pPr>
      <w:r>
        <w:rPr>
          <w:rFonts w:ascii="Times New Roman" w:cs="Times New Roman" w:eastAsia="Times New Roman" w:hAnsi="Times New Roman"/>
          <w:b w:val="false"/>
          <w:bCs w:val="false"/>
          <w:i w:val="false"/>
          <w:iCs w:val="false"/>
          <w:color w:val="1F2937"/>
          <w:sz w:val="22"/>
          <w:szCs w:val="22"/>
        </w:rPr>
        <w:t xml:space="preserve">4. Fagan, A. (révisé 2025). Hypnosis. Psychology Today. (Définition, usages documentés, hypnotisabilité.)</w:t>
      </w:r>
    </w:p>
    <w:p>
      <w:pPr>
        <w:spacing w:after="100"/>
        <w:ind w:left="360"/>
      </w:pPr>
      <w:hyperlink w:history="1" r:id="rIdxploqtg1nl502slpswoci">
        <w:r>
          <w:rPr>
            <w:rFonts w:ascii="Times New Roman" w:cs="Times New Roman" w:eastAsia="Times New Roman" w:hAnsi="Times New Roman"/>
            <w:color w:val="1155CC"/>
            <w:sz w:val="22"/>
            <w:szCs w:val="22"/>
            <w:u w:val="single"/>
          </w:rPr>
          <w:t xml:space="preserve">   Psychology Today — Hypnosis</w:t>
        </w:r>
      </w:hyperlink>
    </w:p>
    <w:p>
      <w:pPr>
        <w:spacing w:after="120"/>
      </w:pPr>
      <w:r>
        <w:rPr>
          <w:rFonts w:ascii="Times New Roman" w:cs="Times New Roman" w:eastAsia="Times New Roman" w:hAnsi="Times New Roman"/>
          <w:b w:val="false"/>
          <w:bCs w:val="false"/>
          <w:i w:val="false"/>
          <w:iCs w:val="false"/>
          <w:color w:val="1F2937"/>
          <w:sz w:val="22"/>
          <w:szCs w:val="22"/>
        </w:rPr>
        <w:t xml:space="preserve">5. Milton H. Erickson Foundation. (Source sur l’approche ericksonienne et la liste des formateurs agréés.)</w:t>
      </w:r>
    </w:p>
    <w:p>
      <w:pPr>
        <w:spacing w:after="100"/>
        <w:ind w:left="360"/>
      </w:pPr>
      <w:hyperlink w:history="1" r:id="rIduc5xo2quiywy0boqr_sov">
        <w:r>
          <w:rPr>
            <w:rFonts w:ascii="Times New Roman" w:cs="Times New Roman" w:eastAsia="Times New Roman" w:hAnsi="Times New Roman"/>
            <w:color w:val="1155CC"/>
            <w:sz w:val="22"/>
            <w:szCs w:val="22"/>
            <w:u w:val="single"/>
          </w:rPr>
          <w:t xml:space="preserve">   Erickson Foundation</w:t>
        </w:r>
      </w:hyperlink>
    </w:p>
    <w:p>
      <w:pPr>
        <w:spacing w:after="80"/>
      </w:pPr>
      <w:r>
        <w:t xml:space="preserve"/>
      </w:r>
    </w:p>
    <w:p>
      <w:pPr>
        <w:spacing w:after="120" w:before="280"/>
      </w:pPr>
      <w:r>
        <w:rPr>
          <w:rFonts w:ascii="Times New Roman" w:cs="Times New Roman" w:eastAsia="Times New Roman" w:hAnsi="Times New Roman"/>
          <w:b/>
          <w:bCs/>
          <w:color w:val="1B3A6B"/>
          <w:sz w:val="30"/>
          <w:szCs w:val="30"/>
        </w:rPr>
        <w:t xml:space="preserve">🔚 Fin du parcours</w:t>
      </w:r>
    </w:p>
    <w:p>
      <w:pPr>
        <w:spacing w:after="120"/>
      </w:pPr>
      <w:r>
        <w:rPr>
          <w:rFonts w:ascii="Times New Roman" w:cs="Times New Roman" w:eastAsia="Times New Roman" w:hAnsi="Times New Roman"/>
          <w:b/>
          <w:bCs/>
          <w:i w:val="false"/>
          <w:iCs w:val="false"/>
          <w:color w:val="1F2937"/>
          <w:sz w:val="22"/>
          <w:szCs w:val="22"/>
        </w:rPr>
        <w:t xml:space="preserve">Il n’y a pas de leçon suivante. Ce parcours Hypnose &amp; auto-hypnose s’arrête ici, après 20 semaines et 20 leçons.</w:t>
      </w:r>
    </w:p>
    <w:p>
      <w:pPr>
        <w:spacing w:after="120"/>
      </w:pPr>
      <w:r>
        <w:rPr>
          <w:rFonts w:ascii="Times New Roman" w:cs="Times New Roman" w:eastAsia="Times New Roman" w:hAnsi="Times New Roman"/>
          <w:b w:val="false"/>
          <w:bCs w:val="false"/>
          <w:i w:val="false"/>
          <w:iCs w:val="false"/>
          <w:color w:val="1F2937"/>
          <w:sz w:val="22"/>
          <w:szCs w:val="22"/>
        </w:rPr>
        <w:t xml:space="preserve">Ce que tu emportes n’est pas une certification ni une habilitation professionnelle : c’est une pratique personnelle outillée, fondée sur des données scientifiques, et délimitée par un cadre éthique clair. L’auto-hypnose est un outil de développement personnel. Elle t’appartient maintenant — pratique-la.</w:t>
      </w:r>
    </w:p>
    <w:p>
      <w:pPr>
        <w:spacing w:after="80"/>
      </w:pPr>
      <w:r>
        <w:t xml:space="preserve"/>
      </w:r>
    </w:p>
    <w:p>
      <w:pPr>
        <w:spacing w:after="120"/>
      </w:pPr>
      <w:r>
        <w:rPr>
          <w:rFonts w:ascii="Times New Roman" w:cs="Times New Roman" w:eastAsia="Times New Roman" w:hAnsi="Times New Roman"/>
          <w:b w:val="false"/>
          <w:bCs w:val="false"/>
          <w:i/>
          <w:iCs/>
          <w:color w:val="1B3A6B"/>
          <w:sz w:val="22"/>
          <w:szCs w:val="22"/>
        </w:rPr>
        <w:t xml:space="preserve">Bonne pratique.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ngxd4vrvfiwflzym1uud" Type="http://schemas.openxmlformats.org/officeDocument/2006/relationships/hyperlink" Target="https://en.wikipedia.org/wiki/Self-hypnosis" TargetMode="External"/><Relationship Id="rIdcc20ygmpztvphp6oi-tpc" Type="http://schemas.openxmlformats.org/officeDocument/2006/relationships/hyperlink" Target="https://pubmed.ncbi.nlm.nih.gov/42168106/" TargetMode="External"/><Relationship Id="rIdxa77wndbgcbmultm4oznq" Type="http://schemas.openxmlformats.org/officeDocument/2006/relationships/hyperlink" Target="https://www.inserm.fr/wp-content/uploads/2017-11/inserm-rapportthematique-evaluationefficacitehypnose-2015.pdf" TargetMode="External"/><Relationship Id="rIdxploqtg1nl502slpswoci" Type="http://schemas.openxmlformats.org/officeDocument/2006/relationships/hyperlink" Target="https://www.psychologytoday.com/us/basics/hypnosis" TargetMode="External"/><Relationship Id="rIduc5xo2quiywy0boqr_sov" Type="http://schemas.openxmlformats.org/officeDocument/2006/relationships/hyperlink" Target="https://www.erickson-foundation.or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2026-10-27T08:11:29.504Z</dcterms:created>
  <dcterms:modified xsi:type="dcterms:W3CDTF">2026-10-27T08:11:29.902Z</dcterms:modified>
</cp:coreProperties>
</file>

<file path=docProps/custom.xml><?xml version="1.0" encoding="utf-8"?>
<Properties xmlns="http://schemas.openxmlformats.org/officeDocument/2006/custom-properties" xmlns:vt="http://schemas.openxmlformats.org/officeDocument/2006/docPropsVTypes"/>
</file>