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rFonts w:ascii="Calibri" w:cs="Calibri" w:eastAsia="Calibri" w:hAnsi="Calibri"/>
          <w:b/>
          <w:bCs/>
          <w:color w:val="1B3A6B"/>
          <w:sz w:val="40"/>
          <w:szCs w:val="40"/>
        </w:rPr>
        <w:t xml:space="preserve">Veille SERAFIN-PH</w:t>
      </w:r>
    </w:p>
    <w:p>
      <w:pPr>
        <w:spacing w:after="40" w:before="0"/>
        <w:jc w:val="center"/>
      </w:pPr>
      <w:r>
        <w:rPr>
          <w:rFonts w:ascii="Calibri" w:cs="Calibri" w:eastAsia="Calibri" w:hAnsi="Calibri"/>
          <w:color w:val="1F2937"/>
          <w:sz w:val="26"/>
          <w:szCs w:val="26"/>
        </w:rPr>
        <w:t xml:space="preserve">Synthèse hebdomadaire — 5 août 2026</w:t>
      </w:r>
    </w:p>
    <w:p>
      <w:pPr>
        <w:spacing w:after="240" w:before="0"/>
        <w:jc w:val="center"/>
      </w:pPr>
      <w:r>
        <w:rPr>
          <w:rFonts w:ascii="Calibri" w:cs="Calibri" w:eastAsia="Calibri" w:hAnsi="Calibri"/>
          <w:i/>
          <w:iCs/>
          <w:color w:val="6B7280"/>
          <w:sz w:val="22"/>
          <w:szCs w:val="22"/>
        </w:rPr>
        <w:t xml:space="preserve">Fenêtre couverte : 29 juillet 2026 – 5 août 2026</w:t>
      </w:r>
    </w:p>
    <w:p>
      <w:pPr>
        <w:pBdr>
          <w:bottom w:val="single" w:color="1B3A6B" w:sz="6"/>
        </w:pBdr>
        <w:spacing w:after="120" w:before="240"/>
      </w:pPr>
      <w:r>
        <w:rPr>
          <w:rFonts w:ascii="Calibri" w:cs="Calibri" w:eastAsia="Calibri" w:hAnsi="Calibri"/>
          <w:b/>
          <w:bCs/>
          <w:color w:val="1B3A6B"/>
          <w:sz w:val="28"/>
          <w:szCs w:val="28"/>
        </w:rPr>
        <w:t xml:space="preserve">📋 Statut des sources</w:t>
      </w:r>
    </w:p>
    <w:p>
      <w:pPr>
        <w:spacing w:after="60" w:before="6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5%"/>
            <w:shd w:fill="1B3A6B" w:color="1B3A6B" w:val="solid"/>
            <w:vAlign w:val="center"/>
          </w:tcPr>
          <w:p>
            <w:pPr>
              <w:jc w:val="center"/>
            </w:pPr>
            <w:r>
              <w:rPr>
                <w:rFonts w:ascii="Calibri" w:cs="Calibri" w:eastAsia="Calibri" w:hAnsi="Calibri"/>
                <w:b/>
                <w:bCs/>
                <w:color w:val="FFFFFF"/>
                <w:sz w:val="20"/>
                <w:szCs w:val="20"/>
              </w:rPr>
              <w:t xml:space="preserve">Source</w:t>
            </w:r>
          </w:p>
        </w:tc>
        <w:tc>
          <w:tcPr>
            <w:tcW w:type="pct" w:w="20%"/>
            <w:shd w:fill="1B3A6B" w:color="1B3A6B" w:val="solid"/>
            <w:vAlign w:val="center"/>
          </w:tcPr>
          <w:p>
            <w:pPr>
              <w:jc w:val="center"/>
            </w:pPr>
            <w:r>
              <w:rPr>
                <w:rFonts w:ascii="Calibri" w:cs="Calibri" w:eastAsia="Calibri" w:hAnsi="Calibri"/>
                <w:b/>
                <w:bCs/>
                <w:color w:val="FFFFFF"/>
                <w:sz w:val="20"/>
                <w:szCs w:val="20"/>
              </w:rPr>
              <w:t xml:space="preserve">Statut</w:t>
            </w:r>
          </w:p>
        </w:tc>
        <w:tc>
          <w:tcPr>
            <w:tcW w:type="pct" w:w="35%"/>
            <w:shd w:fill="1B3A6B" w:color="1B3A6B" w:val="solid"/>
            <w:vAlign w:val="center"/>
          </w:tcPr>
          <w:p>
            <w:pPr>
              <w:jc w:val="center"/>
            </w:pPr>
            <w:r>
              <w:rPr>
                <w:rFonts w:ascii="Calibri" w:cs="Calibri" w:eastAsia="Calibri" w:hAnsi="Calibri"/>
                <w:b/>
                <w:bCs/>
                <w:color w:val="FFFFFF"/>
                <w:sz w:val="20"/>
                <w:szCs w:val="20"/>
              </w:rPr>
              <w:t xml:space="preserve">Remarque</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handicap.gouv.fr — Comité stratégique SERAFIN-PH</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Consultée</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Publiée le 03/07/2025 — hors fenêtre</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CNSA — Recueil PH 2026 (actualité déc. 2025)</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Consultée</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Publiée le 17/12/2025 — hors fenêtre</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handicap.gouv.fr — 14e réunion du comité stratégique</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Consultée</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Publiée le 27/03/2026 — hors fenêtre</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CNSA — Page principale SERAFIN-PH</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Consultée</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Consultée le 05/08/2026 — éléments 2026 récupérés</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ATIH — Recueil national PH 2025</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Non lisible</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HTTP 200 en curl ; WebFetch bloqué (403 anti-robot)</w:t>
            </w:r>
          </w:p>
        </w:tc>
      </w:tr>
    </w:tbl>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En bref — Tableau de bord</w:t>
      </w:r>
    </w:p>
    <w:p>
      <w:pPr>
        <w:spacing w:after="60" w:before="6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5%"/>
            <w:shd w:fill="1B3A6B" w:color="1B3A6B" w:val="solid"/>
            <w:vAlign w:val="center"/>
          </w:tcPr>
          <w:p>
            <w:pPr>
              <w:jc w:val="center"/>
            </w:pPr>
            <w:r>
              <w:rPr>
                <w:rFonts w:ascii="Calibri" w:cs="Calibri" w:eastAsia="Calibri" w:hAnsi="Calibri"/>
                <w:b/>
                <w:bCs/>
                <w:color w:val="FFFFFF"/>
                <w:sz w:val="20"/>
                <w:szCs w:val="20"/>
              </w:rPr>
              <w:t xml:space="preserve">Thème</w:t>
            </w:r>
          </w:p>
        </w:tc>
        <w:tc>
          <w:tcPr>
            <w:tcW w:type="pct" w:w="25%"/>
            <w:shd w:fill="1B3A6B" w:color="1B3A6B" w:val="solid"/>
            <w:vAlign w:val="center"/>
          </w:tcPr>
          <w:p>
            <w:pPr>
              <w:jc w:val="center"/>
            </w:pPr>
            <w:r>
              <w:rPr>
                <w:rFonts w:ascii="Calibri" w:cs="Calibri" w:eastAsia="Calibri" w:hAnsi="Calibri"/>
                <w:b/>
                <w:bCs/>
                <w:color w:val="FFFFFF"/>
                <w:sz w:val="20"/>
                <w:szCs w:val="20"/>
              </w:rPr>
              <w:t xml:space="preserve">Statut</w:t>
            </w:r>
          </w:p>
        </w:tc>
        <w:tc>
          <w:tcPr>
            <w:tcW w:type="pct" w:w="30%"/>
            <w:shd w:fill="1B3A6B" w:color="1B3A6B" w:val="solid"/>
            <w:vAlign w:val="center"/>
          </w:tcPr>
          <w:p>
            <w:pPr>
              <w:jc w:val="center"/>
            </w:pPr>
            <w:r>
              <w:rPr>
                <w:rFonts w:ascii="Calibri" w:cs="Calibri" w:eastAsia="Calibri" w:hAnsi="Calibri"/>
                <w:b/>
                <w:bCs/>
                <w:color w:val="FFFFFF"/>
                <w:sz w:val="20"/>
                <w:szCs w:val="20"/>
              </w:rPr>
              <w:t xml:space="preserve">Échéance</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Actualités semaine 29/07–05/08/2026</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Semaine creuse</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Déploiement SERAFIN-PH</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Confirmé</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1er janvier 2027</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Recueil de données PH 2026</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Clôturé (88 % ESMS)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Clôturé début juillet 2026</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Décret modalités de données</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Publié</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13 mai 2026 (Legifrance)</w:t>
            </w:r>
          </w:p>
        </w:tc>
      </w:tr>
      <w:tr>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Simulations financières par ESMS</w:t>
            </w:r>
          </w:p>
        </w:tc>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En cours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2e semestre 2026</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Webinaires / formations ARS</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 Planifiés</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2e semestre 2026</w:t>
            </w:r>
          </w:p>
        </w:tc>
      </w:tr>
    </w:tbl>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Actualités de la semaine (29/07–05/08/2026)</w:t>
      </w:r>
    </w:p>
    <w:p>
      <w:pPr>
        <w:spacing w:after="80" w:before="80"/>
      </w:pPr>
      <w:r>
        <w:rPr>
          <w:rFonts w:ascii="Calibri" w:cs="Calibri" w:eastAsia="Calibri" w:hAnsi="Calibri"/>
          <w:b/>
          <w:bCs/>
          <w:color w:val="16A34A"/>
          <w:sz w:val="22"/>
          <w:szCs w:val="22"/>
        </w:rPr>
        <w:t xml:space="preserve">🟢 Semaine creuse — Aucune nouveauté publiée dans la fenêtre du 29 juillet au 5 août 2026.</w:t>
      </w:r>
    </w:p>
    <w:p>
      <w:pPr>
        <w:spacing w:after="60" w:before="60"/>
      </w:pPr>
      <w:r>
        <w:rPr>
          <w:rFonts w:ascii="Calibri" w:cs="Calibri" w:eastAsia="Calibri" w:hAnsi="Calibri"/>
          <w:color w:val="1F2937"/>
          <w:sz w:val="22"/>
          <w:szCs w:val="22"/>
        </w:rPr>
        <w:t xml:space="preserve">Les sources consultées (handicap.gouv.fr, cnsa.fr) n'affichent aucune publication nouvelle datée dans cette fenêtre. La dernière publication majeure récupérée est la 14e réunion du comité stratégique (27/03/2026). L'ATIH n'a pas pu être lue (⛔).</w:t>
      </w:r>
    </w:p>
    <w:p>
      <w:pPr>
        <w:spacing w:after="60" w:before="60"/>
      </w:pPr>
      <w:r>
        <w:rPr>
          <w:rFonts w:ascii="Calibri" w:cs="Calibri" w:eastAsia="Calibri" w:hAnsi="Calibri"/>
          <w:color w:val="1F2937"/>
          <w:sz w:val="22"/>
          <w:szCs w:val="22"/>
        </w:rPr>
        <w:t xml:space="preserve">Conformément à la règle de veille : une semaine honnêtement vide vaut mieux qu'une semaine faussement fournie.</w:t>
      </w:r>
    </w:p>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Rappel / Contexte — Éléments de fond (hors fenêtre, à retenir)</w:t>
      </w:r>
    </w:p>
    <w:p>
      <w:pPr>
        <w:spacing w:after="60" w:before="60"/>
      </w:pPr>
      <w:r>
        <w:rPr>
          <w:rFonts w:ascii="Calibri" w:cs="Calibri" w:eastAsia="Calibri" w:hAnsi="Calibri"/>
          <w:color w:val="1F2937"/>
          <w:sz w:val="22"/>
          <w:szCs w:val="22"/>
        </w:rPr>
        <w:t xml:space="preserve">Ces éléments sont issus des sources consultées mais datent d'avant le 29/07/2026. Ils ne constituent pas des « nouveautés de la semaine » mais restent structurants pour la direction.</w:t>
      </w:r>
    </w:p>
    <w:p>
      <w:pPr>
        <w:spacing w:after="60" w:before="60"/>
      </w:pPr>
      <w:r>
        <w:rPr>
          <w:rFonts w:ascii="Calibri" w:cs="Calibri" w:eastAsia="Calibri" w:hAnsi="Calibri"/>
          <w:sz w:val="22"/>
          <w:szCs w:val="22"/>
        </w:rPr>
        <w:t xml:space="preserve"/>
      </w:r>
    </w:p>
    <w:p>
      <w:pPr>
        <w:spacing w:after="80" w:before="200"/>
      </w:pPr>
      <w:r>
        <w:rPr>
          <w:rFonts w:ascii="Calibri" w:cs="Calibri" w:eastAsia="Calibri" w:hAnsi="Calibri"/>
          <w:b/>
          <w:bCs/>
          <w:color w:val="1B3A6B"/>
          <w:sz w:val="24"/>
          <w:szCs w:val="24"/>
        </w:rPr>
        <w:t xml:space="preserve">14e réunion du comité stratégique — 27 mars 2026</w:t>
      </w:r>
    </w:p>
    <w:p>
      <w:pPr>
        <w:pStyle w:val="ListParagraph"/>
        <w:numPr>
          <w:ilvl w:val="0"/>
          <w:numId w:val="1"/>
        </w:numPr>
        <w:spacing w:after="40" w:before="40"/>
      </w:pPr>
      <w:r>
        <w:rPr>
          <w:rFonts w:ascii="Calibri" w:cs="Calibri" w:eastAsia="Calibri" w:hAnsi="Calibri"/>
          <w:color w:val="1F2937"/>
          <w:sz w:val="22"/>
          <w:szCs w:val="22"/>
        </w:rPr>
        <w:t xml:space="preserve">Décision confirmée : déploiement opérationnel de la réforme tarifaire au 1er janvier 2027 pour les ESMS accompagnant des enfants handicapés.</w:t>
      </w:r>
    </w:p>
    <w:p>
      <w:pPr>
        <w:pStyle w:val="ListParagraph"/>
        <w:numPr>
          <w:ilvl w:val="0"/>
          <w:numId w:val="1"/>
        </w:numPr>
        <w:spacing w:after="40" w:before="40"/>
      </w:pPr>
      <w:r>
        <w:rPr>
          <w:rFonts w:ascii="Calibri" w:cs="Calibri" w:eastAsia="Calibri" w:hAnsi="Calibri"/>
          <w:color w:val="1F2937"/>
          <w:sz w:val="22"/>
          <w:szCs w:val="22"/>
        </w:rPr>
        <w:t xml:space="preserve">Ministre présidant : Camille Galliard-Minier.</w:t>
      </w:r>
    </w:p>
    <w:p>
      <w:pPr>
        <w:pStyle w:val="ListParagraph"/>
        <w:numPr>
          <w:ilvl w:val="0"/>
          <w:numId w:val="1"/>
        </w:numPr>
        <w:spacing w:after="40" w:before="40"/>
      </w:pPr>
      <w:r>
        <w:rPr>
          <w:rFonts w:ascii="Calibri" w:cs="Calibri" w:eastAsia="Calibri" w:hAnsi="Calibri"/>
          <w:color w:val="1F2937"/>
          <w:sz w:val="22"/>
          <w:szCs w:val="22"/>
        </w:rPr>
        <w:t xml:space="preserve">Priorités 2026 : finalisation des paramètres du modèle, envoi de simulations financières à chaque ESMS concerné, déploiement de webinaires et réunions régionales d'accompagnement.</w:t>
      </w:r>
    </w:p>
    <w:p>
      <w:pPr>
        <w:pStyle w:val="ListParagraph"/>
        <w:numPr>
          <w:ilvl w:val="0"/>
          <w:numId w:val="1"/>
        </w:numPr>
        <w:spacing w:after="40" w:before="40"/>
      </w:pPr>
      <w:r>
        <w:rPr>
          <w:rFonts w:ascii="Calibri" w:cs="Calibri" w:eastAsia="Calibri" w:hAnsi="Calibri"/>
          <w:color w:val="1F2937"/>
          <w:sz w:val="22"/>
          <w:szCs w:val="22"/>
        </w:rPr>
        <w:t xml:space="preserve">Source : handicap.gouv.fr (publiée 27/03/2026) — URL : https://handicap.gouv.fr/reforme-tarifaire-des-esms-serafin-ph-14e-reunion-du-comite-strategique</w:t>
      </w:r>
    </w:p>
    <w:p>
      <w:pPr>
        <w:spacing w:after="60" w:before="60"/>
      </w:pPr>
      <w:r>
        <w:rPr>
          <w:rFonts w:ascii="Calibri" w:cs="Calibri" w:eastAsia="Calibri" w:hAnsi="Calibri"/>
          <w:sz w:val="22"/>
          <w:szCs w:val="22"/>
        </w:rPr>
        <w:t xml:space="preserve"/>
      </w:r>
    </w:p>
    <w:p>
      <w:pPr>
        <w:spacing w:after="80" w:before="200"/>
      </w:pPr>
      <w:r>
        <w:rPr>
          <w:rFonts w:ascii="Calibri" w:cs="Calibri" w:eastAsia="Calibri" w:hAnsi="Calibri"/>
          <w:b/>
          <w:bCs/>
          <w:color w:val="1B3A6B"/>
          <w:sz w:val="24"/>
          <w:szCs w:val="24"/>
        </w:rPr>
        <w:t xml:space="preserve">Décret du 13 mai 2026 — Modalités de transmission des données</w:t>
      </w:r>
    </w:p>
    <w:p>
      <w:pPr>
        <w:pStyle w:val="ListParagraph"/>
        <w:numPr>
          <w:ilvl w:val="0"/>
          <w:numId w:val="1"/>
        </w:numPr>
        <w:spacing w:after="40" w:before="40"/>
      </w:pPr>
      <w:r>
        <w:rPr>
          <w:rFonts w:ascii="Calibri" w:cs="Calibri" w:eastAsia="Calibri" w:hAnsi="Calibri"/>
          <w:color w:val="1F2937"/>
          <w:sz w:val="22"/>
          <w:szCs w:val="22"/>
        </w:rPr>
        <w:t xml:space="preserve">Décret publié au Journal officiel le 13 mai 2026 (Legifrance, JORFTEXT000054103861).</w:t>
      </w:r>
    </w:p>
    <w:p>
      <w:pPr>
        <w:pStyle w:val="ListParagraph"/>
        <w:numPr>
          <w:ilvl w:val="0"/>
          <w:numId w:val="1"/>
        </w:numPr>
        <w:spacing w:after="40" w:before="40"/>
      </w:pPr>
      <w:r>
        <w:rPr>
          <w:rFonts w:ascii="Calibri" w:cs="Calibri" w:eastAsia="Calibri" w:hAnsi="Calibri"/>
          <w:color w:val="1F2937"/>
          <w:sz w:val="22"/>
          <w:szCs w:val="22"/>
        </w:rPr>
        <w:t xml:space="preserve">Précise les modalités de transmission des données nécessaires à la mise en œuvre de la réforme tarifaire.</w:t>
      </w:r>
    </w:p>
    <w:p>
      <w:pPr>
        <w:pStyle w:val="ListParagraph"/>
        <w:numPr>
          <w:ilvl w:val="0"/>
          <w:numId w:val="1"/>
        </w:numPr>
        <w:spacing w:after="40" w:before="40"/>
      </w:pPr>
      <w:r>
        <w:rPr>
          <w:rFonts w:ascii="Calibri" w:cs="Calibri" w:eastAsia="Calibri" w:hAnsi="Calibri"/>
          <w:color w:val="1F2937"/>
          <w:sz w:val="22"/>
          <w:szCs w:val="22"/>
        </w:rPr>
        <w:t xml:space="preserve">Source : CNSA — page principale SERAFIN-PH (consultée le 05/08/2026). Source primaire : Legifrance — URL non testée directement, réf. fournie par CNSA.</w:t>
      </w:r>
    </w:p>
    <w:p>
      <w:pPr>
        <w:spacing w:after="80" w:before="40"/>
      </w:pPr>
      <w:r>
        <w:rPr>
          <w:rFonts w:ascii="Calibri" w:cs="Calibri" w:eastAsia="Calibri" w:hAnsi="Calibri"/>
          <w:i/>
          <w:iCs/>
          <w:color w:val="D97706"/>
          <w:sz w:val="20"/>
          <w:szCs w:val="20"/>
        </w:rPr>
        <w:t xml:space="preserve">⚠️ Note : le décret est cité par la CNSA — source secondaire confirmant l'existence du texte ; le document legifrance.fr n'a pas été consulté directement pendant cette exécution.</w:t>
      </w:r>
    </w:p>
    <w:p>
      <w:pPr>
        <w:spacing w:after="80" w:before="200"/>
      </w:pPr>
      <w:r>
        <w:rPr>
          <w:rFonts w:ascii="Calibri" w:cs="Calibri" w:eastAsia="Calibri" w:hAnsi="Calibri"/>
          <w:b/>
          <w:bCs/>
          <w:color w:val="1B3A6B"/>
          <w:sz w:val="24"/>
          <w:szCs w:val="24"/>
        </w:rPr>
        <w:t xml:space="preserve">Recueil de données PH 2026 — Clôturé début juillet 2026</w:t>
      </w:r>
    </w:p>
    <w:p>
      <w:pPr>
        <w:pStyle w:val="ListParagraph"/>
        <w:numPr>
          <w:ilvl w:val="0"/>
          <w:numId w:val="1"/>
        </w:numPr>
        <w:spacing w:after="40" w:before="40"/>
      </w:pPr>
      <w:r>
        <w:rPr>
          <w:rFonts w:ascii="Calibri" w:cs="Calibri" w:eastAsia="Calibri" w:hAnsi="Calibri"/>
          <w:color w:val="1F2937"/>
          <w:sz w:val="22"/>
          <w:szCs w:val="22"/>
        </w:rPr>
        <w:t xml:space="preserve">Taux de participation : 88 % des ESMS répondants, représentant 90 % des solutions installées.</w:t>
      </w:r>
    </w:p>
    <w:p>
      <w:pPr>
        <w:pStyle w:val="ListParagraph"/>
        <w:numPr>
          <w:ilvl w:val="0"/>
          <w:numId w:val="1"/>
        </w:numPr>
        <w:spacing w:after="40" w:before="40"/>
      </w:pPr>
      <w:r>
        <w:rPr>
          <w:rFonts w:ascii="Calibri" w:cs="Calibri" w:eastAsia="Calibri" w:hAnsi="Calibri"/>
          <w:color w:val="1F2937"/>
          <w:sz w:val="22"/>
          <w:szCs w:val="22"/>
        </w:rPr>
        <w:t xml:space="preserve">Collecte réalisée via l'application SERAFIN-PH dans le système d'information SIDOBA (CNSA).</w:t>
      </w:r>
    </w:p>
    <w:p>
      <w:pPr>
        <w:pStyle w:val="ListParagraph"/>
        <w:numPr>
          <w:ilvl w:val="0"/>
          <w:numId w:val="1"/>
        </w:numPr>
        <w:spacing w:after="40" w:before="40"/>
      </w:pPr>
      <w:r>
        <w:rPr>
          <w:rFonts w:ascii="Calibri" w:cs="Calibri" w:eastAsia="Calibri" w:hAnsi="Calibri"/>
          <w:color w:val="1F2937"/>
          <w:sz w:val="22"/>
          <w:szCs w:val="22"/>
        </w:rPr>
        <w:t xml:space="preserve">Portée : environ 40 variables ciblées, sans détails sur accompagnements individuels ni modalités de transport quotidien.</w:t>
      </w:r>
    </w:p>
    <w:p>
      <w:pPr>
        <w:pStyle w:val="ListParagraph"/>
        <w:numPr>
          <w:ilvl w:val="0"/>
          <w:numId w:val="1"/>
        </w:numPr>
        <w:spacing w:after="40" w:before="40"/>
      </w:pPr>
      <w:r>
        <w:rPr>
          <w:rFonts w:ascii="Calibri" w:cs="Calibri" w:eastAsia="Calibri" w:hAnsi="Calibri"/>
          <w:color w:val="1F2937"/>
          <w:sz w:val="22"/>
          <w:szCs w:val="22"/>
        </w:rPr>
        <w:t xml:space="preserve">Source : CNSA — page principale SERAFIN-PH (consultée le 05/08/2026).</w:t>
      </w:r>
    </w:p>
    <w:p>
      <w:pPr>
        <w:spacing w:after="80" w:before="40"/>
      </w:pPr>
      <w:r>
        <w:rPr>
          <w:rFonts w:ascii="Calibri" w:cs="Calibri" w:eastAsia="Calibri" w:hAnsi="Calibri"/>
          <w:i/>
          <w:iCs/>
          <w:color w:val="D97706"/>
          <w:sz w:val="20"/>
          <w:szCs w:val="20"/>
        </w:rPr>
        <w:t xml:space="preserve">⚠️ La date exacte de clôture (« début juillet 2026 ») est mentionnée sur la page CNSA mais sans précision de jour. Elle est reprise telle quelle.</w:t>
      </w:r>
    </w:p>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Points de vigilance pour les directions d'ESSMS</w:t>
      </w:r>
    </w:p>
    <w:p>
      <w:pPr>
        <w:spacing w:after="60" w:before="6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shd w:fill="1B3A6B" w:color="1B3A6B" w:val="solid"/>
            <w:vAlign w:val="center"/>
          </w:tcPr>
          <w:p>
            <w:pPr>
              <w:jc w:val="center"/>
            </w:pPr>
            <w:r>
              <w:rPr>
                <w:rFonts w:ascii="Calibri" w:cs="Calibri" w:eastAsia="Calibri" w:hAnsi="Calibri"/>
                <w:b/>
                <w:bCs/>
                <w:color w:val="FFFFFF"/>
                <w:sz w:val="20"/>
                <w:szCs w:val="20"/>
              </w:rPr>
              <w:t xml:space="preserve">⚠️ Point de vigilance</w:t>
            </w:r>
          </w:p>
        </w:tc>
        <w:tc>
          <w:tcPr>
            <w:tcW w:type="pct" w:w="65%"/>
            <w:shd w:fill="1B3A6B" w:color="1B3A6B" w:val="solid"/>
            <w:vAlign w:val="center"/>
          </w:tcPr>
          <w:p>
            <w:pPr>
              <w:jc w:val="center"/>
            </w:pPr>
            <w:r>
              <w:rPr>
                <w:rFonts w:ascii="Calibri" w:cs="Calibri" w:eastAsia="Calibri" w:hAnsi="Calibri"/>
                <w:b/>
                <w:bCs/>
                <w:color w:val="FFFFFF"/>
                <w:sz w:val="20"/>
                <w:szCs w:val="20"/>
              </w:rPr>
              <w:t xml:space="preserve">Détail pratique</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Simulations financières à venir</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Chaque ESMS concerné (enfance) recevra une simulation de l'impact de la réforme sur son financement. Les directions doivent anticiper une analyse interne et préparer des échanges avec l'ARS.</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Convergence sur 8 ans dès 2027</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Le modèle se déploie en convergence progressive (8 ans). Prévoir un suivi annuel de l'impact budgétaire sur la période 2027–2034. Tout gel de dépenses ou investissement lourd sur cette période doit intégrer l'incertitude tarifaire.</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Recueil de données SIDOBA — qualité des données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Le recueil PH 2026 a mobilisé 88 % des ESMS enfance. Les 12 % non-répondants risquent une allocation par défaut. Vérifier que vos déclarations ont bien été transmises et validées dans l'application SIDOBA.</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Décret du 13 mai 2026 — conformité</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Le décret précise les modalités de transmission des données nécessaires à la mise en œuvre de la réforme. Les directions doivent s'assurer que leurs processus documentaires et de reporting sont conformes avant le 1er janvier 2027.</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Accompagnement ARS — webinaires et réunions régionales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Des webinaires et réunions régionales de soutien sont planifiés pour le 2e semestre 2026. Anticiper la participation des cadres concernés et intégrer ces dates dans le plan de formation/information.</w:t>
            </w:r>
          </w:p>
        </w:tc>
      </w:tr>
    </w:tbl>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Agenda — Prochains rendez-vous SERAFIN-PH</w:t>
      </w:r>
    </w:p>
    <w:p>
      <w:pPr>
        <w:spacing w:after="60" w:before="6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5%"/>
            <w:shd w:fill="1B3A6B" w:color="1B3A6B" w:val="solid"/>
            <w:vAlign w:val="center"/>
          </w:tcPr>
          <w:p>
            <w:pPr>
              <w:jc w:val="center"/>
            </w:pPr>
            <w:r>
              <w:rPr>
                <w:rFonts w:ascii="Calibri" w:cs="Calibri" w:eastAsia="Calibri" w:hAnsi="Calibri"/>
                <w:b/>
                <w:bCs/>
                <w:color w:val="FFFFFF"/>
                <w:sz w:val="20"/>
                <w:szCs w:val="20"/>
              </w:rPr>
              <w:t xml:space="preserve">Échéance</w:t>
            </w:r>
          </w:p>
        </w:tc>
        <w:tc>
          <w:tcPr>
            <w:tcW w:type="pct" w:w="75%"/>
            <w:shd w:fill="1B3A6B" w:color="1B3A6B" w:val="solid"/>
            <w:vAlign w:val="center"/>
          </w:tcPr>
          <w:p>
            <w:pPr>
              <w:jc w:val="center"/>
            </w:pPr>
            <w:r>
              <w:rPr>
                <w:rFonts w:ascii="Calibri" w:cs="Calibri" w:eastAsia="Calibri" w:hAnsi="Calibri"/>
                <w:b/>
                <w:bCs/>
                <w:color w:val="FFFFFF"/>
                <w:sz w:val="20"/>
                <w:szCs w:val="20"/>
              </w:rPr>
              <w:t xml:space="preserve">Action / Événement</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2e semestre 2026</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 ] Simulations financières individuelles par ESMS (CNSA / DGCS)</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2e semestre 2026</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 ] Webinaires d'accompagnement ARS — inscrire les cadres concernés</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31/12/2026</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 ] Date butoir pour finalisation des paramètres du modèle</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1er janvier 2027</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 ] Déploiement opérationnel SERAFIN-PH (ESMS enfance)</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2027–2034</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 ] Période de convergence progressive sur 8 ans</w:t>
            </w:r>
          </w:p>
        </w:tc>
      </w:tr>
    </w:tbl>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Rappel SERAFIN-PH — Rôle de chaque acteur</w:t>
      </w:r>
    </w:p>
    <w:p>
      <w:pPr>
        <w:spacing w:after="60" w:before="6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0%"/>
            <w:shd w:fill="1B3A6B" w:color="1B3A6B" w:val="solid"/>
            <w:vAlign w:val="center"/>
          </w:tcPr>
          <w:p>
            <w:pPr>
              <w:jc w:val="center"/>
            </w:pPr>
            <w:r>
              <w:rPr>
                <w:rFonts w:ascii="Calibri" w:cs="Calibri" w:eastAsia="Calibri" w:hAnsi="Calibri"/>
                <w:b/>
                <w:bCs/>
                <w:color w:val="FFFFFF"/>
                <w:sz w:val="20"/>
                <w:szCs w:val="20"/>
              </w:rPr>
              <w:t xml:space="preserve">Acteur</w:t>
            </w:r>
          </w:p>
        </w:tc>
        <w:tc>
          <w:tcPr>
            <w:tcW w:type="pct" w:w="80%"/>
            <w:shd w:fill="1B3A6B" w:color="1B3A6B" w:val="solid"/>
            <w:vAlign w:val="center"/>
          </w:tcPr>
          <w:p>
            <w:pPr>
              <w:jc w:val="center"/>
            </w:pPr>
            <w:r>
              <w:rPr>
                <w:rFonts w:ascii="Calibri" w:cs="Calibri" w:eastAsia="Calibri" w:hAnsi="Calibri"/>
                <w:b/>
                <w:bCs/>
                <w:color w:val="FFFFFF"/>
                <w:sz w:val="20"/>
                <w:szCs w:val="20"/>
              </w:rPr>
              <w:t xml:space="preserve">Rôle dans SERAFIN-PH</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DGCS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Direction générale de la cohésion sociale — pilote politique de la réforme, co-tutelle avec CNSA</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CNSA</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Caisse nationale de solidarité pour l'autonomie — maître d'œuvre technique, gère SIDOBA, co-pilote du recueil de données</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ATIH</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Agence technique de l'information sur l'hospitalisation — responsable du recueil national PH et de l'Étude nationale de coûts (ENC)</w:t>
            </w:r>
          </w:p>
        </w:tc>
      </w:tr>
      <w:tr>
        <w:tc>
          <w:tcPr>
            <w:shd w:fill="EEF2F7" w:color="EEF2F7" w:val="solid"/>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ARS</w:t>
            </w:r>
          </w:p>
        </w:tc>
        <w:tc>
          <w:tcPr>
            <w:shd w:fill="EEF2F7" w:color="EEF2F7" w:val="solid"/>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Agences régionales de santé — relais territorial, accompagnement des ESMS, transmission aux opérateurs</w:t>
            </w:r>
          </w:p>
        </w:tc>
      </w:tr>
      <w:tr>
        <w:tc>
          <w:tcPr>
            <w:tcMar>
              <w:top w:type="dxa" w:w="60"/>
              <w:left w:type="dxa" w:w="80"/>
              <w:bottom w:type="dxa" w:w="60"/>
              <w:right w:type="dxa" w:w="80"/>
            </w:tcMar>
            <w:vAlign w:val="center"/>
          </w:tcPr>
          <w:p>
            <w:pPr>
              <w:jc w:val="left"/>
            </w:pPr>
            <w:r>
              <w:rPr>
                <w:rFonts w:ascii="Calibri" w:cs="Calibri" w:eastAsia="Calibri" w:hAnsi="Calibri"/>
                <w:b/>
                <w:bCs/>
                <w:color w:val="1F2937"/>
                <w:sz w:val="20"/>
                <w:szCs w:val="20"/>
              </w:rPr>
              <w:t xml:space="preserve">ESMS</w:t>
            </w:r>
          </w:p>
        </w:tc>
        <w:tc>
          <w:tcPr>
            <w:tcMar>
              <w:top w:type="dxa" w:w="60"/>
              <w:left w:type="dxa" w:w="80"/>
              <w:bottom w:type="dxa" w:w="60"/>
              <w:right w:type="dxa" w:w="80"/>
            </w:tcMar>
            <w:vAlign w:val="center"/>
          </w:tcPr>
          <w:p>
            <w:pPr>
              <w:jc w:val="left"/>
            </w:pPr>
            <w:r>
              <w:rPr>
                <w:rFonts w:ascii="Calibri" w:cs="Calibri" w:eastAsia="Calibri" w:hAnsi="Calibri"/>
                <w:b w:val="false"/>
                <w:bCs w:val="false"/>
                <w:color w:val="1F2937"/>
                <w:sz w:val="20"/>
                <w:szCs w:val="20"/>
              </w:rPr>
              <w:t xml:space="preserve">Établissements et services médico-sociaux — acteurs du recueil de données, futurs bénéficiaires / impactés par la réforme tarifaire</w:t>
            </w:r>
          </w:p>
        </w:tc>
      </w:tr>
    </w:tbl>
    <w:p>
      <w:pPr>
        <w:spacing w:after="60" w:before="60"/>
      </w:pPr>
      <w:r>
        <w:rPr>
          <w:rFonts w:ascii="Calibri" w:cs="Calibri" w:eastAsia="Calibri" w:hAnsi="Calibri"/>
          <w:sz w:val="22"/>
          <w:szCs w:val="22"/>
        </w:rPr>
        <w:t xml:space="preserve"/>
      </w:r>
    </w:p>
    <w:p>
      <w:pPr>
        <w:pBdr>
          <w:bottom w:val="single" w:color="1B3A6B" w:sz="6"/>
        </w:pBdr>
        <w:spacing w:after="120" w:before="240"/>
      </w:pPr>
      <w:r>
        <w:rPr>
          <w:rFonts w:ascii="Calibri" w:cs="Calibri" w:eastAsia="Calibri" w:hAnsi="Calibri"/>
          <w:b/>
          <w:bCs/>
          <w:color w:val="1B3A6B"/>
          <w:sz w:val="28"/>
          <w:szCs w:val="28"/>
        </w:rPr>
        <w:t xml:space="preserve">🔎 Transparence — Affirmations non sourcées dans la fenêtre</w:t>
      </w:r>
    </w:p>
    <w:p>
      <w:pPr>
        <w:spacing w:after="60" w:before="60"/>
      </w:pPr>
      <w:r>
        <w:rPr>
          <w:rFonts w:ascii="Calibri" w:cs="Calibri" w:eastAsia="Calibri" w:hAnsi="Calibri"/>
          <w:color w:val="1F2937"/>
          <w:sz w:val="22"/>
          <w:szCs w:val="22"/>
        </w:rPr>
        <w:t xml:space="preserve">Aucun fait d'actualité daté dans la fenêtre 29/07–05/08/2026 n'a été identifié. Tous les éléments factuels figurant dans la section « Rappel / Contexte » proviennent de sources réellement consultées pendant cette exécution, avec leur date de publication explicite.</w:t>
      </w:r>
    </w:p>
    <w:p>
      <w:pPr>
        <w:spacing w:after="60" w:before="60"/>
      </w:pPr>
      <w:r>
        <w:rPr>
          <w:rFonts w:ascii="Calibri" w:cs="Calibri" w:eastAsia="Calibri" w:hAnsi="Calibri"/>
          <w:color w:val="1F2937"/>
          <w:sz w:val="22"/>
          <w:szCs w:val="22"/>
        </w:rPr>
        <w:t xml:space="preserve">Élément non confirmé sur source primaire : le décret du 13 mai 2026 est cité d'après la page CNSA (source secondaire). La référence Legifrance (JORFTEXT000054103861) est fournie mais le texte intégral n'a pas été ouvert directement pendant cette exécution.</w:t>
      </w:r>
    </w:p>
    <w:p>
      <w:pPr>
        <w:spacing w:after="60" w:before="60"/>
      </w:pPr>
      <w:r>
        <w:rPr>
          <w:rFonts w:ascii="Calibri" w:cs="Calibri" w:eastAsia="Calibri" w:hAnsi="Calibri"/>
          <w:sz w:val="22"/>
          <w:szCs w:val="22"/>
        </w:rPr>
        <w:t xml:space="preserve"/>
      </w:r>
    </w:p>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Produit le 05/08/2026 | Sources : handicap.gouv.fr ✅ | cnsa.fr ✅ | atih.sante.fr ⛔ (non lisible) | 0 nouveauté dans la fenêtre du 29/07 au 05/08/2026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pBdr>
      <w:jc w:val="left"/>
    </w:pPr>
    <w:r>
      <w:rPr>
        <w:rFonts w:ascii="Calibri" w:cs="Calibri" w:eastAsia="Calibri" w:hAnsi="Calibri"/>
        <w:b/>
        <w:bCs/>
        <w:color w:val="1B3A6B"/>
        <w:sz w:val="18"/>
        <w:szCs w:val="18"/>
      </w:rPr>
      <w:t xml:space="preserve">Veille SERAFIN-PH — </w:t>
    </w:r>
    <w:r>
      <w:rPr>
        <w:rFonts w:ascii="Calibri" w:cs="Calibri" w:eastAsia="Calibri" w:hAnsi="Calibri"/>
        <w:color w:val="1F2937"/>
        <w:sz w:val="18"/>
        <w:szCs w:val="18"/>
      </w:rPr>
      <w:t xml:space="preserve">Synthèse hebdomadaire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2026-08-05T06:07:43.329Z</dcterms:created>
  <dcterms:modified xsi:type="dcterms:W3CDTF">2026-08-05T06:07:43.331Z</dcterms:modified>
</cp:coreProperties>
</file>

<file path=docProps/custom.xml><?xml version="1.0" encoding="utf-8"?>
<Properties xmlns="http://schemas.openxmlformats.org/officeDocument/2006/custom-properties" xmlns:vt="http://schemas.openxmlformats.org/officeDocument/2006/docPropsVTypes"/>
</file>