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Veille AI Act — Compte-rendu hebdomadaire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Date : 14 juin 2026  |  Sources accessibles : 4/7 (corrigé le 12/09/2026 — voir le journal des corrections)</w:t>
      </w:r>
    </w:p>
    <w:p>
      <w:pPr>
        <w:spacing w:after="200" w:before="120"/>
        <w:jc w:val="center"/>
      </w:pPr>
      <w:r>
        <w:rPr>
          <w:rFonts w:ascii="Calibri" w:cs="Calibri" w:eastAsia="Calibri" w:hAnsi="Calibri"/>
          <w:b/>
          <w:bCs/>
          <w:color w:val="D97706"/>
          <w:sz w:val="26"/>
          <w:szCs w:val="26"/>
        </w:rPr>
        <w:t xml:space="preserve">Niveau d'alerte du jour : 🟡 À SURVEILLER</w:t>
      </w:r>
    </w:p>
    <w:p>
      <w:pPr>
        <w:spacing w:after="6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 — Faits marquants de la semaine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📄 Code de pratique sur le marquage des contenus IA générée publié le 10 juin par la Commission (obligation de transparence Art. 50 AI Act, échéance 2 déc. 2026).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📋 Consultation publique ouverte sur les lignes directrices IA à haut risque — clôture le 23 juin 2026 (FENÊTRE D'OPPORTUNITÉ POUR COMMENTAIRES).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🏛️ Accord provisoire Conseil/Parlement (7 mai) sur l'Omnibus VII : report du sandbox national à août 2027, transparence IA générative ramenée à 3 mois (2 déc. 2026).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☁️ Nouveau paquet Souveraineté technologique européenne (3 juin) : Cloud and AI Development Act (CADA), Chips Act 2.0, Open Source Strategy.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🔬 L'application de l'AI Act renforce son dispositif expert indépendant (1er juin) : surveillance et enforcement renforcés à l'échelle UE.</w:t>
      </w:r>
    </w:p>
    <w:p>
      <w:pPr>
        <w:spacing w:after="6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Échéances réglementaires à venir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23 juin 2026 — Clôture consultation lignes directrices systèmes IA à haut risque (répondre avant !)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2 août 2026 — Entrée en application des règles IA à haut risque (stand-alone) + obligations de transparence Art. 50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2 décembre 2026 — Délai marquage/labelling contenus IA générés (Art. 50, réduit à 3 mois par Omnibus VII)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2 août 2027 — Mise en place des sandboxes réglementaires nationaux (reporté par Omnibus VII)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2 décembre 2027 — Règles haut risque systèmes stand-alone (calendrier révisé post-Omnibus)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2 août 2028 — Règles haut risque systèmes intégrés dans des produits réglementés (dispositifs médicaux, etc.)</w:t>
      </w:r>
    </w:p>
    <w:p>
      <w:pPr>
        <w:spacing w:after="6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🏛️ Actualité officielle UE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■ Commission européenne (digital-strategy.ec.europa.eu)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[10 juin 2026] Code de pratique — marquage contenus IA générés : </w:t>
      </w:r>
      <w:hyperlink w:history="1" r:id="rIdtwhaoht_1ktzduhjylrbh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Code of Practice on marking and labelling AI-generated content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Guide volontaire pour les fournisseurs/déployeurs de systèmes IA générative sur les obligations de transparence. Inclut label standardisé EU distinguant « entièrement IA » de « assisté par IA ».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[1er juin 2026] Experts indépendants pour l'enforcement de l'AI Act : </w:t>
      </w:r>
      <w:hyperlink w:history="1" r:id="rIdgj6rls_mq03n4s6c6vi3p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AI Act enforcement gets independent expert support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Nouveau dispositif d'experts indépendants pour renforcer la surveillance réglementaire à l'échelle de l'UE.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[19 mai 2026] Consultation sur les guidelines IA à haut risque : </w:t>
      </w:r>
      <w:hyperlink w:history="1" r:id="rIdjo3ghqaycyfqffphknlvu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Commission seeks feedback on draft guidelines for high-risk AI classification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Clôture 23 juin. Trois phases de guidance + exemples concrets de classification. Déterminant pour les outils d'aide à la décision utilisés dans les ESSMS.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■ Conseil de l'UE (consilium.europa.eu)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[7 mai 2026] Accord Omnibus VII Conseil/Parlement : </w:t>
      </w:r>
      <w:hyperlink w:history="1" r:id="rIddzrr9hybk7xw6ebkyp-cm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Council and Parliament agree to simplify and streamline AI rules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Report sandbox national (août 2027), délai transparence IA générative réduit à 3 mois (2 déc. 2026), clarification compétences AI Office vs autorités nationales.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2"/>
          <w:szCs w:val="22"/>
        </w:rPr>
        <w:t xml:space="preserve">⛔ Conseil de l'UE — Page communiqués de presse : inaccessible (403). Données récupérées via WebSearch.</w:t>
      </w:r>
    </w:p>
    <w:p>
      <w:pPr>
        <w:spacing w:after="6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📰 Analyses &amp; Gouvernance (IAPP / Future of Life Institute)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[Juin 2026] Conférence AIGG Europe 2026 — Souveraineté IA : </w:t>
      </w:r>
      <w:hyperlink w:history="1" r:id="rIdehjwpvpz6luphitxkdd0p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EU AI sovereignty top of mind during AIGG EU's opening keynote session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Dublin. L'attention pivote de la conformité AI Act vers la souveraineté technologique européenne post-Omnibus.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[Juin 2026] Cloud and AI Development Act (CADA) — analyse IAPP : </w:t>
      </w:r>
      <w:hyperlink w:history="1" r:id="rIdchlvqq20xntwd-mymowum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Europe's Cloud and AI Development Act: Grand ambition, fragile foundations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Analyse critique du paquet CADA (3 juin) : ambitions élevées, mais risque de fragmentation réglementaire. Inclut Chips Act 2.0.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[Juin 2026] Délai compliance systèmes haut risque intégrés : </w:t>
      </w:r>
      <w:hyperlink w:history="1" r:id="rIdjxaryijhphsx-_zxdwbv1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EU AI Act reform talks stall as key compliance deadline looms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Suite à l'Omnibus VII : systèmes haut risque stand-alone → 2 déc. 2027 ; intégrés dans produits → 2 août 2028.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2"/>
          <w:szCs w:val="22"/>
        </w:rPr>
        <w:t xml:space="preserve">⛔ artificialintelligenceact.eu — Page d'accueil et timeline : contenu JavaScript dynamique non rendu (WebFetch retourne CSS/HTML brut). Données récupérées via WebSearch.</w:t>
      </w:r>
    </w:p>
    <w:p>
      <w:pPr>
        <w:spacing w:after="6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🇫🇷 Perspective française (CNIL / RGPD)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[27 mai 2026] Affiche IA générative et vie privée (PIPC/CNIL) : </w:t>
      </w:r>
      <w:hyperlink w:history="1" r:id="rIdmdntgbejl4lm9y4sjxcfg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IA générative et vie privée — Affiche coproduite PIPC/CNIL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Outil de sensibilisation aux risques vie privée. Utilisable en formation équipes médico-sociales.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[5 mai 2026] Enquête européenne : IA conversationnelle et santé mentale des jeunes : </w:t>
      </w:r>
      <w:hyperlink w:history="1" r:id="rId5aogqedg7xzeyos78_4pq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IA conversationnelle et santé mentale des jeunes — résultats enquête européenne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9 jeunes sur 10 utilisent une IA conversationnelle en France ; nombreux abordent des sujets sensibles. Alerte sur les publics vulnérables accompagnés en ESSMS.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[26 fév. 2026] Projet PANAME — Outil d'audit RGPD des modèles IA : </w:t>
      </w:r>
      <w:hyperlink w:history="1" r:id="rIdquow6yrzyjtemqcs9jp0i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Projet PANAME — participez aux tests d'un outil d'audit RGPD des modèles d'IA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Outil d'audit IA/RGPD collaboratif. Pertinent pour tout déploiement d'IA dans un ESSMS.</w:t>
      </w:r>
    </w:p>
    <w:p>
      <w:pPr>
        <w:spacing w:after="6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Impacts concrets pour les ESSMS — Points de vigilance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🔴 URGENCE 23 juin : si ton établissement ou association utilise un outil d'aide à la décision (gestion RH, évaluation besoins usagers, planification), vérifier s'il relève des systèmes IA à haut risque → participer à la consultation guidelines avant clôture.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📋 Code de pratique marquage IA (Art. 50) : tout contenu produit par IA à destination des usagers, familles ou partenaires doit être identifié comme tel d'ici le 2 décembre 2026 — anticiper dans les procédures qualité.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🔍 Audit RGPD des outils IA (DUI Imago, chatbots internes, outils d'aide à la rédaction) : vérifier la conformité RGPD en lien avec le projet PANAME (CNIL). Saisir la DPO de l'association.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👥 Publics vulnérables &amp; IA conversationnelle : l'enquête CNIL confirme les risques pour les personnes accompagnées en ESSMS utilisant des IA grand public — intégrer dans les procédures de bientraitance et le projet d'établissement.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🏛️ Systèmes haut risque intégrés (ex. dispositifs médicaux IA) : délai reporté à août 2028 — mais lancer dès maintenant l'inventaire des systèmes concernés pour éviter la précipitation.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📚 Formation équipes : affiche CNIL « IA générative et vie privée » utilisable en réunion d'équipe ou formation interne — sans coût.</w:t>
      </w:r>
    </w:p>
    <w:p>
      <w:pPr>
        <w:spacing w:after="6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 consultées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_1njfg-qp12utz7gtp5pv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Commission européenne — AI Act actualités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⛔ Service desk AI Act (</w:t>
      </w:r>
      <w:hyperlink w:history="1" r:id="rIdcorr0_527757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ai-act-service-desk.ec.europa.eu/timeline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) — inaccessible en headless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⛔ Conseil UE — Page communiqués (consilium.europa.eu/press-releases) — 403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(WebSearch) </w:t>
      </w:r>
      <w:hyperlink w:history="1" r:id="rIda2kqvbf8aiadqah1hgyi9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artificialintelligenceact.eu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— via WebSearch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⛔ </w:t>
      </w:r>
      <w:hyperlink w:history="1" r:id="rIdcorr1_201867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artificialintelligenceact.eu/implementation-timeline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contenu JS dynamique non rendu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859auvdz3jzoc-gpbs_nk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IAPP — AI governance news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✅ </w:t>
      </w:r>
      <w:hyperlink w:history="1" r:id="rIdute6bfeilelxcspzupv3v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CNIL — Intelligence artificielle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🔜 À surveiller — Semaine du 15 juin 2026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📅 23 juin : clôture consultation guidelines IA haut risque — dernière chance pour contributions.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📜 Adoption formelle Omnibus VII AI Act prévue avant le 2 août 2026 — guetter la publication au JOUE.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🏛️ Avancement CADA (Cloud and AI Development Act) en trilogue — suivi IAPP.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🇫🇷 CNIL : suite des travaux IA générative + santé mentale ; éventuelles recommandations secteur santé/social.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📝 Journal des corrections — 12 septembre 2026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Décompte des sources corrigé le 12/09/2026, au cours d'un contrôle des 85 veilles du dépôt (outils/scripts/controle_decompte.py). Le contenu de la note est inchangé ; seuls les nombres annoncés ont été alignés sur la liste des sources qu'elle contient. Formulation d'origine conservée ici.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Version initiale : « Sources accessibles : 5/7 ». La liste compte quatre ✅ (Commission, artificialintelligenceact.eu via WebSearch, IAPP, CNIL) et trois ⛔ (Service Desk, Conseil, timeline). Le même écart figure dans les éditions du 21/06 et du 28/06, corrigées le même jour.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📋 Toute nouvelle publication AI Office (guides pratiques, normes harmonisées) sur le site de la Commission.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Liens ajoutés le 12/09/2026 (contrôle des attributions) : les deux pages ⛔ de la liste — Service Desk timeline, artificialintelligenceact.eu/implementation-timeline — étaient nommées sans lien ; elles répondent 200 à un navigateur, le lecteur peut les ouvrir. Texte inchangé.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whaoht_1ktzduhjylrbh" Type="http://schemas.openxmlformats.org/officeDocument/2006/relationships/hyperlink" Target="https://digital-strategy.ec.europa.eu/en/news/commission-publishes-code-practice-marking-and-labelling-ai-generated-content" TargetMode="External"/><Relationship Id="rIdgj6rls_mq03n4s6c6vi3p" Type="http://schemas.openxmlformats.org/officeDocument/2006/relationships/hyperlink" Target="https://digital-strategy.ec.europa.eu/en/news/ai-act-enforcement-gets-independent-expert-support" TargetMode="External"/><Relationship Id="rIdjo3ghqaycyfqffphknlvu" Type="http://schemas.openxmlformats.org/officeDocument/2006/relationships/hyperlink" Target="https://digital-strategy.ec.europa.eu/en/news/commission-seeks-feedback-draft-guidelines-classification-high-risk-artificial-intelligence-systems" TargetMode="External"/><Relationship Id="rIddzrr9hybk7xw6ebkyp-cm" Type="http://schemas.openxmlformats.org/officeDocument/2006/relationships/hyperlink" Target="https://www.consilium.europa.eu/en/press/press-releases/2026/05/07/artificial-intelligence-council-and-parliament-agree-to-simplify-and-streamline-rules/" TargetMode="External"/><Relationship Id="rIdehjwpvpz6luphitxkdd0p" Type="http://schemas.openxmlformats.org/officeDocument/2006/relationships/hyperlink" Target="https://iapp.org/news/a/eu-ai-sovereignty-top-of-mind-during-aigg-eu-s-opening-keynote-session" TargetMode="External"/><Relationship Id="rIdchlvqq20xntwd-mymowum" Type="http://schemas.openxmlformats.org/officeDocument/2006/relationships/hyperlink" Target="https://iapp.org/news/a/europe-s-cloud-and-ai-development-act-grand-ambition-fragile-foundations" TargetMode="External"/><Relationship Id="rIdjxaryijhphsx-_zxdwbv1" Type="http://schemas.openxmlformats.org/officeDocument/2006/relationships/hyperlink" Target="https://iapp.org/news/a/eu-ai-act-reform-talks-stall-as-key-compliance-deadline-looms" TargetMode="External"/><Relationship Id="rIdmdntgbejl4lm9y4sjxcfg" Type="http://schemas.openxmlformats.org/officeDocument/2006/relationships/hyperlink" Target="https://www.cnil.fr/fr/ia-generative-et-vie-privee-affiche-coproduite-pipc-cnil" TargetMode="External"/><Relationship Id="rId5aogqedg7xzeyos78_4pq" Type="http://schemas.openxmlformats.org/officeDocument/2006/relationships/hyperlink" Target="https://www.cnil.fr/fr/ia-conversationnelle-et-sante-mentale-des-jeunes-resultats-de-lenquete-europeenne" TargetMode="External"/><Relationship Id="rIdquow6yrzyjtemqcs9jp0i" Type="http://schemas.openxmlformats.org/officeDocument/2006/relationships/hyperlink" Target="https://www.cnil.fr/fr/projet-paname-participez-aux-tests-dun-outil-daudit-rgpd-des-modeles-dia" TargetMode="External"/><Relationship Id="rId_1njfg-qp12utz7gtp5pv" Type="http://schemas.openxmlformats.org/officeDocument/2006/relationships/hyperlink" Target="https://digital-strategy.ec.europa.eu/en/policies/regulatory-framework-ai" TargetMode="External"/><Relationship Id="rIda2kqvbf8aiadqah1hgyi9" Type="http://schemas.openxmlformats.org/officeDocument/2006/relationships/hyperlink" Target="https://artificialintelligenceact.eu/" TargetMode="External"/><Relationship Id="rId859auvdz3jzoc-gpbs_nk" Type="http://schemas.openxmlformats.org/officeDocument/2006/relationships/hyperlink" Target="https://iapp.org/news/" TargetMode="External"/><Relationship Id="rIdute6bfeilelxcspzupv3v" Type="http://schemas.openxmlformats.org/officeDocument/2006/relationships/hyperlink" Target="https://www.cnil.fr/fr/intelligence-artificielle" TargetMode="External"/><Relationship Id="rId21" Type="http://schemas.openxmlformats.org/officeDocument/2006/relationships/fontTable" Target="fontTable.xml"/><Relationship Id="rIdcorr0_527757" Type="http://schemas.openxmlformats.org/officeDocument/2006/relationships/hyperlink" Target="https://ai-act-service-desk.ec.europa.eu/en/ai-act/timeline/timeline-implementation-eu-ai-act" TargetMode="External"/><Relationship Id="rIdcorr1_201867" Type="http://schemas.openxmlformats.org/officeDocument/2006/relationships/hyperlink" Target="https://artificialintelligenceact.eu/implementation-timeline/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Veille AI Act — 14 juin 2026</dc:title>
  <dc:creator>Claude Code — Veille AI Act</dc:creator>
  <dc:description>Compte-rendu hebdomadaire AI Act pour les ESSMS</dc:description>
  <cp:lastModifiedBy>Un-named</cp:lastModifiedBy>
  <cp:revision>1</cp:revision>
  <dcterms:created xsi:type="dcterms:W3CDTF">2026-06-14T05:06:26.740Z</dcterms:created>
  <dcterms:modified xsi:type="dcterms:W3CDTF">2026-06-14T05:06:26.758Z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