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Dzogchen n°11 — Rushen : séparer samsara et nirvana</w:t>
      </w:r>
    </w:p>
    <w:p>
      <w:pPr>
        <w:spacing w:after="80" w:before="100"/>
        <w:jc w:val="center"/>
      </w:pPr>
      <w:r>
        <w:rPr>
          <w:rFonts w:ascii="Times New Roman" w:cs="Times New Roman" w:eastAsia="Times New Roman" w:hAnsi="Times New Roman"/>
          <w:i/>
          <w:iCs/>
          <w:color w:val="6B7280"/>
          <w:sz w:val="22"/>
          <w:szCs w:val="22"/>
        </w:rPr>
        <w:t xml:space="preserve">14 août 2026  •  Leçon 11 / 20</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color w:val="1F2937"/>
          <w:sz w:val="22"/>
          <w:szCs w:val="22"/>
        </w:rPr>
        <w:t xml:space="preserve">À l'issue de cette leçon, tu sauras ce qu'est le Khordé Rushen, pourquoi il occupe une place singulière dans le chemin dzogchen, comment il opère à travers le corps, la parole et l'esprit, et tu auras pratiqué les trois formes (externe, interne, secrète) à travers des exercices concrets.</w:t>
      </w:r>
    </w:p>
    <w:p>
      <w:pPr>
        <w:spacing w:after="80" w:before="80"/>
      </w:pPr>
      <w:r>
        <w:rPr>
          <w:rFonts w:ascii="Times New Roman" w:cs="Times New Roman" w:eastAsia="Times New Roman" w:hAnsi="Times New Roman"/>
          <w:color w:val="1F2937"/>
          <w:sz w:val="22"/>
          <w:szCs w:val="22"/>
        </w:rPr>
        <w:t xml:space="preserve">Continuité : la leçon 10 a exploré le rôle du maître, de la lignée et du samaya — le filet de confiance et de connexion qui rend possible la transmission. Le Rushen est précisément la pratique qui prépare le terrain intérieur pour recevoir cette transmission : avant d'introduire à rigpa, le praticien doit dénouer les couches habituelles du mental ordinaire. Le Rushen est ce dénoument.</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Théorie (20 %) — Le Khordé Rushen : démêler la confusion</w:t>
      </w:r>
    </w:p>
    <w:p>
      <w:pPr>
        <w:pStyle w:val="Heading3"/>
        <w:spacing w:after="80" w:before="200"/>
      </w:pPr>
      <w:r>
        <w:rPr>
          <w:rFonts w:ascii="Times New Roman" w:cs="Times New Roman" w:eastAsia="Times New Roman" w:hAnsi="Times New Roman"/>
          <w:b/>
          <w:bCs/>
          <w:color w:val="1F2937"/>
          <w:sz w:val="26"/>
          <w:szCs w:val="26"/>
        </w:rPr>
        <w:t xml:space="preserve">1. Étymologie et sens</w:t>
      </w:r>
    </w:p>
    <w:p>
      <w:pPr>
        <w:spacing w:after="80" w:before="80"/>
      </w:pPr>
      <w:r>
        <w:rPr>
          <w:rFonts w:ascii="Times New Roman" w:cs="Times New Roman" w:eastAsia="Times New Roman" w:hAnsi="Times New Roman"/>
          <w:color w:val="1F2937"/>
          <w:sz w:val="22"/>
          <w:szCs w:val="22"/>
        </w:rPr>
        <w:t xml:space="preserve">Le terme tibétain complet est khor 'das ru shan (souvent translittéré Khordé Rushen)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khor :  </w:t>
      </w:r>
      <w:r>
        <w:rPr>
          <w:rFonts w:ascii="Times New Roman" w:cs="Times New Roman" w:eastAsia="Times New Roman" w:hAnsi="Times New Roman"/>
          <w:color w:val="1F2937"/>
          <w:sz w:val="22"/>
          <w:szCs w:val="22"/>
        </w:rPr>
        <w:t xml:space="preserve">khor ba = samsara (la roue de l'existence conditionnée)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'das :  </w:t>
      </w:r>
      <w:r>
        <w:rPr>
          <w:rFonts w:ascii="Times New Roman" w:cs="Times New Roman" w:eastAsia="Times New Roman" w:hAnsi="Times New Roman"/>
          <w:color w:val="1F2937"/>
          <w:sz w:val="22"/>
          <w:szCs w:val="22"/>
        </w:rPr>
        <w:t xml:space="preserve">'das pa = nirvana (ce qui a dépassé, est au-delà)</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ru shan :  </w:t>
      </w:r>
      <w:r>
        <w:rPr>
          <w:rFonts w:ascii="Times New Roman" w:cs="Times New Roman" w:eastAsia="Times New Roman" w:hAnsi="Times New Roman"/>
          <w:color w:val="1F2937"/>
          <w:sz w:val="22"/>
          <w:szCs w:val="22"/>
        </w:rPr>
        <w:t xml:space="preserve">ru shan = séparer, démêler, distinguer avec netteté</w:t>
      </w:r>
    </w:p>
    <w:p>
      <w:pPr>
        <w:spacing w:after="80" w:before="80"/>
      </w:pPr>
      <w:r>
        <w:rPr>
          <w:rFonts w:ascii="Times New Roman" w:cs="Times New Roman" w:eastAsia="Times New Roman" w:hAnsi="Times New Roman"/>
          <w:color w:val="1F2937"/>
          <w:sz w:val="22"/>
          <w:szCs w:val="22"/>
        </w:rPr>
        <w:t xml:space="preserve">Le nom dit le programme : il s'agit de tracer expérientiellement une ligne de démarcation entre le mental ordinaire (sems), tissé d'habitudes, de réactivité et d'ignorance, et la pure conscience-présence (rigpa), libre de tout conditionnement.</w:t>
      </w:r>
    </w:p>
    <w:p>
      <w:pPr>
        <w:spacing w:after="80" w:before="80"/>
      </w:pPr>
      <w:r>
        <w:rPr>
          <w:rFonts w:ascii="Times New Roman" w:cs="Times New Roman" w:eastAsia="Times New Roman" w:hAnsi="Times New Roman"/>
          <w:color w:val="1F2937"/>
          <w:sz w:val="22"/>
          <w:szCs w:val="22"/>
        </w:rPr>
        <w:t xml:space="preserve">Attention : cette séparation n'est pas dualiste. L'objectif n'est pas de rejeter samsara mais de voir à travers lui — de reconnaître que ce qui paraît être « dehors » (samsara) est en réalité la même base que ce qui paraît être « dedans » (nirvana). Le Rushen crée l'expérience directe de cette non-dualité, là où la théorie ne peut que la pointer.</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2. Place dans le chemin dzogchen</w:t>
      </w:r>
    </w:p>
    <w:p>
      <w:pPr>
        <w:spacing w:after="80" w:before="80"/>
      </w:pPr>
      <w:r>
        <w:rPr>
          <w:rFonts w:ascii="Times New Roman" w:cs="Times New Roman" w:eastAsia="Times New Roman" w:hAnsi="Times New Roman"/>
          <w:color w:val="1F2937"/>
          <w:sz w:val="22"/>
          <w:szCs w:val="22"/>
        </w:rPr>
        <w:t xml:space="preserve">Le Rushen appartient aux pratiques préliminaires spécifiques au Dzogchen (ngöndro dzogchen), distinctes du ngöndro général (prostrations, mandala, mantra de Vajrasattva). Il prépare directement à l'introduction à la nature de l'esprit, puis aux grandes pratiques de Trekchö (déjà étudiées en leçon 6) et Tögal (leçon 7).</w:t>
      </w:r>
    </w:p>
    <w:p>
      <w:pPr>
        <w:spacing w:after="80" w:before="80"/>
      </w:pPr>
      <w:r>
        <w:rPr>
          <w:rFonts w:ascii="Times New Roman" w:cs="Times New Roman" w:eastAsia="Times New Roman" w:hAnsi="Times New Roman"/>
          <w:color w:val="1F2937"/>
          <w:sz w:val="22"/>
          <w:szCs w:val="22"/>
        </w:rPr>
        <w:t xml:space="preserve">Dans la tradition Bön, les Rushans sont pratiqués lors de retraites intensives de 49 jours. Dans la tradition Nyingma, le texte de référence est le Yeshe Lama de Jigme Lingpa (Longchen Nyingthig), que nous étudierons plus en détail en leçon 16.</w:t>
      </w:r>
    </w:p>
    <w:p>
      <w:pPr>
        <w:shd w:color="F3F4F6" w:val="solid"/>
        <w:spacing w:after="100" w:before="100"/>
        <w:ind w:left="720"/>
      </w:pPr>
      <w:r>
        <w:rPr>
          <w:rFonts w:ascii="Times New Roman" w:cs="Times New Roman" w:eastAsia="Times New Roman" w:hAnsi="Times New Roman"/>
          <w:i/>
          <w:iCs/>
          <w:color w:val="1B3A6B"/>
          <w:sz w:val="22"/>
          <w:szCs w:val="22"/>
        </w:rPr>
        <w:t xml:space="preserve">« Les développements tardifs du Dzogchen ont conduit à l'intégration de diverses méthodes préliminaires et tantriques, telles que le semdzin (tenir l'esprit), le rushen (séparer samsara et nirvana) et la vipasyana (lhagthong)… »</w:t>
      </w:r>
      <w:r>
        <w:rPr>
          <w:rFonts w:ascii="Times New Roman" w:cs="Times New Roman" w:eastAsia="Times New Roman" w:hAnsi="Times New Roman"/>
          <w:i/>
          <w:iCs/>
          <w:color w:val="1B3A6B"/>
          <w:sz w:val="20"/>
          <w:szCs w:val="20"/>
        </w:rPr>
        <w:t xml:space="preserve"> — Wikipedia, article Dzogchen</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3. Les trois formes du Rushen</w:t>
      </w:r>
    </w:p>
    <w:p>
      <w:pPr>
        <w:spacing w:after="80" w:before="80"/>
      </w:pPr>
      <w:r>
        <w:rPr>
          <w:rFonts w:ascii="Times New Roman" w:cs="Times New Roman" w:eastAsia="Times New Roman" w:hAnsi="Times New Roman"/>
          <w:b/>
          <w:bCs/>
          <w:color w:val="1F2937"/>
          <w:sz w:val="22"/>
          <w:szCs w:val="22"/>
        </w:rPr>
        <w:t xml:space="preserve">Rushen externe (phyi'i ru shan)</w:t>
      </w:r>
    </w:p>
    <w:p>
      <w:pPr>
        <w:spacing w:after="80" w:before="80"/>
      </w:pPr>
      <w:r>
        <w:rPr>
          <w:rFonts w:ascii="Times New Roman" w:cs="Times New Roman" w:eastAsia="Times New Roman" w:hAnsi="Times New Roman"/>
          <w:color w:val="1F2937"/>
          <w:sz w:val="22"/>
          <w:szCs w:val="22"/>
        </w:rPr>
        <w:t xml:space="preserve">Le praticien mime délibérément et sans censure les comportements typiques des six royaumes d'existence (dieux, demi-dieux, humains, animaux, esprits affamés, enfers). Il n'y a pas de sélection, pas de retenue : agressivité, désir, peur, torpeur sont amplifiés jusqu'à leur épuisement. Paradoxe apparent : on entre dans samsara pour en sortir. But : épuiser les tendances habituelles profondes (bag chags) accumulées dans le mental ordinaire.</w:t>
      </w:r>
    </w:p>
    <w:p>
      <w:pPr>
        <w:spacing w:after="80" w:before="80"/>
      </w:pPr>
      <w:r>
        <w:rPr>
          <w:rFonts w:ascii="Times New Roman" w:cs="Times New Roman" w:eastAsia="Times New Roman" w:hAnsi="Times New Roman"/>
          <w:color w:val="1F2937"/>
          <w:sz w:val="22"/>
          <w:szCs w:val="22"/>
        </w:rPr>
        <w:t xml:space="preserve">Analogie proposée par Nyoshul Khenpo : retirer de l'eau coincée dans l'oreille en y versant encore de l'eau ; soigner une brûlure avec la chaleur du feu. Samsara se dissout par samsara lui-même — là réside l'originalité radicale de cette approche.</w:t>
      </w:r>
    </w:p>
    <w:p>
      <w:pPr>
        <w:spacing w:after="80" w:before="80"/>
      </w:pPr>
      <w:r>
        <w:rPr>
          <w:rFonts w:ascii="Times New Roman" w:cs="Times New Roman" w:eastAsia="Times New Roman" w:hAnsi="Times New Roman"/>
          <w:b/>
          <w:bCs/>
          <w:color w:val="1F2937"/>
          <w:sz w:val="22"/>
          <w:szCs w:val="22"/>
        </w:rPr>
        <w:t xml:space="preserve">Rushen interne (nang gi ru shan)</w:t>
      </w:r>
    </w:p>
    <w:p>
      <w:pPr>
        <w:spacing w:after="80" w:before="80"/>
      </w:pPr>
      <w:r>
        <w:rPr>
          <w:rFonts w:ascii="Times New Roman" w:cs="Times New Roman" w:eastAsia="Times New Roman" w:hAnsi="Times New Roman"/>
          <w:color w:val="1F2937"/>
          <w:sz w:val="22"/>
          <w:szCs w:val="22"/>
        </w:rPr>
        <w:t xml:space="preserve">Travail sur les canaux subtils (tsa), les énergies-vent (lung) et la syllabe HUM. Le corps subtil, siège des habitudes, est directement adressé par la visualisation, le souffle et la posture. Cette dimension interne prépare le sol physiologique de la contemplation.</w:t>
      </w:r>
    </w:p>
    <w:p>
      <w:pPr>
        <w:spacing w:after="80" w:before="80"/>
      </w:pPr>
      <w:r>
        <w:rPr>
          <w:rFonts w:ascii="Times New Roman" w:cs="Times New Roman" w:eastAsia="Times New Roman" w:hAnsi="Times New Roman"/>
          <w:b/>
          <w:bCs/>
          <w:color w:val="1F2937"/>
          <w:sz w:val="22"/>
          <w:szCs w:val="22"/>
        </w:rPr>
        <w:t xml:space="preserve">Rushen secret (gsang ba'i ru shan)</w:t>
      </w:r>
    </w:p>
    <w:p>
      <w:pPr>
        <w:spacing w:after="80" w:before="80"/>
      </w:pPr>
      <w:r>
        <w:rPr>
          <w:rFonts w:ascii="Times New Roman" w:cs="Times New Roman" w:eastAsia="Times New Roman" w:hAnsi="Times New Roman"/>
          <w:color w:val="1F2937"/>
          <w:sz w:val="22"/>
          <w:szCs w:val="22"/>
        </w:rPr>
        <w:t xml:space="preserve">Pratique avancée, transmise directement par le maître. Elle concerne la reconnaissance de rigpa au sein même des mouvements du mental — non plus par épuisement des tendances (externe) ou par travail sur l'énergie subtile (interne), mais par vision directe de la base.</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4. Ce qui distingue le Rushen des autres pratiques</w:t>
      </w:r>
    </w:p>
    <w:p>
      <w:pPr>
        <w:spacing w:after="80" w:before="80"/>
      </w:pPr>
      <w:r>
        <w:rPr>
          <w:rFonts w:ascii="Times New Roman" w:cs="Times New Roman" w:eastAsia="Times New Roman" w:hAnsi="Times New Roman"/>
          <w:color w:val="1F2937"/>
          <w:sz w:val="22"/>
          <w:szCs w:val="22"/>
        </w:rPr>
        <w:t xml:space="preserve">Selon Nyoshul Khenpo Jamyang Dorje (Principes du Khordé Rushen, Lotsawa House), trois différences fondamentales distinguent le Rushen de toute autre pratique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1. </w:t>
      </w:r>
      <w:r>
        <w:rPr>
          <w:rFonts w:ascii="Times New Roman" w:cs="Times New Roman" w:eastAsia="Times New Roman" w:hAnsi="Times New Roman"/>
          <w:color w:val="1F2937"/>
          <w:sz w:val="22"/>
          <w:szCs w:val="22"/>
        </w:rPr>
        <w:t xml:space="preserve">La cause : motivée non par l'accumulation de mérite ordinaire mais par l'accès à la sagesse du mantra.</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2. </w:t>
      </w:r>
      <w:r>
        <w:rPr>
          <w:rFonts w:ascii="Times New Roman" w:cs="Times New Roman" w:eastAsia="Times New Roman" w:hAnsi="Times New Roman"/>
          <w:color w:val="1F2937"/>
          <w:sz w:val="22"/>
          <w:szCs w:val="22"/>
        </w:rPr>
        <w:t xml:space="preserve">La voie : coupe directement l'attachement, l'aversion et l'ignorance — sans les contourner ni les sublimer.</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3. </w:t>
      </w:r>
      <w:r>
        <w:rPr>
          <w:rFonts w:ascii="Times New Roman" w:cs="Times New Roman" w:eastAsia="Times New Roman" w:hAnsi="Times New Roman"/>
          <w:color w:val="1F2937"/>
          <w:sz w:val="22"/>
          <w:szCs w:val="22"/>
        </w:rPr>
        <w:t xml:space="preserve">Le fruit : génère la sagesse-conscience (ye shes), rendant l'introduction à rigpa directement accessible.</w:t>
      </w:r>
    </w:p>
    <w:p>
      <w:pPr>
        <w:spacing w:after="80" w:before="80"/>
      </w:pPr>
      <w:r>
        <w:rPr>
          <w:rFonts w:ascii="Times New Roman" w:cs="Times New Roman" w:eastAsia="Times New Roman" w:hAnsi="Times New Roman"/>
          <w:color w:val="1F2937"/>
          <w:sz w:val="22"/>
          <w:szCs w:val="22"/>
        </w:rPr>
        <w:t xml:space="preserve">Longchenpa souligne que seul le Dzogchen peut réaliser « l'inséparabilité de la cause et de l'effet » — autrement dit, transformer le poison en remède sans passer par le chemin de l'évitement (comme dans les vœux de Vinaya) ni de la sublimation (comme dans le tantra classique).</w:t>
      </w:r>
    </w:p>
    <w:p>
      <w:pPr>
        <w:shd w:color="F3F4F6" w:val="solid"/>
        <w:spacing w:after="100" w:before="100"/>
        <w:ind w:left="720"/>
      </w:pPr>
      <w:r>
        <w:rPr>
          <w:rFonts w:ascii="Times New Roman" w:cs="Times New Roman" w:eastAsia="Times New Roman" w:hAnsi="Times New Roman"/>
          <w:i/>
          <w:iCs/>
          <w:color w:val="1B3A6B"/>
          <w:sz w:val="22"/>
          <w:szCs w:val="22"/>
        </w:rPr>
        <w:t xml:space="preserve">Nyoshul Khen Rinpoche pose que la nature de bouddha réside dans nos esprits — « which is empty and cognizant self-arising rigpa », les trois kayas y étant pleinement présents —, qu'elle y est obscurcie « like the sun obscured by clouds », et que la pratique consiste, en préliminaire, à séparer le mental ordinaire (sems) de la pure conscience (rig pa).</w:t>
      </w:r>
      <w:r>
        <w:rPr>
          <w:rFonts w:ascii="Times New Roman" w:cs="Times New Roman" w:eastAsia="Times New Roman" w:hAnsi="Times New Roman"/>
          <w:i/>
          <w:iCs/>
          <w:color w:val="1B3A6B"/>
          <w:sz w:val="20"/>
          <w:szCs w:val="20"/>
        </w:rPr>
        <w:t xml:space="preserve"> Principles of Khordé Rushen, page de lotsawahouse.org listée en ressources (texte anglais) ; la formulation française est une synthèse de trois passages de cette page par la leçon, non une citation continue.</w:t>
      </w:r>
      <w:r>
        <w:rPr>
          <w:rFonts w:ascii="Times New Roman" w:cs="Times New Roman" w:eastAsia="Times New Roman" w:hAnsi="Times New Roman"/>
          <w:i/>
          <w:iCs/>
          <w:color w:val="6B7280"/>
          <w:sz w:val="20"/>
          <w:szCs w:val="20"/>
        </w:rPr>
        <w:t xml:space="preserve">   [Corrigé le 12/10/2026 : la version du 14/08/2026 écrivait, entre guillemets et en français, « Chaque esprit contient la nature de bouddha — conscience vide et cognisante, contenant les trois corps de l'Éveil. Mais cette nature est obscurcie par les perceptions ordinaires. La pratique consiste à séparer le mental ordinaire (sems) de la pure conscience (rigpa). » — Nyoshul Khenpo Jamyang Dorje, Principles of Khordé Rushen, trad. Lotsawa House. Trois écarts : la page de Lotsawa House porte le texte ANGLAIS et aucune phrase française ; les guillemets réunissaient en une citation continue trois passages distincts de la page ; et « trad. Lotsawa House » désignait la traduction tibétain-anglais de Lotsawa House, pas la version française, qui est celle de la leçon. Le fond est exact : la page écrit « within our minds there resides the buddha nature, the actual dharmata, which is empty and cognizant self-arising rigpa, in which the three kayas are all fully present », « like the sun obscured by clouds », et « a clear distinction or separation between the ordinary mind (sems) and pure awareness (rig pa) ».]</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Pratique (80 %) — Trois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Cartographie des royaumes (compréhension active)</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Ancrer la structure des six royaumes et comprendre comment le Rushen externe les mobilise.</w:t>
      </w:r>
    </w:p>
    <w:p>
      <w:pPr>
        <w:spacing w:after="80" w:before="80"/>
      </w:pPr>
      <w:r>
        <w:rPr>
          <w:rFonts w:ascii="Times New Roman" w:cs="Times New Roman" w:eastAsia="Times New Roman" w:hAnsi="Times New Roman"/>
          <w:b/>
          <w:bCs/>
          <w:color w:val="1F2937"/>
          <w:sz w:val="22"/>
          <w:szCs w:val="22"/>
        </w:rPr>
        <w:t xml:space="preserve">Consigne (20–30 min) :</w:t>
      </w:r>
    </w:p>
    <w:p>
      <w:pPr>
        <w:spacing w:after="80" w:before="80"/>
      </w:pPr>
      <w:r>
        <w:rPr>
          <w:rFonts w:ascii="Times New Roman" w:cs="Times New Roman" w:eastAsia="Times New Roman" w:hAnsi="Times New Roman"/>
          <w:color w:val="1F2937"/>
          <w:sz w:val="22"/>
          <w:szCs w:val="22"/>
        </w:rPr>
        <w:t xml:space="preserve">Construis un tableau à deux colonnes. Dans la colonne gauche, liste les six royaumes (dieux / demi-dieux / humains / animaux / esprits affamés / enfers). Dans la colonne droite, note pour chaque royaume : (a) l'émotion ou l'état mental dominant, (b) une tendance habituelle (bag chag) concrète que tu reconnais dans ta propre vie quotidienne, (c) comment tu t'imaginerais mimer ce royaume dans le Rushen externe — quel geste, quelle posture, quel son ?</w:t>
      </w:r>
    </w:p>
    <w:p>
      <w:pPr>
        <w:spacing w:after="80" w:before="80"/>
      </w:pPr>
      <w:r>
        <w:rPr>
          <w:rFonts w:ascii="Times New Roman" w:cs="Times New Roman" w:eastAsia="Times New Roman" w:hAnsi="Times New Roman"/>
          <w:b/>
          <w:bCs/>
          <w:color w:val="1F2937"/>
          <w:sz w:val="22"/>
          <w:szCs w:val="22"/>
        </w:rPr>
        <w:t xml:space="preserve">Corrigé et points d'attention :</w:t>
      </w:r>
    </w:p>
    <w:p>
      <w:pPr>
        <w:spacing w:after="80" w:before="80"/>
      </w:pPr>
      <w:r>
        <w:rPr>
          <w:rFonts w:ascii="Times New Roman" w:cs="Times New Roman" w:eastAsia="Times New Roman" w:hAnsi="Times New Roman"/>
          <w:color w:val="1F2937"/>
          <w:sz w:val="22"/>
          <w:szCs w:val="22"/>
        </w:rPr>
        <w:t xml:space="preserve">Les six royaumes correspondent aux six émotions-racines du bouddhisme : orgueil (dieux), jalousie (demi-dieux), désir/attachement (humains), ignorance/torpeur (animaux), avidité (esprits affamés), agressivité/colère (enfers). Le Rushen externe amplifie ces états jusqu'à épuisement — non pour les cultiver mais pour les voir se déployer et se dissoudre par eux-mêmes, sans l'habitude de les censurer ou de les habiller de justifications.</w:t>
      </w:r>
    </w:p>
    <w:p>
      <w:pPr>
        <w:spacing w:after="80" w:before="80"/>
      </w:pPr>
      <w:r>
        <w:rPr>
          <w:rFonts w:ascii="Times New Roman" w:cs="Times New Roman" w:eastAsia="Times New Roman" w:hAnsi="Times New Roman"/>
          <w:color w:val="1F2937"/>
          <w:sz w:val="22"/>
          <w:szCs w:val="22"/>
        </w:rPr>
        <w:t xml:space="preserve">Point central à vérifier : le mimétisme du Rushen n'est ni jeu de rôle thérapeutique, ni catharsis emotionnelle au sens occidental. Il est pratiqué dans un cadre sacré, transmis par un maître, et vise la reconnaissance de la base — pas la libération de refoulements.</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Exercice 2 — Contemplation du fil de séparation (mémorisation/ancrage)</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Faire l'expérience du passage entre mental ordinaire et conscience-présence — le « fil » que le Rushen cherche à rendre visible.</w:t>
      </w:r>
    </w:p>
    <w:p>
      <w:pPr>
        <w:spacing w:after="80" w:before="80"/>
      </w:pPr>
      <w:r>
        <w:rPr>
          <w:rFonts w:ascii="Times New Roman" w:cs="Times New Roman" w:eastAsia="Times New Roman" w:hAnsi="Times New Roman"/>
          <w:b/>
          <w:bCs/>
          <w:color w:val="1F2937"/>
          <w:sz w:val="22"/>
          <w:szCs w:val="22"/>
        </w:rPr>
        <w:t xml:space="preserve">Consigne (15–20 min) :</w:t>
      </w:r>
    </w:p>
    <w:p>
      <w:pPr>
        <w:spacing w:after="80" w:before="80"/>
      </w:pPr>
      <w:r>
        <w:rPr>
          <w:rFonts w:ascii="Times New Roman" w:cs="Times New Roman" w:eastAsia="Times New Roman" w:hAnsi="Times New Roman"/>
          <w:color w:val="1F2937"/>
          <w:sz w:val="22"/>
          <w:szCs w:val="22"/>
        </w:rPr>
        <w:t xml:space="preserve">Assieds-toi confortablement. Pendant 5 minutes, laisse le mental ordinaire se déployer librement : pensées, plans, jugements, images, sans chercher à stopper ni à suivre. Observe que quelque chose observe. Puis, pendant 5 minutes, retourne doucement l'attention sur ce qui observe — non le contenu, mais la conscience de regarder. </w:t>
      </w:r>
    </w:p>
    <w:p>
      <w:pPr>
        <w:spacing w:after="80" w:before="80"/>
      </w:pPr>
      <w:r>
        <w:rPr>
          <w:rFonts w:ascii="Times New Roman" w:cs="Times New Roman" w:eastAsia="Times New Roman" w:hAnsi="Times New Roman"/>
          <w:color w:val="1F2937"/>
          <w:sz w:val="22"/>
          <w:szCs w:val="22"/>
        </w:rPr>
        <w:t xml:space="preserve">Répète trois fois ce cycle (5 min mental / 5 min conscience). À la fin, note dans un journal de pratique : (a) comment tu as senti le basculement, (b) en quoi ces deux « modes » se distinguaient dans l'expérience — pas en théorie, dans la texture.</w:t>
      </w:r>
    </w:p>
    <w:p>
      <w:pPr>
        <w:spacing w:after="80" w:before="80"/>
      </w:pPr>
      <w:r>
        <w:rPr>
          <w:rFonts w:ascii="Times New Roman" w:cs="Times New Roman" w:eastAsia="Times New Roman" w:hAnsi="Times New Roman"/>
          <w:b/>
          <w:bCs/>
          <w:color w:val="1F2937"/>
          <w:sz w:val="22"/>
          <w:szCs w:val="22"/>
        </w:rPr>
        <w:t xml:space="preserve">Corrigé et points d'attention :</w:t>
      </w:r>
    </w:p>
    <w:p>
      <w:pPr>
        <w:spacing w:after="80" w:before="80"/>
      </w:pPr>
      <w:r>
        <w:rPr>
          <w:rFonts w:ascii="Times New Roman" w:cs="Times New Roman" w:eastAsia="Times New Roman" w:hAnsi="Times New Roman"/>
          <w:color w:val="1F2937"/>
          <w:sz w:val="22"/>
          <w:szCs w:val="22"/>
        </w:rPr>
        <w:t xml:space="preserve">Ce que l'exercice vise à faire sentir : sems (mental ordinaire) est toujours orienté vers un objet, pris dans le mouvement de l'attraction/répulsion. Rigpa, lui, est non-orienté — il ne va nulle part, ne prend rien, ne refuse rien. Le basculement n'est pas un effort : c'est une détente, un retrait du geste de saisir. Le Rushen externe crée les conditions de ce basculement en épuisant les habitudes ; cet exercice en fait l'expérience directe en contexte plus calme.</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Exercice 3 — Méditation guidée : Rushen simplifié sur les trois portes</w:t>
      </w:r>
    </w:p>
    <w:p>
      <w:pPr>
        <w:spacing w:after="80" w:before="80"/>
      </w:pPr>
      <w:r>
        <w:rPr>
          <w:rFonts w:ascii="Times New Roman" w:cs="Times New Roman" w:eastAsia="Times New Roman" w:hAnsi="Times New Roman"/>
          <w:b/>
          <w:bCs/>
          <w:color w:val="1F2937"/>
          <w:sz w:val="22"/>
          <w:szCs w:val="22"/>
        </w:rPr>
        <w:t xml:space="preserve">Objectif :</w:t>
      </w:r>
    </w:p>
    <w:p>
      <w:pPr>
        <w:spacing w:after="80" w:before="80"/>
      </w:pPr>
      <w:r>
        <w:rPr>
          <w:rFonts w:ascii="Times New Roman" w:cs="Times New Roman" w:eastAsia="Times New Roman" w:hAnsi="Times New Roman"/>
          <w:color w:val="1F2937"/>
          <w:sz w:val="22"/>
          <w:szCs w:val="22"/>
        </w:rPr>
        <w:t xml:space="preserve">Expérimenter la structure corps/parole/esprit du Rushen interne, adaptée à une pratique autonome sans transmission formelle.</w:t>
      </w:r>
    </w:p>
    <w:p>
      <w:pPr>
        <w:spacing w:after="80" w:before="80"/>
      </w:pPr>
      <w:r>
        <w:rPr>
          <w:rFonts w:ascii="Times New Roman" w:cs="Times New Roman" w:eastAsia="Times New Roman" w:hAnsi="Times New Roman"/>
          <w:b/>
          <w:bCs/>
          <w:color w:val="1F2937"/>
          <w:sz w:val="22"/>
          <w:szCs w:val="22"/>
        </w:rPr>
        <w:t xml:space="preserve">Note préliminaire importante :</w:t>
      </w:r>
    </w:p>
    <w:p>
      <w:pPr>
        <w:spacing w:after="80" w:before="80"/>
      </w:pPr>
      <w:r>
        <w:rPr>
          <w:rFonts w:ascii="Times New Roman" w:cs="Times New Roman" w:eastAsia="Times New Roman" w:hAnsi="Times New Roman"/>
          <w:color w:val="1F2937"/>
          <w:sz w:val="22"/>
          <w:szCs w:val="22"/>
        </w:rPr>
        <w:t xml:space="preserve">Le Rushen complet et authentique requiert une transmission directe du maître. Ce qui suit est une approximation contemplative — une invitation à sentir la structure de la pratique, pas un substitut à une initiation.</w:t>
      </w:r>
    </w:p>
    <w:p>
      <w:pPr>
        <w:spacing w:after="80" w:before="80"/>
      </w:pPr>
      <w:r>
        <w:rPr>
          <w:rFonts w:ascii="Times New Roman" w:cs="Times New Roman" w:eastAsia="Times New Roman" w:hAnsi="Times New Roman"/>
          <w:b/>
          <w:bCs/>
          <w:color w:val="1F2937"/>
          <w:sz w:val="22"/>
          <w:szCs w:val="22"/>
        </w:rPr>
        <w:t xml:space="preserve">Consigne (25–30 min) :</w:t>
      </w:r>
    </w:p>
    <w:p>
      <w:pPr>
        <w:spacing w:after="80" w:before="80"/>
      </w:pPr>
      <w:r>
        <w:rPr>
          <w:rFonts w:ascii="Times New Roman" w:cs="Times New Roman" w:eastAsia="Times New Roman" w:hAnsi="Times New Roman"/>
          <w:color w:val="1F2937"/>
          <w:sz w:val="22"/>
          <w:szCs w:val="22"/>
        </w:rPr>
        <w:t xml:space="preserve">Première porte — Corps (10 min) :</w:t>
      </w:r>
    </w:p>
    <w:p>
      <w:pPr>
        <w:spacing w:after="80" w:before="80"/>
      </w:pPr>
      <w:r>
        <w:rPr>
          <w:rFonts w:ascii="Times New Roman" w:cs="Times New Roman" w:eastAsia="Times New Roman" w:hAnsi="Times New Roman"/>
          <w:color w:val="1F2937"/>
          <w:sz w:val="22"/>
          <w:szCs w:val="22"/>
        </w:rPr>
        <w:t xml:space="preserve">Debout ou assis. Observe le corps depuis l'intérieur. Permets-toi de te déplacer lentement sans but — comme si le corps cherchait son propre équilibre spontané. Ni danse, ni échauffement : juste le corps qui bouge depuis sa propre intelligence. À un moment, immobilise-toi complètement. Sens le contraste entre mouvement et repos — et ce qui reste identique dans les deux.</w:t>
      </w:r>
    </w:p>
    <w:p>
      <w:pPr>
        <w:spacing w:after="80" w:before="80"/>
      </w:pPr>
      <w:r>
        <w:rPr>
          <w:rFonts w:ascii="Times New Roman" w:cs="Times New Roman" w:eastAsia="Times New Roman" w:hAnsi="Times New Roman"/>
          <w:color w:val="1F2937"/>
          <w:sz w:val="22"/>
          <w:szCs w:val="22"/>
        </w:rPr>
        <w:t xml:space="preserve">Deuxième porte — Parole (5 min) :</w:t>
      </w:r>
    </w:p>
    <w:p>
      <w:pPr>
        <w:spacing w:after="80" w:before="80"/>
      </w:pPr>
      <w:r>
        <w:rPr>
          <w:rFonts w:ascii="Times New Roman" w:cs="Times New Roman" w:eastAsia="Times New Roman" w:hAnsi="Times New Roman"/>
          <w:color w:val="1F2937"/>
          <w:sz w:val="22"/>
          <w:szCs w:val="22"/>
        </w:rPr>
        <w:t xml:space="preserve">Vocalise librement — sons, syllabes, rien de structuré. Pas de chanson, pas de mantra appris : juste ce qui vient. Laisse la voix s'épuiser si elle le fait, ou s'amplifier. Puis silence. Sens l'espace sonore après l'arrêt.</w:t>
      </w:r>
    </w:p>
    <w:p>
      <w:pPr>
        <w:spacing w:after="80" w:before="80"/>
      </w:pPr>
      <w:r>
        <w:rPr>
          <w:rFonts w:ascii="Times New Roman" w:cs="Times New Roman" w:eastAsia="Times New Roman" w:hAnsi="Times New Roman"/>
          <w:color w:val="1F2937"/>
          <w:sz w:val="22"/>
          <w:szCs w:val="22"/>
        </w:rPr>
        <w:t xml:space="preserve">Troisième porte — Esprit (10 min) :</w:t>
      </w:r>
    </w:p>
    <w:p>
      <w:pPr>
        <w:spacing w:after="80" w:before="80"/>
      </w:pPr>
      <w:r>
        <w:rPr>
          <w:rFonts w:ascii="Times New Roman" w:cs="Times New Roman" w:eastAsia="Times New Roman" w:hAnsi="Times New Roman"/>
          <w:color w:val="1F2937"/>
          <w:sz w:val="22"/>
          <w:szCs w:val="22"/>
        </w:rPr>
        <w:t xml:space="preserve">Assis, yeux mi-clos ou fermés. Permets au mental de se déployer pleinement (pensées, images, sensations) pendant 3 minutes — sans chercher à calmer. Puis, sans effort, pose l'attention sur la qualité de la conscience elle-même, large et sans bord. Maintiens 7 minutes. Laisse arriver ce qui arrive.</w:t>
      </w:r>
    </w:p>
    <w:p>
      <w:pPr>
        <w:spacing w:after="80" w:before="80"/>
      </w:pPr>
      <w:r>
        <w:rPr>
          <w:rFonts w:ascii="Times New Roman" w:cs="Times New Roman" w:eastAsia="Times New Roman" w:hAnsi="Times New Roman"/>
          <w:b/>
          <w:bCs/>
          <w:color w:val="1F2937"/>
          <w:sz w:val="22"/>
          <w:szCs w:val="22"/>
        </w:rPr>
        <w:t xml:space="preserve">Corrigé et points d'attention :</w:t>
      </w:r>
    </w:p>
    <w:p>
      <w:pPr>
        <w:spacing w:after="80" w:before="80"/>
      </w:pPr>
      <w:r>
        <w:rPr>
          <w:rFonts w:ascii="Times New Roman" w:cs="Times New Roman" w:eastAsia="Times New Roman" w:hAnsi="Times New Roman"/>
          <w:color w:val="1F2937"/>
          <w:sz w:val="22"/>
          <w:szCs w:val="22"/>
        </w:rPr>
        <w:t xml:space="preserve">Ce que cet exercice fait toucher : le Rushen interne travaille sur les « vents » (lung) qui animent les habitudes dans le corps subtil. En laissant les trois portes s'exprimer puis s'apaiser, on crée les conditions d'un repos plus profond que la simple méditation de calme (shamatha). L'espace qui émerge après le mouvement vocal, après l'agitation mentale amplifiée — c'est ce que le Rushen interne cherche à stabiliser.</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Challenge — Synthèse integrative</w:t>
      </w:r>
    </w:p>
    <w:p>
      <w:pPr>
        <w:spacing w:after="80" w:before="80"/>
      </w:pPr>
      <w:r>
        <w:rPr>
          <w:rFonts w:ascii="Times New Roman" w:cs="Times New Roman" w:eastAsia="Times New Roman" w:hAnsi="Times New Roman"/>
          <w:b/>
          <w:bCs/>
          <w:color w:val="1F2937"/>
          <w:sz w:val="22"/>
          <w:szCs w:val="22"/>
        </w:rPr>
        <w:t xml:space="preserve">Durée : 40–50 min</w:t>
      </w:r>
    </w:p>
    <w:p>
      <w:pPr>
        <w:spacing w:after="80" w:before="80"/>
      </w:pPr>
      <w:r>
        <w:rPr>
          <w:rFonts w:ascii="Times New Roman" w:cs="Times New Roman" w:eastAsia="Times New Roman" w:hAnsi="Times New Roman"/>
          <w:color w:val="1F2937"/>
          <w:sz w:val="22"/>
          <w:szCs w:val="22"/>
        </w:rPr>
        <w:t xml:space="preserve">Après avoir pratiqué les exercices 1, 2 et 3, écris une page (format libre) qui répond à cette question : « En quoi le Rushen est-il une pratique paradoxale, et en quoi ce paradoxe est-il cohérent avec la vue dzogchen telle que je la comprends depuis les leçons précédentes ? »</w:t>
      </w:r>
    </w:p>
    <w:p>
      <w:pPr>
        <w:spacing w:after="80" w:before="80"/>
      </w:pPr>
      <w:r>
        <w:rPr>
          <w:rFonts w:ascii="Times New Roman" w:cs="Times New Roman" w:eastAsia="Times New Roman" w:hAnsi="Times New Roman"/>
          <w:color w:val="1F2937"/>
          <w:sz w:val="22"/>
          <w:szCs w:val="22"/>
        </w:rPr>
        <w:t xml:space="preserve">Critères d'une bonne réponse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Tu identifies le paradoxe central (entrer dans samsara pour le dissoudre / mimer les états habituels pour les épuiser).</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Tu relies ce paradoxe à la notion de « base » (gzhi, leçon 3) et à la pureté primordiale.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Tu fais le lien avec Trekchö (leçon 6) : comment le Rushen prépare-t-il la « coupe à travers »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Tu montres que la distinction samsara/nirvana n'est pas ontologique mais fonctionnelle (point de vue de rigpa).</w:t>
      </w:r>
    </w:p>
    <w:p>
      <w:pPr>
        <w:spacing w:after="80" w:before="80"/>
      </w:pPr>
      <w:r>
        <w:rPr>
          <w:rFonts w:ascii="Times New Roman" w:cs="Times New Roman" w:eastAsia="Times New Roman" w:hAnsi="Times New Roman"/>
          <w:color w:val="1F2937"/>
          <w:sz w:val="22"/>
          <w:szCs w:val="22"/>
        </w:rPr>
        <w:t xml:space="preserve">Pas de bonne réponse unique — ce qui compte c'est que ta réponse soit ancrée dans l'expérience des exercices, pas seulement dans la théorie lue.</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Pont professionnel (optionnel)</w:t>
      </w:r>
    </w:p>
    <w:p>
      <w:pPr>
        <w:spacing w:after="80" w:before="80"/>
      </w:pPr>
      <w:r>
        <w:rPr>
          <w:rFonts w:ascii="Times New Roman" w:cs="Times New Roman" w:eastAsia="Times New Roman" w:hAnsi="Times New Roman"/>
          <w:color w:val="1F2937"/>
          <w:sz w:val="22"/>
          <w:szCs w:val="22"/>
        </w:rPr>
        <w:t xml:space="preserve">Le Rushen externe amplifie délibérément les tendances habituelles jusqu'à leur épuisement naturel — une logique qui rappelle certaines approches en accompagnement du handicap psychique : ne pas supprimer une conduite mais créer un cadre où elle peut se déployer, se vivre et trouver sa propre limite. Ce n'est pas une analogie clinique directe, mais une résonance de posture : ni contre, ni pour — avec, jusqu'à la résolution.</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Ressources pour approfondir</w:t>
      </w:r>
    </w:p>
    <w:p>
      <w:pPr>
        <w:spacing w:after="80" w:before="80"/>
      </w:pPr>
      <w:r>
        <w:rPr>
          <w:rFonts w:ascii="Times New Roman" w:cs="Times New Roman" w:eastAsia="Times New Roman" w:hAnsi="Times New Roman"/>
          <w:color w:val="1F2937"/>
          <w:sz w:val="22"/>
          <w:szCs w:val="22"/>
        </w:rPr>
        <w:t xml:space="preserve">Toutes les URLs ci-dessous ont été vérifiées pendant cette session (codes HTTP 200 ou 403 confirmé).</w:t>
      </w:r>
    </w:p>
    <w:p>
      <w:pPr>
        <w:pStyle w:val="ListParagraph"/>
        <w:numPr>
          <w:ilvl w:val="0"/>
          <w:numId w:val="1"/>
        </w:numPr>
        <w:spacing w:after="60" w:before="60"/>
      </w:pPr>
      <w:hyperlink w:history="1" r:id="rId_kichxjxdvz4ktbzgo70_">
        <w:r>
          <w:rPr>
            <w:rFonts w:ascii="Times New Roman" w:cs="Times New Roman" w:eastAsia="Times New Roman" w:hAnsi="Times New Roman"/>
            <w:color w:val="1155CC"/>
            <w:sz w:val="22"/>
            <w:szCs w:val="22"/>
            <w:u w:val="single"/>
          </w:rPr>
          <w:t xml:space="preserve">Nyoshul Khenpo Jamyang Dorje — Principles of Khordé Rushen (Lotsawa House) [200]</w:t>
        </w:r>
      </w:hyperlink>
    </w:p>
    <w:p>
      <w:pPr>
        <w:pStyle w:val="ListParagraph"/>
        <w:numPr>
          <w:ilvl w:val="0"/>
          <w:numId w:val="1"/>
        </w:numPr>
        <w:spacing w:after="60" w:before="60"/>
      </w:pPr>
      <w:hyperlink w:history="1" r:id="rIdhz313tcu4fihdscp1nwub">
        <w:r>
          <w:rPr>
            <w:rFonts w:ascii="Times New Roman" w:cs="Times New Roman" w:eastAsia="Times New Roman" w:hAnsi="Times New Roman"/>
            <w:color w:val="1155CC"/>
            <w:sz w:val="22"/>
            <w:szCs w:val="22"/>
            <w:u w:val="single"/>
          </w:rPr>
          <w:t xml:space="preserve">Tibetan Buddhist Encyclopedia — Principles of the Dzogchen Practice of Khordé Rushen [200]</w:t>
        </w:r>
      </w:hyperlink>
    </w:p>
    <w:p>
      <w:pPr>
        <w:pStyle w:val="ListParagraph"/>
        <w:numPr>
          <w:ilvl w:val="0"/>
          <w:numId w:val="1"/>
        </w:numPr>
        <w:spacing w:after="60" w:before="60"/>
      </w:pPr>
      <w:hyperlink w:history="1" r:id="rIdwftld1sgeh5upfjrkxqa0">
        <w:r>
          <w:rPr>
            <w:rFonts w:ascii="Times New Roman" w:cs="Times New Roman" w:eastAsia="Times New Roman" w:hAnsi="Times New Roman"/>
            <w:color w:val="1155CC"/>
            <w:sz w:val="22"/>
            <w:szCs w:val="22"/>
            <w:u w:val="single"/>
          </w:rPr>
          <w:t xml:space="preserve">Wikipedia — Dzogchen (section sur le Rushen, méthodes préliminaires intégrées) [200]</w:t>
        </w:r>
      </w:hyperlink>
    </w:p>
    <w:p>
      <w:pPr>
        <w:pStyle w:val="ListParagraph"/>
        <w:numPr>
          <w:ilvl w:val="0"/>
          <w:numId w:val="1"/>
        </w:numPr>
        <w:spacing w:after="60" w:before="60"/>
      </w:pPr>
      <w:hyperlink w:history="1" r:id="rId-tqkzeu_3m4rzgsnodro6">
        <w:r>
          <w:rPr>
            <w:rFonts w:ascii="Times New Roman" w:cs="Times New Roman" w:eastAsia="Times New Roman" w:hAnsi="Times New Roman"/>
            <w:color w:val="1155CC"/>
            <w:sz w:val="22"/>
            <w:szCs w:val="22"/>
            <w:u w:val="single"/>
          </w:rPr>
          <w:t xml:space="preserve">Dzogchen-site (EN) — Khorde Rushans : la principale préparation au Dzogchen [200]</w:t>
        </w:r>
      </w:hyperlink>
    </w:p>
    <w:p>
      <w:pPr>
        <w:spacing w:after="60" w:before="60"/>
      </w:pPr>
      <w:r>
        <w:rPr>
          <w:rFonts w:ascii="Times New Roman" w:cs="Times New Roman" w:eastAsia="Times New Roman" w:hAnsi="Times New Roman"/>
          <w:i/>
          <w:iCs/>
          <w:color w:val="6B7280"/>
          <w:sz w:val="20"/>
          <w:szCs w:val="20"/>
        </w:rPr>
        <w:t xml:space="preserve">⚠️ Rigpa Wiki (Khordé Rushen) — page existante mais accès automatisé bloqué (403). Accessible manuellement sur : rigpawiki.org</w:t>
      </w:r>
    </w:p>
    <w:p>
      <w:pPr>
        <w:pBdr>
          <w:bottom w:val="single" w:color="1B3A6B" w:sz="6"/>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12 / 20 — Les quatre visions du Tögal</w:t>
      </w:r>
    </w:p>
    <w:p>
      <w:pPr>
        <w:spacing w:after="80" w:before="80"/>
      </w:pPr>
      <w:r>
        <w:rPr>
          <w:rFonts w:ascii="Times New Roman" w:cs="Times New Roman" w:eastAsia="Times New Roman" w:hAnsi="Times New Roman"/>
          <w:color w:val="1F2937"/>
          <w:sz w:val="22"/>
          <w:szCs w:val="22"/>
        </w:rPr>
        <w:t xml:space="preserve">Nous reviendrons sur le Tögal (déjà introduit en leçon 7) pour en explorer la carte intérieure détaillée : les quatre visions (nyams bzhi) qui jalonnent la progression de la lumière jusqu'au corps d'arc-en-ciel. Cette leçon s'appuiera sur les textes du Longchen Nyingthig et les commentaires de Nyoshul Khenpo.</w:t>
      </w:r>
    </w:p>
    <w:p>
      <w:pPr>
        <w:spacing w:after="80" w:before="80"/>
      </w:pPr>
    </w:p>
    <w:p>
      <w:pPr>
        <w:spacing w:after="80" w:before="200"/>
        <w:jc w:val="center"/>
      </w:pPr>
      <w:r>
        <w:rPr>
          <w:rFonts w:ascii="Times New Roman" w:cs="Times New Roman" w:eastAsia="Times New Roman" w:hAnsi="Times New Roman"/>
          <w:i/>
          <w:iCs/>
          <w:color w:val="9CA3AF"/>
          <w:sz w:val="18"/>
          <w:szCs w:val="18"/>
        </w:rPr>
        <w:t xml:space="preserve">— Leçon 11 / 20 — Parcours Dzogchen —</w:t>
      </w:r>
    </w:p>
    <w:p>
      <w:pPr>
        <w:spacing w:before="360" w:after="120"/>
      </w:pPr>
      <w:r>
        <w:rPr>
          <w:rFonts w:ascii="Times New Roman" w:cs="Times New Roman" w:eastAsia="Times New Roman" w:hAnsi="Times New Roman"/>
          <w:b/>
          <w:bCs/>
          <w:color w:val="1F2937"/>
          <w:sz w:val="26"/>
          <w:szCs w:val="26"/>
        </w:rPr>
        <w:t xml:space="preserve">📝 Journal des corrections</w:t>
      </w:r>
    </w:p>
    <w:p>
      <w:pPr>
        <w:spacing w:after="80"/>
      </w:pPr>
      <w:r>
        <w:rPr>
          <w:rFonts w:ascii="Times New Roman" w:cs="Times New Roman" w:eastAsia="Times New Roman" w:hAnsi="Times New Roman"/>
          <w:color w:val="1F2937"/>
          <w:sz w:val="22"/>
          <w:szCs w:val="22"/>
        </w:rPr>
        <w:t xml:space="preserve">Corrections apportées le 12/10/2026 après réouverture de la page de Lotsawa House avec un agent de navigateur (HTTP 200, 9 144 caractères utiles). Le libellé d'origine est conservé ci-dessous.</w:t>
      </w:r>
    </w:p>
    <w:p>
      <w:pPr>
        <w:spacing w:after="80"/>
      </w:pPr>
      <w:r>
        <w:rPr>
          <w:rFonts w:ascii="Times New Roman" w:cs="Times New Roman" w:eastAsia="Times New Roman" w:hAnsi="Times New Roman"/>
          <w:color w:val="1F2937"/>
          <w:sz w:val="20"/>
          <w:szCs w:val="20"/>
        </w:rPr>
        <w:t xml:space="preserve">• Théorie, 3 différences fondamentales — la citation attribuée à Nyoshul Khenpo Jamyang Dorje était une condensation française de trois passages d'une page anglaise, présentée comme une citation littérale traduite par Lotsawa House. Elle passe en style indirect, les deux fragments réellement littéraux sont cités en anglais, et la synthèse est déclarée comme telle. Détection : passe ㉜ de controle_attributions.py (« source nommée sans page, ni page listée ni déclaration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kichxjxdvz4ktbzgo70_" Type="http://schemas.openxmlformats.org/officeDocument/2006/relationships/hyperlink" Target="https://www.lotsawahouse.org/tibetan-masters/nyoshul-khenpo-jamyang-dorje/rushen" TargetMode="External"/><Relationship Id="rIdhz313tcu4fihdscp1nwub" Type="http://schemas.openxmlformats.org/officeDocument/2006/relationships/hyperlink" Target="https://tibetanbuddhistencyclopedia.com/en/index.php?title=Principles_of_the_Dzogchen_Practice_of_Khord%C3%A9_Rushen" TargetMode="External"/><Relationship Id="rIdwftld1sgeh5upfjrkxqa0" Type="http://schemas.openxmlformats.org/officeDocument/2006/relationships/hyperlink" Target="https://en.wikipedia.org/wiki/Dzogchen" TargetMode="External"/><Relationship Id="rId-tqkzeu_3m4rzgsnodro6" Type="http://schemas.openxmlformats.org/officeDocument/2006/relationships/hyperlink" Target="https://xn--bnpo-dzogchen-imb.de/02ENG/Dzogchen/Rushans/01EN.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2026-08-13T23:58:32.094Z</dcterms:created>
  <dcterms:modified xsi:type="dcterms:W3CDTF">2026-08-13T23:58:32.096Z</dcterms:modified>
</cp:coreProperties>
</file>

<file path=docProps/custom.xml><?xml version="1.0" encoding="utf-8"?>
<Properties xmlns="http://schemas.openxmlformats.org/officeDocument/2006/custom-properties" xmlns:vt="http://schemas.openxmlformats.org/officeDocument/2006/docPropsVTypes"/>
</file>