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Placement financier n°17</w:t>
      </w:r>
    </w:p>
    <w:p>
      <w:pPr>
        <w:pStyle w:val="Heading1"/>
        <w:spacing w:after="200" w:before="200"/>
        <w:jc w:val="center"/>
      </w:pPr>
      <w:r>
        <w:rPr>
          <w:rFonts w:ascii="Times New Roman" w:cs="Times New Roman" w:eastAsia="Times New Roman" w:hAnsi="Times New Roman"/>
          <w:b/>
          <w:bCs/>
          <w:color w:val="1B3A6B"/>
          <w:sz w:val="52"/>
          <w:szCs w:val="52"/>
        </w:rPr>
        <w:t xml:space="preserve">Arnaques, produits toxiques et signaux d'alerte</w:t>
      </w:r>
    </w:p>
    <w:p>
      <w:pPr>
        <w:spacing w:after="60" w:before="100"/>
        <w:jc w:val="center"/>
      </w:pPr>
      <w:r>
        <w:rPr>
          <w:rFonts w:ascii="Times New Roman" w:cs="Times New Roman" w:eastAsia="Times New Roman" w:hAnsi="Times New Roman"/>
          <w:i/>
          <w:iCs/>
          <w:color w:val="1B3A6B"/>
          <w:sz w:val="22"/>
          <w:szCs w:val="22"/>
        </w:rPr>
        <w:t xml:space="preserve">3 octobre 2026  ·  Leçon 17 / 20</w:t>
      </w:r>
    </w:p>
    <w:p>
      <w:pPr>
        <w:spacing w:after="60" w:before="60"/>
      </w:pPr>
      <w:r>
        <w:t xml:space="preserve"/>
      </w: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b w:val="false"/>
          <w:bCs w:val="false"/>
          <w:i w:val="false"/>
          <w:iCs w:val="false"/>
          <w:color w:val="1F2937"/>
          <w:sz w:val="22"/>
          <w:szCs w:val="22"/>
        </w:rPr>
        <w:t xml:space="preserve">À l'issue de cette leçon, vous saurez reconnaître les principales formes d'arnaques financières, identifier les signaux d'alerte avant tout placement, et utiliser les outils officiels de vérification (listes noires AMF, outil Protect Épargne, registres d'agrément).</w:t>
      </w:r>
    </w:p>
    <w:p>
      <w:pPr>
        <w:spacing w:after="80" w:before="80"/>
      </w:pPr>
      <w:r>
        <w:rPr>
          <w:rFonts w:ascii="Times New Roman" w:cs="Times New Roman" w:eastAsia="Times New Roman" w:hAnsi="Times New Roman"/>
          <w:b w:val="false"/>
          <w:bCs w:val="false"/>
          <w:i w:val="false"/>
          <w:iCs w:val="false"/>
          <w:color w:val="1F2937"/>
          <w:sz w:val="22"/>
          <w:szCs w:val="22"/>
        </w:rPr>
        <w:t xml:space="preserve">Lien avec la leçon précédente : la leçon 16 a traité la transmission, la succession et le démembrement — autant d'opérations patrimoniales où les arnaques sont fréquentes (faux notaires, fausses SCPI successorales, faux conseillers en gestion de patrimoine). Cette leçon 17 fournit les outils pour ne pas se laisser piéger.</w:t>
      </w:r>
    </w:p>
    <w:p>
      <w:pPr>
        <w:spacing w:after="60" w:before="60"/>
      </w:pPr>
      <w:r>
        <w:t xml:space="preserve"/>
      </w:r>
    </w:p>
    <w:p>
      <w:pPr>
        <w:pStyle w:val="Heading2"/>
        <w:spacing w:after="120" w:before="320"/>
      </w:pPr>
      <w:r>
        <w:rPr>
          <w:rFonts w:ascii="Times New Roman" w:cs="Times New Roman" w:eastAsia="Times New Roman" w:hAnsi="Times New Roman"/>
          <w:b/>
          <w:bCs/>
          <w:color w:val="1B3A6B"/>
          <w:sz w:val="30"/>
          <w:szCs w:val="30"/>
        </w:rPr>
        <w:t xml:space="preserve">⚖️ Rappel</w:t>
      </w:r>
    </w:p>
    <w:p>
      <w:pPr>
        <w:shd w:fill="FFF3CD" w:val="clear"/>
        <w:spacing w:after="120" w:before="120"/>
        <w:ind w:left="288" w:right="288"/>
      </w:pPr>
      <w:r>
        <w:rPr>
          <w:rFonts w:ascii="Times New Roman" w:cs="Times New Roman" w:eastAsia="Times New Roman" w:hAnsi="Times New Roman"/>
          <w:b w:val="false"/>
          <w:bCs w:val="false"/>
          <w:i w:val="false"/>
          <w:iCs w:val="false"/>
          <w:color w:val="1F2937"/>
          <w:sz w:val="22"/>
          <w:szCs w:val="22"/>
        </w:rPr>
        <w:t xml:space="preserve">Cette leçon relève de l'éducation financière générale. Elle ne constitue pas un conseil en investissement personnalisé. Les placements comportent un risque de perte en capital. Pour toute décision, consultez un conseiller en gestion de patrimoine (CGP) ou un conseiller en investissements financiers (CIF) agréé.</w:t>
      </w:r>
    </w:p>
    <w:p>
      <w:pPr>
        <w:spacing w:after="60" w:before="60"/>
      </w:pPr>
      <w:r>
        <w:t xml:space="preserve"/>
      </w:r>
    </w:p>
    <w:p>
      <w:pPr>
        <w:pStyle w:val="Heading2"/>
        <w:spacing w:after="120" w:before="320"/>
      </w:pPr>
      <w:r>
        <w:rPr>
          <w:rFonts w:ascii="Times New Roman" w:cs="Times New Roman" w:eastAsia="Times New Roman" w:hAnsi="Times New Roman"/>
          <w:b/>
          <w:bCs/>
          <w:color w:val="1B3A6B"/>
          <w:sz w:val="30"/>
          <w:szCs w:val="30"/>
        </w:rPr>
        <w:t xml:space="preserve">🔬 Théorie (20 %) — Ce que vous devez savoir sur les arnaques financières</w:t>
      </w:r>
    </w:p>
    <w:p>
      <w:pPr>
        <w:pStyle w:val="Heading3"/>
        <w:spacing w:after="80" w:before="200"/>
      </w:pPr>
      <w:r>
        <w:rPr>
          <w:rFonts w:ascii="Times New Roman" w:cs="Times New Roman" w:eastAsia="Times New Roman" w:hAnsi="Times New Roman"/>
          <w:b/>
          <w:bCs/>
          <w:color w:val="1F2937"/>
          <w:sz w:val="26"/>
          <w:szCs w:val="26"/>
        </w:rPr>
        <w:t xml:space="preserve">1. Ampleur du phénomène</w:t>
      </w:r>
    </w:p>
    <w:p>
      <w:pPr>
        <w:spacing w:after="80" w:before="80"/>
      </w:pPr>
      <w:r>
        <w:rPr>
          <w:rFonts w:ascii="Times New Roman" w:cs="Times New Roman" w:eastAsia="Times New Roman" w:hAnsi="Times New Roman"/>
          <w:b w:val="false"/>
          <w:bCs w:val="false"/>
          <w:i w:val="false"/>
          <w:iCs w:val="false"/>
          <w:color w:val="1F2937"/>
          <w:sz w:val="22"/>
          <w:szCs w:val="22"/>
        </w:rPr>
        <w:t xml:space="preserve">Les arnaques financières représentent un risque concret, documenté et croissant en France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Plus de 1 300 sites ou acteurs non autorisés ont été recensés et ajoutés aux listes noires de l'AMF et de l'ACPR en 2025 (source : La Finance Pour Tous, juillet 2026 — voir Ressources).</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16 % des personnes sondées déclarent avoir déjà été victimes d'une escroquerie sur un placement financier (baromètre de l'investissement de l'AMF de décembre 2025, repris par La Finance Pour Tous, dont l'article du 02/07/2026 parle de la même façon de Français interrogés).</w:t>
      </w:r>
      <w:r>
        <w:rPr>
          <w:rFonts w:ascii="Times New Roman" w:cs="Times New Roman" w:eastAsia="Times New Roman" w:hAnsi="Times New Roman"/>
          <w:i/>
          <w:iCs/>
          <w:color w:val="6B7280"/>
          <w:sz w:val="18"/>
          <w:szCs w:val="18"/>
        </w:rPr>
        <w:t xml:space="preserve">   [Corrigé le 12/10/2026 : la version du 03/10/2026 écrivait « 16 % des Français ». Les deux pages citées écrivent « 16 % des personnes sondées » et « 16 % des Français interrogés » : un résultat d'échantillon était présenté comme une statistique de population. Le chiffre était juste, sa portée élargie.]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Pertes moyennes constatées au 3e trimestre 2024, derniers chiffres disponibles : près de 70 000 € (livrets), 29 000 € (placements financiers), 19 000 € (faux crédits) — source : La Finance Pour Tous, article du 15 avril 2026.</w:t>
      </w:r>
      <w:r>
        <w:rPr>
          <w:rFonts w:ascii="Times New Roman" w:cs="Times New Roman" w:eastAsia="Times New Roman" w:hAnsi="Times New Roman"/>
          <w:i/>
          <w:iCs/>
          <w:color w:val="6B7280"/>
          <w:sz w:val="18"/>
          <w:szCs w:val="18"/>
        </w:rPr>
        <w:t xml:space="preserve">   [Corrigé le 12/10/2026 : la version du 03/10/2026 écrivait « 70 000 € » là où la page écrit « près de 70 000 € », et sourçait ces montants « avril 2026 », qui est la date de l'article, dans une liste intitulée « un risque concret, documenté et croissant » entre deux chiffres de 2025. La page dit explicitement « Selon les derniers chiffre disponibles (3 ème trimestre 2024) » : la donnée a près de deux ans de plus que son voisinage.]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Plus de 4 500 publicités financières analysées par le Pôle commun AMF-ACPR en 2025 — doublement du volume 2024.</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2. Les grandes familles d'offres frauduleuses et de produits dangereux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Pr>
          <w:p>
            <w:pPr>
              <w:spacing w:after="60" w:before="60"/>
              <w:jc w:val="left"/>
            </w:pPr>
            <w:r>
              <w:rPr>
                <w:rFonts w:ascii="Times New Roman" w:cs="Times New Roman" w:eastAsia="Times New Roman" w:hAnsi="Times New Roman"/>
                <w:b/>
                <w:bCs/>
                <w:color w:val="FFFFFF"/>
                <w:sz w:val="20"/>
                <w:szCs w:val="20"/>
              </w:rPr>
              <w:t xml:space="preserve">Type d'arnaque</w:t>
            </w:r>
          </w:p>
        </w:tc>
        <w:tc>
          <w:tcPr>
            <w:shd w:fill="1B3A6B" w:val="clear"/>
          </w:tcPr>
          <w:p>
            <w:pPr>
              <w:spacing w:after="60" w:before="60"/>
              <w:jc w:val="left"/>
            </w:pPr>
            <w:r>
              <w:rPr>
                <w:rFonts w:ascii="Times New Roman" w:cs="Times New Roman" w:eastAsia="Times New Roman" w:hAnsi="Times New Roman"/>
                <w:b/>
                <w:bCs/>
                <w:color w:val="FFFFFF"/>
                <w:sz w:val="20"/>
                <w:szCs w:val="20"/>
              </w:rPr>
              <w:t xml:space="preserve">Mécanisme</w:t>
            </w:r>
          </w:p>
        </w:tc>
        <w:tc>
          <w:tcPr>
            <w:shd w:fill="1B3A6B" w:val="clear"/>
          </w:tcPr>
          <w:p>
            <w:pPr>
              <w:spacing w:after="60" w:before="60"/>
              <w:jc w:val="left"/>
            </w:pPr>
            <w:r>
              <w:rPr>
                <w:rFonts w:ascii="Times New Roman" w:cs="Times New Roman" w:eastAsia="Times New Roman" w:hAnsi="Times New Roman"/>
                <w:b/>
                <w:bCs/>
                <w:color w:val="FFFFFF"/>
                <w:sz w:val="20"/>
                <w:szCs w:val="20"/>
              </w:rPr>
              <w:t xml:space="preserve">Signal distinctif</w:t>
            </w:r>
          </w:p>
        </w:tc>
      </w:tr>
      <w:tr>
        <w:tc>
          <w:tcPr>
            <w:shd w:fill="F3F4F6" w:val="clear"/>
          </w:tcPr>
          <w:p>
            <w:pPr>
              <w:spacing w:after="60" w:before="60"/>
              <w:jc w:val="left"/>
            </w:pPr>
            <w:r>
              <w:rPr>
                <w:rFonts w:ascii="Times New Roman" w:cs="Times New Roman" w:eastAsia="Times New Roman" w:hAnsi="Times New Roman"/>
                <w:b w:val="false"/>
                <w:bCs w:val="false"/>
                <w:color w:val="1F2937"/>
                <w:sz w:val="20"/>
                <w:szCs w:val="20"/>
              </w:rPr>
              <w:t xml:space="preserve">Faux trading / Forex</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Site promettant de devenir « trader » en quelques semaines, gestionnaire téléphonique incitatif</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Promesse de gains rapides, pression à l'achat, impossibilité de retirer</w:t>
            </w:r>
          </w:p>
        </w:tc>
      </w:tr>
      <w:tr>
        <w:tc>
          <w:tcPr>
            <w:shd w:fill="F3F4F6" w:val="clear"/>
          </w:tcPr>
          <w:p>
            <w:pPr>
              <w:spacing w:after="60" w:before="60"/>
              <w:jc w:val="left"/>
            </w:pPr>
            <w:r>
              <w:rPr>
                <w:rFonts w:ascii="Times New Roman" w:cs="Times New Roman" w:eastAsia="Times New Roman" w:hAnsi="Times New Roman"/>
                <w:b w:val="false"/>
                <w:bCs w:val="false"/>
                <w:color w:val="1F2937"/>
                <w:sz w:val="20"/>
                <w:szCs w:val="20"/>
              </w:rPr>
              <w:t xml:space="preserve">Arnaques crypto</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Rug pull (lancement + effondrement), pump &amp; dump, faux échanges</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Influenceurs rémunérés, token inexistant ou sans valeur réelle</w:t>
            </w:r>
          </w:p>
        </w:tc>
      </w:tr>
      <w:tr>
        <w:tc>
          <w:tcPr>
            <w:shd w:fill="F3F4F6" w:val="clear"/>
          </w:tcPr>
          <w:p>
            <w:pPr>
              <w:spacing w:after="60" w:before="60"/>
              <w:jc w:val="left"/>
            </w:pPr>
            <w:r>
              <w:rPr>
                <w:rFonts w:ascii="Times New Roman" w:cs="Times New Roman" w:eastAsia="Times New Roman" w:hAnsi="Times New Roman"/>
                <w:b w:val="false"/>
                <w:bCs w:val="false"/>
                <w:color w:val="1F2937"/>
                <w:sz w:val="20"/>
                <w:szCs w:val="20"/>
              </w:rPr>
              <w:t xml:space="preserve">Biens divers (placements atypiques)</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Vin, diamants, or, whisky, cheptel, containers, panneaux solaires, terres rares présentés comme placements</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Rendement élevé « garanti », absence de réglementation AMF</w:t>
            </w:r>
          </w:p>
        </w:tc>
      </w:tr>
      <w:tr>
        <w:tc>
          <w:tcPr>
            <w:shd w:fill="F3F4F6" w:val="clear"/>
          </w:tcPr>
          <w:p>
            <w:pPr>
              <w:spacing w:after="60" w:before="60"/>
              <w:jc w:val="left"/>
            </w:pPr>
            <w:r>
              <w:rPr>
                <w:rFonts w:ascii="Times New Roman" w:cs="Times New Roman" w:eastAsia="Times New Roman" w:hAnsi="Times New Roman"/>
                <w:b w:val="false"/>
                <w:bCs w:val="false"/>
                <w:color w:val="1F2937"/>
                <w:sz w:val="20"/>
                <w:szCs w:val="20"/>
              </w:rPr>
              <w:t xml:space="preserve">Faux livrets d'épargne</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Livret à haut rendement proposé par un établissement inexistant ou usurpant un nom connu</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Taux irréaliste (5-15 %), aucun IBAN français</w:t>
            </w:r>
          </w:p>
        </w:tc>
      </w:tr>
      <w:tr>
        <w:tc>
          <w:tcPr>
            <w:shd w:fill="F3F4F6" w:val="clear"/>
          </w:tcPr>
          <w:p>
            <w:pPr>
              <w:spacing w:after="60" w:before="60"/>
              <w:jc w:val="left"/>
            </w:pPr>
            <w:r>
              <w:rPr>
                <w:rFonts w:ascii="Times New Roman" w:cs="Times New Roman" w:eastAsia="Times New Roman" w:hAnsi="Times New Roman"/>
                <w:b w:val="false"/>
                <w:bCs w:val="false"/>
                <w:color w:val="1F2937"/>
                <w:sz w:val="20"/>
                <w:szCs w:val="20"/>
              </w:rPr>
              <w:t xml:space="preserve">Usurpation d'identité</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Faux conseillers se présentant comme banques, AMF, Banque de France</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Numéro masqué ou inconnu, demande de virement immédiat</w:t>
            </w:r>
          </w:p>
        </w:tc>
      </w:tr>
      <w:tr>
        <w:tc>
          <w:tcPr>
            <w:shd w:fill="F3F4F6" w:val="clear"/>
          </w:tcPr>
          <w:p>
            <w:pPr>
              <w:spacing w:after="60" w:before="60"/>
              <w:jc w:val="left"/>
            </w:pPr>
            <w:r>
              <w:rPr>
                <w:rFonts w:ascii="Times New Roman" w:cs="Times New Roman" w:eastAsia="Times New Roman" w:hAnsi="Times New Roman"/>
                <w:b w:val="false"/>
                <w:bCs w:val="false"/>
                <w:color w:val="1F2937"/>
                <w:sz w:val="20"/>
                <w:szCs w:val="20"/>
              </w:rPr>
              <w:t xml:space="preserve">Arnaque au recouvrement</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Contact après une perte pour « récupérer l'argent » contre des frais</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Frappe les victimes déjà lésées ; se prétend autorité officielle</w:t>
            </w:r>
          </w:p>
        </w:tc>
      </w:tr>
      <w:tr>
        <w:tc>
          <w:tcPr>
            <w:shd w:fill="F3F4F6" w:val="clear"/>
          </w:tcPr>
          <w:p>
            <w:pPr>
              <w:spacing w:after="60" w:before="60"/>
              <w:jc w:val="left"/>
            </w:pPr>
            <w:r>
              <w:rPr>
                <w:rFonts w:ascii="Times New Roman" w:cs="Times New Roman" w:eastAsia="Times New Roman" w:hAnsi="Times New Roman"/>
                <w:b w:val="false"/>
                <w:bCs w:val="false"/>
                <w:color w:val="1F2937"/>
                <w:sz w:val="20"/>
                <w:szCs w:val="20"/>
              </w:rPr>
              <w:t xml:space="preserve">Systèmes de Ponzi</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Rémunère les premiers avec l'argent des nouveaux, sans investissement réel</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Rendements très réguliers, recrutement d'autres participants requis</w:t>
            </w:r>
          </w:p>
        </w:tc>
      </w:tr>
    </w:tbl>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3. Les produits « atypiques » (biens divers) — un cas particulier</w:t>
      </w:r>
    </w:p>
    <w:p>
      <w:pPr>
        <w:spacing w:after="80"/>
      </w:pPr>
      <w:r>
        <w:rPr>
          <w:rFonts w:ascii="Times New Roman" w:cs="Times New Roman" w:eastAsia="Times New Roman" w:hAnsi="Times New Roman"/>
          <w:i/>
          <w:iCs/>
          <w:color w:val="6B7280"/>
          <w:sz w:val="20"/>
          <w:szCs w:val="20"/>
        </w:rPr>
        <w:t xml:space="preserve">⚠️ Ajouté le 12/10/2026 — ce que cette leçon ne traite pas, alors que son titre l'annonce : les produits légaux mais dangereux (structurés, effet de levier, CFD). La source listée du 02/07/2026 les couvre et n'avait pas été exploitée : elle décrit une perte en capital « potentiellement totale » selon le scénario à l'échéance, et pose qu'« il faut donc vérifier si le produit affiche dans le Document d’Information Clés (DIC) une protection partielle au totale du capital investi ». Les biens divers ci-dessous ne tiennent pas lieu de ce chapitre : ils sont traités comme des véhicules de fraude, par la liste noire, non comme des placements réglementés à risque.</w:t>
      </w:r>
    </w:p>
    <w:p>
      <w:pPr>
        <w:spacing w:after="80" w:before="80"/>
      </w:pPr>
      <w:r>
        <w:rPr>
          <w:rFonts w:ascii="Times New Roman" w:cs="Times New Roman" w:eastAsia="Times New Roman" w:hAnsi="Times New Roman"/>
          <w:b w:val="false"/>
          <w:bCs w:val="false"/>
          <w:i w:val="false"/>
          <w:iCs w:val="false"/>
          <w:color w:val="1F2937"/>
          <w:sz w:val="22"/>
          <w:szCs w:val="22"/>
        </w:rPr>
        <w:t xml:space="preserve">Les placements en biens divers (vin, diamants, cheptel, containers, panneaux solaires…) ne relèvent pas de la réglementation financière classique. Ils relèvent d'un enregistrement spécifique auprès de l'AMF, qui parle d'« offres enregistrées en biens divers » et réserve les mots « autorisés » et « agréés » aux prestataires sur crypto-actifs (PSCA) et au financement participatif (PSFP). Or :</w:t>
      </w:r>
      <w:r>
        <w:rPr>
          <w:rFonts w:ascii="Times New Roman" w:cs="Times New Roman" w:eastAsia="Times New Roman" w:hAnsi="Times New Roman"/>
          <w:i/>
          <w:iCs/>
          <w:color w:val="6B7280"/>
          <w:sz w:val="18"/>
          <w:szCs w:val="18"/>
        </w:rPr>
        <w:t xml:space="preserve">   [Corrigé le 12/10/2026 : la version du 03/10/2026 parlait d'« opérateur en biens divers » et, ailleurs, d'« opérateur agréé AMF ». Aucune page lue ne porte ces termes : l'AMF écrit « les offres enregistrées en biens divers (vin, forêt, etc.) ainsi que les prestataires autorisés / agréés … sur crypto-actifs (PSCA) ou de financement participatif (PSFP) », et précise d'elle-même que « les enregistrements/agréments ne constituent pas une incitation à investir ». Le terme légal exact n'est pas tranché ici : Légifrance rend 403 à cet outil.]</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Les propositions de biens divers affichent typiquement des rendements élevés et n'évoquent le risque de perte en capital à aucun moment (synthèse, non citation).</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Il n'existe aucun fonds de garantie pour ces placements, contrairement aux dépôts bancaires (garantis à 100 000 € par le FGDR).</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La liste noire AMF « biens divers » regroupe treize rubriques : champagne, cheptel, conteneur, crypto-actif, diamants, montres, offre sur objet illicite, or, placements verts, produits alimentaires, terres rares, vin, whisky.</w:t>
      </w:r>
      <w:r>
        <w:rPr>
          <w:rFonts w:ascii="Times New Roman" w:cs="Times New Roman" w:eastAsia="Times New Roman" w:hAnsi="Times New Roman"/>
          <w:i/>
          <w:iCs/>
          <w:color w:val="6B7280"/>
          <w:sz w:val="18"/>
          <w:szCs w:val="18"/>
        </w:rPr>
        <w:t xml:space="preserve">   [Corrigé le 12/10/2026 : la version du 03/10/2026 en listait onze et omettait « Biens divers / Crypto-actif » et « Biens divers / Offre sur objet illicite ». L'omission de la première comptait : la leçon traite la crypto comme une famille séparée alors que l'AMF en inscrit une rubrique sous les biens divers.]</w:t>
      </w:r>
    </w:p>
    <w:p>
      <w:pPr>
        <w:spacing w:after="80" w:before="80"/>
      </w:pPr>
      <w:r>
        <w:rPr>
          <w:rFonts w:ascii="Times New Roman" w:cs="Times New Roman" w:eastAsia="Times New Roman" w:hAnsi="Times New Roman"/>
          <w:b w:val="false"/>
          <w:bCs w:val="false"/>
          <w:i w:val="false"/>
          <w:iCs w:val="false"/>
          <w:color w:val="1F2937"/>
          <w:sz w:val="22"/>
          <w:szCs w:val="22"/>
        </w:rPr>
        <w:t xml:space="preserve">Réflexe : vérifier que l'opérateur dispose d'un numéro d'enregistrement AMF en consultant les listes blanches de l'AMF (amf-france.org), qui couvrent les offres enregistrées en biens divers, les PSCA et les PSFP. ⚠️ Ces listes ne contiennent ni REGAFI ni ORIAS : REGAFI est le registre des agents financiers de l'ACPR et ORIAS celui des intermédiaires en assurance, banque et finance — deux registres distincts, à consulter à part.</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4. Les outils officiels de vérification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Pr>
          <w:p>
            <w:pPr>
              <w:spacing w:after="60" w:before="60"/>
              <w:jc w:val="left"/>
            </w:pPr>
            <w:r>
              <w:rPr>
                <w:rFonts w:ascii="Times New Roman" w:cs="Times New Roman" w:eastAsia="Times New Roman" w:hAnsi="Times New Roman"/>
                <w:b/>
                <w:bCs/>
                <w:color w:val="FFFFFF"/>
                <w:sz w:val="20"/>
                <w:szCs w:val="20"/>
              </w:rPr>
              <w:t xml:space="preserve">Outil</w:t>
            </w:r>
          </w:p>
        </w:tc>
        <w:tc>
          <w:tcPr>
            <w:shd w:fill="1B3A6B" w:val="clear"/>
          </w:tcPr>
          <w:p>
            <w:pPr>
              <w:spacing w:after="60" w:before="60"/>
              <w:jc w:val="left"/>
            </w:pPr>
            <w:r>
              <w:rPr>
                <w:rFonts w:ascii="Times New Roman" w:cs="Times New Roman" w:eastAsia="Times New Roman" w:hAnsi="Times New Roman"/>
                <w:b/>
                <w:bCs/>
                <w:color w:val="FFFFFF"/>
                <w:sz w:val="20"/>
                <w:szCs w:val="20"/>
              </w:rPr>
              <w:t xml:space="preserve">Usage</w:t>
            </w:r>
          </w:p>
        </w:tc>
        <w:tc>
          <w:tcPr>
            <w:shd w:fill="1B3A6B" w:val="clear"/>
          </w:tcPr>
          <w:p>
            <w:pPr>
              <w:spacing w:after="60" w:before="60"/>
              <w:jc w:val="left"/>
            </w:pPr>
            <w:r>
              <w:rPr>
                <w:rFonts w:ascii="Times New Roman" w:cs="Times New Roman" w:eastAsia="Times New Roman" w:hAnsi="Times New Roman"/>
                <w:b/>
                <w:bCs/>
                <w:color w:val="FFFFFF"/>
                <w:sz w:val="20"/>
                <w:szCs w:val="20"/>
              </w:rPr>
              <w:t xml:space="preserve">URL</w:t>
            </w:r>
          </w:p>
        </w:tc>
      </w:tr>
      <w:tr>
        <w:tc>
          <w:tcPr>
            <w:shd w:fill="F3F4F6" w:val="clear"/>
          </w:tcPr>
          <w:p>
            <w:pPr>
              <w:spacing w:after="60" w:before="60"/>
              <w:jc w:val="left"/>
            </w:pPr>
            <w:r>
              <w:rPr>
                <w:rFonts w:ascii="Times New Roman" w:cs="Times New Roman" w:eastAsia="Times New Roman" w:hAnsi="Times New Roman"/>
                <w:b w:val="false"/>
                <w:bCs w:val="false"/>
                <w:color w:val="1F2937"/>
                <w:sz w:val="20"/>
                <w:szCs w:val="20"/>
              </w:rPr>
              <w:t xml:space="preserve">Listes noires AMF</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Vérifier si une entité y figure avant de signer</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amf-france.org → espace épargnants → protéger son épargne</w:t>
            </w:r>
          </w:p>
        </w:tc>
      </w:tr>
      <w:tr>
        <w:tc>
          <w:tcPr>
            <w:shd w:fill="F3F4F6" w:val="clear"/>
          </w:tcPr>
          <w:p>
            <w:pPr>
              <w:spacing w:after="60" w:before="60"/>
              <w:jc w:val="left"/>
            </w:pPr>
            <w:r>
              <w:rPr>
                <w:rFonts w:ascii="Times New Roman" w:cs="Times New Roman" w:eastAsia="Times New Roman" w:hAnsi="Times New Roman"/>
                <w:b w:val="false"/>
                <w:bCs w:val="false"/>
                <w:color w:val="1F2937"/>
                <w:sz w:val="20"/>
                <w:szCs w:val="20"/>
              </w:rPr>
              <w:t xml:space="preserve">AMF Protect Épargne</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Signaler une arnaque, vérifier, s'alerter</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protectepargne.amf-france.org</w:t>
            </w:r>
          </w:p>
        </w:tc>
      </w:tr>
      <w:tr>
        <w:tc>
          <w:tcPr>
            <w:shd w:fill="F3F4F6" w:val="clear"/>
          </w:tcPr>
          <w:p>
            <w:pPr>
              <w:spacing w:after="60" w:before="60"/>
              <w:jc w:val="left"/>
            </w:pPr>
            <w:r>
              <w:rPr>
                <w:rFonts w:ascii="Times New Roman" w:cs="Times New Roman" w:eastAsia="Times New Roman" w:hAnsi="Times New Roman"/>
                <w:b w:val="false"/>
                <w:bCs w:val="false"/>
                <w:color w:val="1F2937"/>
                <w:sz w:val="20"/>
                <w:szCs w:val="20"/>
              </w:rPr>
              <w:t xml:space="preserve">Listes blanches AMF · registres REGAFI (ACPR) et ORIAS</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Vérifier qu'un professionnel est bien autorisé</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amf-france.org → listes blanches (PSCA, PSFP, biens divers) ; REGAFI et ORIAS sont des registres distincts</w:t>
            </w:r>
            <w:r>
              <w:rPr>
                <w:rFonts w:ascii="Times New Roman" w:cs="Times New Roman" w:eastAsia="Times New Roman" w:hAnsi="Times New Roman"/>
                <w:i/>
                <w:iCs/>
                <w:color w:val="6B7280"/>
                <w:sz w:val="18"/>
                <w:szCs w:val="18"/>
              </w:rPr>
              <w:t xml:space="preserve">   [Corrigé le 12/10/2026 : la ligne envoyait REGAFI et ORIAS vers « amf-france.org → listes blanches », page où « REGAFI » et « ORIAS » comptent zéro occurrence. REGAFI est le « Registre des agents financiers et des organismes d'assurance » de l'ACPR, ORIAS le « Registre officiel des intermédiaires en Assurance, Banque et Finance » : un lecteur qui suivait l'exercice 2 et l'adresse donnée n'y trouvait ni l'un ni l'autre.]</w:t>
            </w:r>
          </w:p>
        </w:tc>
      </w:tr>
      <w:tr>
        <w:tc>
          <w:tcPr>
            <w:shd w:fill="F3F4F6" w:val="clear"/>
          </w:tcPr>
          <w:p>
            <w:pPr>
              <w:spacing w:after="60" w:before="60"/>
              <w:jc w:val="left"/>
            </w:pPr>
            <w:r>
              <w:rPr>
                <w:rFonts w:ascii="Times New Roman" w:cs="Times New Roman" w:eastAsia="Times New Roman" w:hAnsi="Times New Roman"/>
                <w:b w:val="false"/>
                <w:bCs w:val="false"/>
                <w:color w:val="1F2937"/>
                <w:sz w:val="20"/>
                <w:szCs w:val="20"/>
              </w:rPr>
              <w:t xml:space="preserve">I-SCAN</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Blacklists de plus de 150 régulateurs mondiaux</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Via la page listes noires AMF</w:t>
            </w:r>
          </w:p>
        </w:tc>
      </w:tr>
      <w:tr>
        <w:tc>
          <w:tcPr>
            <w:shd w:fill="F3F4F6" w:val="clear"/>
          </w:tcPr>
          <w:p>
            <w:pPr>
              <w:spacing w:after="60" w:before="60"/>
              <w:jc w:val="left"/>
            </w:pPr>
            <w:r>
              <w:rPr>
                <w:rFonts w:ascii="Times New Roman" w:cs="Times New Roman" w:eastAsia="Times New Roman" w:hAnsi="Times New Roman"/>
                <w:b w:val="false"/>
                <w:bCs w:val="false"/>
                <w:color w:val="1F2937"/>
                <w:sz w:val="20"/>
                <w:szCs w:val="20"/>
              </w:rPr>
              <w:t xml:space="preserve">Épargne Info Service</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Poser une question par téléphone</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01 53 45 62 00 (lun-ven 9h-12h30)</w:t>
            </w:r>
          </w:p>
        </w:tc>
      </w:tr>
      <w:tr>
        <w:tc>
          <w:tcPr>
            <w:shd w:fill="F3F4F6" w:val="clear"/>
          </w:tcPr>
          <w:p>
            <w:pPr>
              <w:spacing w:after="60" w:before="60"/>
              <w:jc w:val="left"/>
            </w:pPr>
            <w:r>
              <w:rPr>
                <w:rFonts w:ascii="Times New Roman" w:cs="Times New Roman" w:eastAsia="Times New Roman" w:hAnsi="Times New Roman"/>
                <w:b w:val="false"/>
                <w:bCs w:val="false"/>
                <w:color w:val="1F2937"/>
                <w:sz w:val="20"/>
                <w:szCs w:val="20"/>
              </w:rPr>
              <w:t xml:space="preserve">ABE Infoservice</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Portail commun AMF/ACPR/Banque de France — arnaques bancaires et financières</w:t>
            </w:r>
          </w:p>
        </w:tc>
        <w:tc>
          <w:tcPr>
            <w:shd w:fill="FFFFFF" w:val="clear"/>
          </w:tcPr>
          <w:p>
            <w:pPr>
              <w:spacing w:after="60" w:before="60"/>
              <w:jc w:val="left"/>
            </w:pPr>
            <w:r>
              <w:rPr>
                <w:rFonts w:ascii="Times New Roman" w:cs="Times New Roman" w:eastAsia="Times New Roman" w:hAnsi="Times New Roman"/>
                <w:b w:val="false"/>
                <w:bCs w:val="false"/>
                <w:color w:val="1F2937"/>
                <w:sz w:val="20"/>
                <w:szCs w:val="20"/>
              </w:rPr>
              <w:t xml:space="preserve">abe-infoservice.fr</w:t>
            </w:r>
          </w:p>
        </w:tc>
      </w:tr>
    </w:tbl>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5. Les 10 signaux d'alerte universels</w:t>
      </w:r>
    </w:p>
    <w:p>
      <w:pPr>
        <w:spacing w:after="80" w:before="80"/>
      </w:pPr>
      <w:r>
        <w:rPr>
          <w:rFonts w:ascii="Times New Roman" w:cs="Times New Roman" w:eastAsia="Times New Roman" w:hAnsi="Times New Roman"/>
          <w:b w:val="false"/>
          <w:bCs w:val="false"/>
          <w:i w:val="false"/>
          <w:iCs w:val="false"/>
          <w:color w:val="1F2937"/>
          <w:sz w:val="22"/>
          <w:szCs w:val="22"/>
        </w:rPr>
        <w:t xml:space="preserve">Quatre de ces signaux sont littéralement sur la page des listes noires de l'AMF — « vous ne connaissez pas la personne qui vous contacte, on vous promet des rendements très élevés et sans risque, vous devez prendre une décision rapidement, vous devez effectuer un virement sur un RIB à l'étranger » — et trois précautions viennent de l'article du 15 avril 2026 de La Finance Pour Tous. Les cinq autres sont une synthèse de la leçon, signalée ligne à ligne :</w:t>
      </w:r>
      <w:r>
        <w:rPr>
          <w:rFonts w:ascii="Times New Roman" w:cs="Times New Roman" w:eastAsia="Times New Roman" w:hAnsi="Times New Roman"/>
          <w:i/>
          <w:iCs/>
          <w:color w:val="6B7280"/>
          <w:sz w:val="18"/>
          <w:szCs w:val="18"/>
        </w:rPr>
        <w:t xml:space="preserve">   [Corrigé le 12/10/2026 : la version du 03/10/2026 annonçait les dix signaux comme « issus des recommandations de l'AMF, de l'ABE Infoservice et de La Finance Pour Tous ». Cinq d'entre eux — ④, ⑤, ⑦, ⑧ et ⑩ — comptent zéro occurrence sur les six pages citées : « recouvrement » 0, « western union » 0, « frais cachés » 0, et les trois occurrences de « formulaire » sont des formulaires d'inscription à une lettre d'information. Leur substance est plausible ; leur provenance était inventée. Chacun porte désormais sa mention.]</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① Rendement élevé garanti sans risque — La Finance Pour Tous écrit : « Aucun produit financier ne permet d’obtenir des rendements élevés sans risque, particulièrement à court terme » ; l'AMF énonce le signal sous la forme « on vous promet des rendements très élevés et sans risque ».</w:t>
      </w:r>
      <w:r>
        <w:rPr>
          <w:rFonts w:ascii="Times New Roman" w:cs="Times New Roman" w:eastAsia="Times New Roman" w:hAnsi="Times New Roman"/>
          <w:i/>
          <w:iCs/>
          <w:color w:val="6B7280"/>
          <w:sz w:val="18"/>
          <w:szCs w:val="18"/>
        </w:rPr>
        <w:t xml:space="preserve">   [Corrigé le 12/10/2026 : la version du 03/10/2026 posait « règle absolue : « Il n'existe pas de rendements élevés sans risques élevés. » ». Cette phrase ne figure sur aucune des six pages citées. Et sa formulation AFFAIBLISSAIT ses sources : elles écrivent « sans risque », la leçon écrivait « sans risques élevés », ce qui concède l'existence d'un produit à rendement élevé et risque modéré — précisément la promesse que les deux pages désignent comme le premier signal d'alerte.]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② Démarchage non sollicité (appel téléphonique, e-mail, réseaux sociaux) par une société inconnue.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③ Pression à décider vite (offre limitée, nombre de places restreint).</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④ Demande de signature d'un formulaire pour avoir de simples informations (synthèse de la leçon, absent des pages citées).</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⑤ Numéro de téléphone de l'interlocuteur qui change régulièrement (synthèse de la leçon, absent des pages citées).</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⑥ Demande de virement vers un IBAN étranger ou via des services comme Western Union.</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⑦ Frais cachés ou non communiqués avant la signature (synthèse de la leçon, absent des pages citées).</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⑧ Impossibilité de retirer ses fonds ou délais injustifiés (synthèse de la leçon, absent des pages citées).</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⑨ Faux articles de presse vantant le placement (deepfakes, usurpation de médias).</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⑩ Promesse de récupérer de l'argent déjà perdu, contre paiement préalable de frais (synthèse de la leçon, absent des pages citées).</w:t>
      </w:r>
    </w:p>
    <w:p>
      <w:pPr>
        <w:shd w:fill="E8F4FD" w:val="clear"/>
        <w:spacing w:after="120" w:before="120"/>
        <w:ind w:left="288" w:right="288"/>
      </w:pPr>
      <w:r>
        <w:rPr>
          <w:rFonts w:ascii="Times New Roman" w:cs="Times New Roman" w:eastAsia="Times New Roman" w:hAnsi="Times New Roman"/>
          <w:b w:val="false"/>
          <w:bCs w:val="false"/>
          <w:i w:val="false"/>
          <w:iCs w:val="false"/>
          <w:color w:val="1F2937"/>
          <w:sz w:val="22"/>
          <w:szCs w:val="22"/>
        </w:rPr>
        <w:t xml:space="preserve">Rappel AMF : « L'AMF ne contacte pas de sa propre initiative les épargnants par téléphone ou messagerie privée. » (Source : page espace épargnants AMF, consultée le 03/10/2026.)</w:t>
      </w:r>
    </w:p>
    <w:p>
      <w:pPr>
        <w:spacing w:after="60" w:before="60"/>
      </w:pPr>
      <w:r>
        <w:t xml:space="preserve"/>
      </w:r>
    </w:p>
    <w:p>
      <w:pPr>
        <w:pStyle w:val="Heading2"/>
        <w:spacing w:after="120" w:before="320"/>
      </w:pPr>
      <w:r>
        <w:rPr>
          <w:rFonts w:ascii="Times New Roman" w:cs="Times New Roman" w:eastAsia="Times New Roman" w:hAnsi="Times New Roman"/>
          <w:b/>
          <w:bCs/>
          <w:color w:val="1B3A6B"/>
          <w:sz w:val="30"/>
          <w:szCs w:val="30"/>
        </w:rPr>
        <w:t xml:space="preserve">🛠️ Pratique (80 %) — Exercices</w:t>
      </w:r>
    </w:p>
    <w:p>
      <w:pPr>
        <w:pStyle w:val="Heading3"/>
        <w:spacing w:after="80" w:before="200"/>
      </w:pPr>
      <w:r>
        <w:rPr>
          <w:rFonts w:ascii="Times New Roman" w:cs="Times New Roman" w:eastAsia="Times New Roman" w:hAnsi="Times New Roman"/>
          <w:b/>
          <w:bCs/>
          <w:color w:val="1F2937"/>
          <w:sz w:val="26"/>
          <w:szCs w:val="26"/>
        </w:rPr>
        <w:t xml:space="preserve">Exercice 1 — Identifier les signaux d'alerte</w:t>
      </w:r>
    </w:p>
    <w:p>
      <w:pPr>
        <w:spacing w:after="80" w:before="80"/>
      </w:pPr>
      <w:r>
        <w:rPr>
          <w:rFonts w:ascii="Times New Roman" w:cs="Times New Roman" w:eastAsia="Times New Roman" w:hAnsi="Times New Roman"/>
          <w:b w:val="false"/>
          <w:bCs w:val="false"/>
          <w:i w:val="false"/>
          <w:iCs w:val="false"/>
          <w:color w:val="1F2937"/>
          <w:sz w:val="22"/>
          <w:szCs w:val="22"/>
        </w:rPr>
        <w:t xml:space="preserve">Lisez chacune des quatre propositions ci-dessous. Pour chacune, indiquez : (a) quels signaux d'alerte sont présents, (b) quelle famille d'arnaque cela rappelle, (c) quelle démarche de vérification vous effectueriez.</w:t>
      </w:r>
    </w:p>
    <w:p>
      <w:pPr>
        <w:spacing w:after="60" w:before="60"/>
      </w:pPr>
      <w:r>
        <w:t xml:space="preserve"/>
      </w:r>
    </w:p>
    <w:p>
      <w:pPr>
        <w:shd w:fill="F3F4F6" w:val="clear"/>
        <w:spacing w:after="120" w:before="120"/>
        <w:ind w:left="288" w:right="288"/>
      </w:pPr>
      <w:r>
        <w:rPr>
          <w:rFonts w:ascii="Times New Roman" w:cs="Times New Roman" w:eastAsia="Times New Roman" w:hAnsi="Times New Roman"/>
          <w:b/>
          <w:bCs/>
          <w:i w:val="false"/>
          <w:iCs w:val="false"/>
          <w:color w:val="1F2937"/>
          <w:sz w:val="22"/>
          <w:szCs w:val="22"/>
        </w:rPr>
        <w:t xml:space="preserve">📋 Proposition A</w:t>
      </w:r>
    </w:p>
    <w:p>
      <w:pPr>
        <w:spacing w:after="80" w:before="80"/>
      </w:pPr>
      <w:r>
        <w:rPr>
          <w:rFonts w:ascii="Times New Roman" w:cs="Times New Roman" w:eastAsia="Times New Roman" w:hAnsi="Times New Roman"/>
          <w:b w:val="false"/>
          <w:bCs w:val="false"/>
          <w:i w:val="false"/>
          <w:iCs w:val="false"/>
          <w:color w:val="1F2937"/>
          <w:sz w:val="22"/>
          <w:szCs w:val="22"/>
        </w:rPr>
        <w:t xml:space="preserve">Vous recevez un appel d'un « conseiller patrimonial » qui vous propose d'investir dans un livret rémunéré à 9 % par an, sans risque, disponible sous 48 h. Il vous demande votre RIB pour « réserver votre place » et dit que l'offre expire ce soir.</w:t>
      </w:r>
    </w:p>
    <w:p>
      <w:pPr>
        <w:spacing w:after="60" w:before="60"/>
      </w:pPr>
      <w:r>
        <w:t xml:space="preserve"/>
      </w:r>
    </w:p>
    <w:p>
      <w:pPr>
        <w:shd w:fill="F3F4F6" w:val="clear"/>
        <w:spacing w:after="120" w:before="120"/>
        <w:ind w:left="288" w:right="288"/>
      </w:pPr>
      <w:r>
        <w:rPr>
          <w:rFonts w:ascii="Times New Roman" w:cs="Times New Roman" w:eastAsia="Times New Roman" w:hAnsi="Times New Roman"/>
          <w:b/>
          <w:bCs/>
          <w:i w:val="false"/>
          <w:iCs w:val="false"/>
          <w:color w:val="1F2937"/>
          <w:sz w:val="22"/>
          <w:szCs w:val="22"/>
        </w:rPr>
        <w:t xml:space="preserve">📋 Proposition B</w:t>
      </w:r>
    </w:p>
    <w:p>
      <w:pPr>
        <w:spacing w:after="80" w:before="80"/>
      </w:pPr>
      <w:r>
        <w:rPr>
          <w:rFonts w:ascii="Times New Roman" w:cs="Times New Roman" w:eastAsia="Times New Roman" w:hAnsi="Times New Roman"/>
          <w:b w:val="false"/>
          <w:bCs w:val="false"/>
          <w:i w:val="false"/>
          <w:iCs w:val="false"/>
          <w:color w:val="1F2937"/>
          <w:sz w:val="22"/>
          <w:szCs w:val="22"/>
        </w:rPr>
        <w:t xml:space="preserve">Un post Instagram promu vous invite à rejoindre une communauté d'investisseurs en whisky japonais rare. Rendement annoncé : 12 %. Un « expert » bien suivi vous explique que c'est un placement tangible, hors fiscalité habituelle, et que la demande asiatique tire les prix.</w:t>
      </w:r>
    </w:p>
    <w:p>
      <w:pPr>
        <w:spacing w:after="60" w:before="60"/>
      </w:pPr>
      <w:r>
        <w:t xml:space="preserve"/>
      </w:r>
    </w:p>
    <w:p>
      <w:pPr>
        <w:shd w:fill="F3F4F6" w:val="clear"/>
        <w:spacing w:after="120" w:before="120"/>
        <w:ind w:left="288" w:right="288"/>
      </w:pPr>
      <w:r>
        <w:rPr>
          <w:rFonts w:ascii="Times New Roman" w:cs="Times New Roman" w:eastAsia="Times New Roman" w:hAnsi="Times New Roman"/>
          <w:b/>
          <w:bCs/>
          <w:i w:val="false"/>
          <w:iCs w:val="false"/>
          <w:color w:val="1F2937"/>
          <w:sz w:val="22"/>
          <w:szCs w:val="22"/>
        </w:rPr>
        <w:t xml:space="preserve">📋 Proposition C</w:t>
      </w:r>
    </w:p>
    <w:p>
      <w:pPr>
        <w:spacing w:after="80" w:before="80"/>
      </w:pPr>
      <w:r>
        <w:rPr>
          <w:rFonts w:ascii="Times New Roman" w:cs="Times New Roman" w:eastAsia="Times New Roman" w:hAnsi="Times New Roman"/>
          <w:b w:val="false"/>
          <w:bCs w:val="false"/>
          <w:i w:val="false"/>
          <w:iCs w:val="false"/>
          <w:color w:val="1F2937"/>
          <w:sz w:val="22"/>
          <w:szCs w:val="22"/>
        </w:rPr>
        <w:t xml:space="preserve">Trois mois après avoir perdu 15 000 € dans un faux placement Forex, vous êtes contacté par un cabinet se présentant comme mandaté par la Banque de France, avec pour prétexte le recouvrement des sommes perdues par les victimes. Il demande 500 € de frais de dossier. (Scénario fictif illustratif.)</w:t>
      </w:r>
    </w:p>
    <w:p>
      <w:pPr>
        <w:spacing w:after="60" w:before="60"/>
      </w:pPr>
      <w:r>
        <w:t xml:space="preserve"/>
      </w:r>
    </w:p>
    <w:p>
      <w:pPr>
        <w:shd w:fill="F3F4F6" w:val="clear"/>
        <w:spacing w:after="120" w:before="120"/>
        <w:ind w:left="288" w:right="288"/>
      </w:pPr>
      <w:r>
        <w:rPr>
          <w:rFonts w:ascii="Times New Roman" w:cs="Times New Roman" w:eastAsia="Times New Roman" w:hAnsi="Times New Roman"/>
          <w:b/>
          <w:bCs/>
          <w:i w:val="false"/>
          <w:iCs w:val="false"/>
          <w:color w:val="1F2937"/>
          <w:sz w:val="22"/>
          <w:szCs w:val="22"/>
        </w:rPr>
        <w:t xml:space="preserve">📋 Proposition D</w:t>
      </w:r>
    </w:p>
    <w:p>
      <w:pPr>
        <w:spacing w:after="80" w:before="80"/>
      </w:pPr>
      <w:r>
        <w:rPr>
          <w:rFonts w:ascii="Times New Roman" w:cs="Times New Roman" w:eastAsia="Times New Roman" w:hAnsi="Times New Roman"/>
          <w:b w:val="false"/>
          <w:bCs w:val="false"/>
          <w:i w:val="false"/>
          <w:iCs w:val="false"/>
          <w:color w:val="1F2937"/>
          <w:sz w:val="22"/>
          <w:szCs w:val="22"/>
        </w:rPr>
        <w:t xml:space="preserve">Une société d'assurance-vie peu connue vous propose un contrat via une plateforme internet au design soigné. Taux fonds euros : 4,8 %. Elle figure dans les résultats Google et possède un numéro SIRET.</w:t>
      </w:r>
    </w:p>
    <w:p>
      <w:pPr>
        <w:spacing w:after="60" w:before="60"/>
      </w:pPr>
      <w:r>
        <w:t xml:space="preserve"/>
      </w:r>
    </w:p>
    <w:p>
      <w:pPr>
        <w:spacing w:after="80" w:before="80"/>
      </w:pPr>
      <w:r>
        <w:rPr>
          <w:rFonts w:ascii="Times New Roman" w:cs="Times New Roman" w:eastAsia="Times New Roman" w:hAnsi="Times New Roman"/>
          <w:b/>
          <w:bCs/>
          <w:i w:val="false"/>
          <w:iCs w:val="false"/>
          <w:color w:val="1F2937"/>
          <w:sz w:val="22"/>
          <w:szCs w:val="22"/>
        </w:rPr>
        <w:t xml:space="preserve">Piste de corrigé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A : signaux ①③④⑤⑥ cumulés. Famille : faux livret. Démarche : rechercher la société sur les listes noires AMF, vérifier son agrément sur REGAFI.</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B : signaux ①② (démarchage via pub ciblée) + absence de mention du risque. Famille : bien divers. Démarche : vérifier que l'opérateur dispose d'un numéro d'enregistrement AMF dans la catégorie « biens divers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C : signal ⑩ — arnaque au recouvrement (frappe les victimes déjà lésées). Ne jamais payer. Signaler à AMF Protect Épargne.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D : signal moins évident — la présence sur Google et le SIRET ne prouvent pas l'agrément. Démarche : vérifier sur REGAFI et sur les listes blanches AMF que la société est autorisée à proposer des contrats d'assurance-vie.</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Vérifier une société en 5 étapes</w:t>
      </w:r>
    </w:p>
    <w:p>
      <w:pPr>
        <w:spacing w:after="80" w:before="80"/>
      </w:pPr>
      <w:r>
        <w:rPr>
          <w:rFonts w:ascii="Times New Roman" w:cs="Times New Roman" w:eastAsia="Times New Roman" w:hAnsi="Times New Roman"/>
          <w:b w:val="false"/>
          <w:bCs w:val="false"/>
          <w:i w:val="false"/>
          <w:iCs w:val="false"/>
          <w:color w:val="1F2937"/>
          <w:sz w:val="22"/>
          <w:szCs w:val="22"/>
        </w:rPr>
        <w:t xml:space="preserve">Vous avez reçu une proposition de placement d'une société nommée « AlphaWealth Conseil ». Suivez la démarche étape par étape et notez ce que vous trouvez (ou ne trouvez pas) à chaque étape.</w:t>
      </w:r>
    </w:p>
    <w:p>
      <w:pPr>
        <w:spacing w:after="60" w:before="60"/>
      </w:pPr>
      <w:r>
        <w:t xml:space="preserve"/>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Étape 1 — Tapez le nom exact dans les listes noires AMF (URL disponible en section Ressources). Le nom y figure ? → STOP, arnaque probable.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Étape 2 — Vérifiez sur I-SCAN (accessible depuis la page listes noires AMF) si la société figure dans les blacklists d'un autre régulateur mondial.</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Étape 3 — Recherchez la société sur les listes blanches AMF (prestataires agréés) et sur le registre ORIAS (intermédiaires en assurances, banque, finance) : https://www.orias.fr.</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Étape 4 — Lancez une recherche web « [nom de la société] arnaque » et « [nom de la société] avis ». Consultez les forums spécialisés.</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Étape 5 — En cas de doute persistant, appelez Épargne Info Service au 01 53 45 62 00 avant tout versement.</w:t>
      </w:r>
    </w:p>
    <w:p>
      <w:pPr>
        <w:spacing w:after="60" w:before="60"/>
      </w:pPr>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Question de réflexion : que concluez-vous si la société n'est pas dans les listes noires, mais n'apparaît pas non plus dans les listes blanches ?</w:t>
      </w:r>
    </w:p>
    <w:p>
      <w:pPr>
        <w:shd w:fill="FFF3CD" w:val="clear"/>
        <w:spacing w:after="120" w:before="120"/>
        <w:ind w:left="288" w:right="288"/>
      </w:pPr>
      <w:r>
        <w:rPr>
          <w:rFonts w:ascii="Times New Roman" w:cs="Times New Roman" w:eastAsia="Times New Roman" w:hAnsi="Times New Roman"/>
          <w:b w:val="false"/>
          <w:bCs w:val="false"/>
          <w:i w:val="false"/>
          <w:iCs w:val="false"/>
          <w:color w:val="1F2937"/>
          <w:sz w:val="22"/>
          <w:szCs w:val="22"/>
        </w:rPr>
        <w:t xml:space="preserve">Réponse : l'absence des listes noires ne suffit pas. L'AMF l'indique explicitement : « vous devez tout de même vérifier qu'elle dispose des autorisations nécessaires pour exercer son activité en France. » Une société absente des deux listes = inconnu → prudence maximale.</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Décoder une offre de bien divers</w:t>
      </w:r>
    </w:p>
    <w:p>
      <w:pPr>
        <w:spacing w:after="80" w:before="80"/>
      </w:pPr>
      <w:r>
        <w:rPr>
          <w:rFonts w:ascii="Times New Roman" w:cs="Times New Roman" w:eastAsia="Times New Roman" w:hAnsi="Times New Roman"/>
          <w:b w:val="false"/>
          <w:bCs w:val="false"/>
          <w:i w:val="false"/>
          <w:iCs w:val="false"/>
          <w:color w:val="1F2937"/>
          <w:sz w:val="22"/>
          <w:szCs w:val="22"/>
        </w:rPr>
        <w:t xml:space="preserve">Voici un extrait (fictif) d'une plaquette commerciale pour un placement :</w:t>
      </w:r>
    </w:p>
    <w:p>
      <w:pPr>
        <w:spacing w:after="60" w:before="60"/>
      </w:pPr>
      <w:r>
        <w:t xml:space="preserve"/>
      </w:r>
    </w:p>
    <w:p>
      <w:pPr>
        <w:spacing w:after="80" w:before="80"/>
        <w:ind w:left="576"/>
      </w:pPr>
      <w:r>
        <w:rPr>
          <w:rFonts w:ascii="Times New Roman" w:cs="Times New Roman" w:eastAsia="Times New Roman" w:hAnsi="Times New Roman"/>
          <w:i/>
          <w:iCs/>
          <w:color w:val="1B3A6B"/>
          <w:sz w:val="22"/>
          <w:szCs w:val="22"/>
        </w:rPr>
        <w:t xml:space="preserve">« Investissez dans des bouteilles de whisky single malt millésimées. Rendement moyen constaté : 11 % par an sur 5 ans. Capital sécurisé, stockage sous douane, revente garantie sur notre plateforme partenaire. Nombre de places limité : réservez avant le 15 octobre. »</w:t>
      </w:r>
    </w:p>
    <w:p>
      <w:pPr>
        <w:spacing w:after="60" w:before="60"/>
      </w:pPr>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1. Recensez tous les éléments de ce texte qui correspondent à un ou plusieurs signaux d'alerte de la liste officielle.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2. Quelles informations OBLIGATOIRES pour un opérateur en biens divers sont absentes de cette plaquette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3. Le terme « capital sécurisé » peut-il être légalement utilisé pour ce type de placement ? Justifiez.</w:t>
      </w:r>
    </w:p>
    <w:p>
      <w:pPr>
        <w:spacing w:after="60" w:before="60"/>
      </w:pPr>
      <w:r>
        <w:t xml:space="preserve"/>
      </w:r>
    </w:p>
    <w:p>
      <w:pPr>
        <w:spacing w:after="80" w:before="80"/>
      </w:pPr>
      <w:r>
        <w:rPr>
          <w:rFonts w:ascii="Times New Roman" w:cs="Times New Roman" w:eastAsia="Times New Roman" w:hAnsi="Times New Roman"/>
          <w:b/>
          <w:bCs/>
          <w:i w:val="false"/>
          <w:iCs w:val="false"/>
          <w:color w:val="1F2937"/>
          <w:sz w:val="22"/>
          <w:szCs w:val="22"/>
        </w:rPr>
        <w:t xml:space="preserve">Piste de corrigé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1. Signaux présents : ① (rendement élevé annoncé), ③ (urgence), absence totale de mention du risque de perte en capital.</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2. Absences : numéro d'enregistrement AMF comme opérateur en biens divers, Document d’Information Clés (DIC), mention explicite des risques.</w:t>
      </w:r>
      <w:r>
        <w:rPr>
          <w:rFonts w:ascii="Times New Roman" w:cs="Times New Roman" w:eastAsia="Times New Roman" w:hAnsi="Times New Roman"/>
          <w:i/>
          <w:iCs/>
          <w:color w:val="6B7280"/>
          <w:sz w:val="18"/>
          <w:szCs w:val="18"/>
        </w:rPr>
        <w:t xml:space="preserve">   [Corrigé le 12/10/2026 : « DIP » était un acronyme inexistant. La source listée du 02/07/2026 écrit deux fois « Document d’Information Clés (DIC) », standardisé au niveau européen — à deux paragraphes du passage effectivement utilisé.]</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3. Non : les biens divers ne sont couverts par aucun fonds de garantie. L'expression « capital sécurisé » est trompeuse pour un actif dont la valeur dépend du marché secondaire du whisky. Un opérateur agréé AMF a l'obligation de mentionner le risque de perte.</w:t>
      </w:r>
    </w:p>
    <w:p>
      <w:pPr>
        <w:spacing w:after="60" w:before="60"/>
      </w:pPr>
      <w:r>
        <w:t xml:space="preserve"/>
      </w:r>
    </w:p>
    <w:p>
      <w:pPr>
        <w:pStyle w:val="Heading2"/>
        <w:spacing w:after="120" w:before="320"/>
      </w:pPr>
      <w:r>
        <w:rPr>
          <w:rFonts w:ascii="Times New Roman" w:cs="Times New Roman" w:eastAsia="Times New Roman" w:hAnsi="Times New Roman"/>
          <w:b/>
          <w:bCs/>
          <w:color w:val="1B3A6B"/>
          <w:sz w:val="30"/>
          <w:szCs w:val="30"/>
        </w:rPr>
        <w:t xml:space="preserve">🎯 Challenge — Construire votre checklist personnelle</w:t>
      </w:r>
    </w:p>
    <w:p>
      <w:pPr>
        <w:spacing w:after="80" w:before="80"/>
      </w:pPr>
      <w:r>
        <w:rPr>
          <w:rFonts w:ascii="Times New Roman" w:cs="Times New Roman" w:eastAsia="Times New Roman" w:hAnsi="Times New Roman"/>
          <w:b w:val="false"/>
          <w:bCs w:val="false"/>
          <w:i w:val="false"/>
          <w:iCs w:val="false"/>
          <w:color w:val="1F2937"/>
          <w:sz w:val="22"/>
          <w:szCs w:val="22"/>
        </w:rPr>
        <w:t xml:space="preserve">Sur la base de cette leçon et des ressources disponibles, construisez votre propre « checklist avant tout placement » en 10 points maximum. Elle doit être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Opérationnelle : chaque point est une action concrète, pas un principe général.</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Vérifiable : pour chaque point, vous pouvez écrire OUI / NON / À VÉRIFIER.</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Adaptée à votre profil : à 61 ans, avec un horizon de 7-8 ans, quels points méritent une attention particulière par rapport à un profil jeune ?</w:t>
      </w:r>
    </w:p>
    <w:p>
      <w:pPr>
        <w:spacing w:after="60" w:before="60"/>
      </w:pPr>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Critères d'une bonne checklist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Elle couvre au moins : vérification de l'agrément, test des listes noires, analyse du rendement annoncé vs risque, conditions de retrait, présence d'un contrat écrit.</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Elle inclut au moins un point spécifique aux biens divers et un point sur les sollicitations non sollicitées.</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Elle se conclut par une ligne : « En cas de doute, j'appelle le 01 53 45 62 00 avant tout versement. »</w:t>
      </w:r>
    </w:p>
    <w:p>
      <w:pPr>
        <w:spacing w:after="60" w:before="60"/>
      </w:pPr>
      <w:r>
        <w:t xml:space="preserve"/>
      </w:r>
    </w:p>
    <w:p>
      <w:pPr>
        <w:pStyle w:val="Heading2"/>
        <w:spacing w:after="120" w:before="320"/>
      </w:pPr>
      <w:r>
        <w:rPr>
          <w:rFonts w:ascii="Times New Roman" w:cs="Times New Roman" w:eastAsia="Times New Roman" w:hAnsi="Times New Roman"/>
          <w:b/>
          <w:bCs/>
          <w:color w:val="1B3A6B"/>
          <w:sz w:val="30"/>
          <w:szCs w:val="30"/>
        </w:rPr>
        <w:t xml:space="preserve">🌉 Pont pro (optionnel)</w:t>
      </w:r>
    </w:p>
    <w:p>
      <w:pPr>
        <w:spacing w:after="80" w:before="80"/>
      </w:pPr>
      <w:r>
        <w:rPr>
          <w:rFonts w:ascii="Times New Roman" w:cs="Times New Roman" w:eastAsia="Times New Roman" w:hAnsi="Times New Roman"/>
          <w:b w:val="false"/>
          <w:bCs w:val="false"/>
          <w:i w:val="false"/>
          <w:iCs w:val="false"/>
          <w:color w:val="1F2937"/>
          <w:sz w:val="22"/>
          <w:szCs w:val="22"/>
        </w:rPr>
        <w:t xml:space="preserve">Les personnes accompagnées en foyer d'hébergement — et parfois le personnel lui-même — peuvent être ciblées par des démarcheurs frauduleux, notamment par téléphone ou via les réseaux sociaux. En tant que chef de service, deux points d'attention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Les personnes en situation de handicap mental ou psychique peuvent être plus vulnérables face aux techniques de manipulation (urgence, autorité, affectivité). Sensibiliser les équipes AES/ME/ES aux signaux d'alerte les plus courants fait partie de la prévention de la maltraitance financière.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Si un résident reçoit des sollicitations répétées de prestataires financiers non identifiés, cela peut être signalé à Épargne Info Service (01 53 45 62 00) ou à la Banque de France via ABE Infoservice.</w:t>
      </w:r>
    </w:p>
    <w:p>
      <w:pPr>
        <w:spacing w:after="60" w:before="60"/>
      </w:pPr>
      <w:r>
        <w:t xml:space="preserve"/>
      </w:r>
    </w:p>
    <w:p>
      <w:pPr>
        <w:pStyle w:val="Heading2"/>
        <w:spacing w:after="120" w:before="320"/>
      </w:pPr>
      <w:r>
        <w:rPr>
          <w:rFonts w:ascii="Times New Roman" w:cs="Times New Roman" w:eastAsia="Times New Roman" w:hAnsi="Times New Roman"/>
          <w:b/>
          <w:bCs/>
          <w:color w:val="1B3A6B"/>
          <w:sz w:val="30"/>
          <w:szCs w:val="30"/>
        </w:rPr>
        <w:t xml:space="preserve">📚 Ressources cliquables</w:t>
      </w:r>
    </w:p>
    <w:p>
      <w:pPr>
        <w:pStyle w:val="ListParagraph"/>
        <w:numPr>
          <w:ilvl w:val="0"/>
          <w:numId w:val="1"/>
        </w:numPr>
        <w:spacing w:after="80" w:before="80"/>
      </w:pPr>
      <w:hyperlink w:history="1" r:id="rIdu4ouigfirvzqqm-9t1i_s">
        <w:r>
          <w:rPr>
            <w:rFonts w:ascii="Times New Roman" w:cs="Times New Roman" w:eastAsia="Times New Roman" w:hAnsi="Times New Roman"/>
            <w:color w:val="1155CC"/>
            <w:sz w:val="22"/>
            <w:szCs w:val="22"/>
            <w:u w:val="single"/>
          </w:rPr>
          <w:t xml:space="preserve">AMF Protect Épargne — Signaler une arnaque, vérifier, consulter les alertes</w:t>
        </w:r>
      </w:hyperlink>
      <w:r>
        <w:rPr>
          <w:rFonts w:ascii="Times New Roman" w:cs="Times New Roman" w:eastAsia="Times New Roman" w:hAnsi="Times New Roman"/>
          <w:color w:val="1F2937"/>
          <w:sz w:val="22"/>
          <w:szCs w:val="22"/>
        </w:rPr>
        <w:t xml:space="preserve"> — point d'entrée officiel de l'AMF. ⚠️ En lecture automatisée, la page ne rend que 1 224 caractères utiles pour 21 119 octets — une barre de navigation et quatre titres d'actualités : son contenu est chargé en JavaScript et doit être lu dans un navigateur</w:t>
      </w:r>
    </w:p>
    <w:p>
      <w:pPr>
        <w:pStyle w:val="ListParagraph"/>
        <w:numPr>
          <w:ilvl w:val="0"/>
          <w:numId w:val="1"/>
        </w:numPr>
        <w:spacing w:after="80" w:before="80"/>
      </w:pPr>
      <w:hyperlink w:history="1" r:id="rIdob6mrdz0zmi3gqihtx21i">
        <w:r>
          <w:rPr>
            <w:rFonts w:ascii="Times New Roman" w:cs="Times New Roman" w:eastAsia="Times New Roman" w:hAnsi="Times New Roman"/>
            <w:color w:val="1155CC"/>
            <w:sz w:val="22"/>
            <w:szCs w:val="22"/>
            <w:u w:val="single"/>
          </w:rPr>
          <w:t xml:space="preserve">AMF — Listes noires et mises en garde (options binaires, Forex, crypto, biens divers, usurpations)</w:t>
        </w:r>
      </w:hyperlink>
      <w:r>
        <w:rPr>
          <w:rFonts w:ascii="Times New Roman" w:cs="Times New Roman" w:eastAsia="Times New Roman" w:hAnsi="Times New Roman"/>
          <w:color w:val="1F2937"/>
          <w:sz w:val="22"/>
          <w:szCs w:val="22"/>
        </w:rPr>
        <w:t xml:space="preserve"> — Page téléchargeable, mise à jour régulièrement — consulté le 03/10/2026</w:t>
      </w:r>
    </w:p>
    <w:p>
      <w:pPr>
        <w:pStyle w:val="ListParagraph"/>
        <w:numPr>
          <w:ilvl w:val="0"/>
          <w:numId w:val="1"/>
        </w:numPr>
        <w:spacing w:after="80" w:before="80"/>
      </w:pPr>
      <w:hyperlink w:history="1" r:id="rIdb9anoaibwz6mdwisfckko">
        <w:r>
          <w:rPr>
            <w:rFonts w:ascii="Times New Roman" w:cs="Times New Roman" w:eastAsia="Times New Roman" w:hAnsi="Times New Roman"/>
            <w:color w:val="1155CC"/>
            <w:sz w:val="22"/>
            <w:szCs w:val="22"/>
            <w:u w:val="single"/>
          </w:rPr>
          <w:t xml:space="preserve">AMF — Listes blanches des acteurs autorisés (vérifier qu'un professionnel est agréé)</w:t>
        </w:r>
      </w:hyperlink>
      <w:r>
        <w:rPr>
          <w:rFonts w:ascii="Times New Roman" w:cs="Times New Roman" w:eastAsia="Times New Roman" w:hAnsi="Times New Roman"/>
          <w:color w:val="1F2937"/>
          <w:sz w:val="22"/>
          <w:szCs w:val="22"/>
        </w:rPr>
        <w:t xml:space="preserve"> — Consulté le 03/10/2026</w:t>
      </w:r>
    </w:p>
    <w:p>
      <w:pPr>
        <w:pStyle w:val="ListParagraph"/>
        <w:numPr>
          <w:ilvl w:val="0"/>
          <w:numId w:val="1"/>
        </w:numPr>
        <w:spacing w:after="80" w:before="80"/>
      </w:pPr>
      <w:hyperlink w:history="1" r:id="rId7miuz8zvfa7kgidjixlk_">
        <w:r>
          <w:rPr>
            <w:rFonts w:ascii="Times New Roman" w:cs="Times New Roman" w:eastAsia="Times New Roman" w:hAnsi="Times New Roman"/>
            <w:color w:val="1155CC"/>
            <w:sz w:val="22"/>
            <w:szCs w:val="22"/>
            <w:u w:val="single"/>
          </w:rPr>
          <w:t xml:space="preserve">ABE Infoservice — Prévention des arnaques financières (AMF / ACPR / Banque de France)</w:t>
        </w:r>
      </w:hyperlink>
      <w:r>
        <w:rPr>
          <w:rFonts w:ascii="Times New Roman" w:cs="Times New Roman" w:eastAsia="Times New Roman" w:hAnsi="Times New Roman"/>
          <w:color w:val="1F2937"/>
          <w:sz w:val="22"/>
          <w:szCs w:val="22"/>
        </w:rPr>
        <w:t xml:space="preserve"> — page d'orientation. ⚠️ Les trois rubriques citées sont des intitulés de son sommaire et de son menu, non du contenu lu : aucun des dossiers qu'elle liste n'a été ouvert</w:t>
      </w:r>
      <w:r>
        <w:rPr>
          <w:rFonts w:ascii="Times New Roman" w:cs="Times New Roman" w:eastAsia="Times New Roman" w:hAnsi="Times New Roman"/>
          <w:i/>
          <w:iCs/>
          <w:color w:val="6B7280"/>
          <w:sz w:val="18"/>
          <w:szCs w:val="18"/>
        </w:rPr>
        <w:t xml:space="preserve">   [Corrigé le 12/10/2026 : les deux lignes décrivaient le mobilier de leurs sites comme leur contenu. Mesures du 03/10/2026, confirmées le 12/10/2026 : protectepargne.amf-france.org rend 1 224 caractères utiles, abe-infoservice.fr/fr/prevention-arnaques 5 826 dont la quasi-totalité est le menu, son contenu propre étant une phrase et sept liens. Conséquence : les sept familles d'arnaques du tableau de cette leçon, dont le système de Ponzi et l'arnaque au recouvrement qui fonde la proposition C de l'exercice 1, ne proviennent d'aucune des six sources. Elles sont justes et elles sont sans source.]</w:t>
      </w:r>
    </w:p>
    <w:p>
      <w:pPr>
        <w:pStyle w:val="ListParagraph"/>
        <w:numPr>
          <w:ilvl w:val="0"/>
          <w:numId w:val="1"/>
        </w:numPr>
        <w:spacing w:after="80" w:before="80"/>
      </w:pPr>
      <w:hyperlink w:history="1" r:id="rIdm1oi4tl7t3hs3xqu7zw0_">
        <w:r>
          <w:rPr>
            <w:rFonts w:ascii="Times New Roman" w:cs="Times New Roman" w:eastAsia="Times New Roman" w:hAnsi="Times New Roman"/>
            <w:color w:val="1155CC"/>
            <w:sz w:val="22"/>
            <w:szCs w:val="22"/>
            <w:u w:val="single"/>
          </w:rPr>
          <w:t xml:space="preserve">La Finance Pour Tous — Listes noires AMF/ACPR : cryptoactifs, Forex, livret, usurpation (15 avril 2026)</w:t>
        </w:r>
      </w:hyperlink>
      <w:r>
        <w:rPr>
          <w:rFonts w:ascii="Times New Roman" w:cs="Times New Roman" w:eastAsia="Times New Roman" w:hAnsi="Times New Roman"/>
          <w:color w:val="1F2937"/>
          <w:sz w:val="22"/>
          <w:szCs w:val="22"/>
        </w:rPr>
        <w:t xml:space="preserve"> — Chiffres sur les pertes moyennes et les profils de victimes — consulté le 03/10/2026</w:t>
      </w:r>
    </w:p>
    <w:p>
      <w:pPr>
        <w:pStyle w:val="ListParagraph"/>
        <w:numPr>
          <w:ilvl w:val="0"/>
          <w:numId w:val="1"/>
        </w:numPr>
        <w:spacing w:after="80" w:before="80"/>
      </w:pPr>
      <w:hyperlink w:history="1" r:id="rIdegl2mepluib9f8hzh5tg8">
        <w:r>
          <w:rPr>
            <w:rFonts w:ascii="Times New Roman" w:cs="Times New Roman" w:eastAsia="Times New Roman" w:hAnsi="Times New Roman"/>
            <w:color w:val="1155CC"/>
            <w:sz w:val="22"/>
            <w:szCs w:val="22"/>
            <w:u w:val="single"/>
          </w:rPr>
          <w:t xml:space="preserve">La Finance Pour Tous — Arnaques et produits structurés : le double combat du Pôle commun AMF-ACPR (2 juillet 2026)</w:t>
        </w:r>
      </w:hyperlink>
      <w:r>
        <w:rPr>
          <w:rFonts w:ascii="Times New Roman" w:cs="Times New Roman" w:eastAsia="Times New Roman" w:hAnsi="Times New Roman"/>
          <w:color w:val="1F2937"/>
          <w:sz w:val="22"/>
          <w:szCs w:val="22"/>
        </w:rPr>
        <w:t xml:space="preserve"> — Mécanismes pump &amp; dump, rug pull, finfluenceurs, produits structurés — consulté le 03/10/2026</w:t>
      </w:r>
    </w:p>
    <w:p>
      <w:pPr>
        <w:spacing w:after="60" w:before="60"/>
      </w:pPr>
      <w:r>
        <w:t xml:space="preserve"/>
      </w:r>
    </w:p>
    <w:p>
      <w:pPr>
        <w:pStyle w:val="Heading2"/>
        <w:spacing w:after="120" w:before="320"/>
      </w:pPr>
      <w:r>
        <w:rPr>
          <w:rFonts w:ascii="Times New Roman" w:cs="Times New Roman" w:eastAsia="Times New Roman" w:hAnsi="Times New Roman"/>
          <w:b/>
          <w:bCs/>
          <w:color w:val="1B3A6B"/>
          <w:sz w:val="30"/>
          <w:szCs w:val="30"/>
        </w:rPr>
        <w:t xml:space="preserve">👤 Pour aller plus loin avec un professionnel</w:t>
      </w:r>
    </w:p>
    <w:p>
      <w:pPr>
        <w:spacing w:after="80" w:before="80"/>
      </w:pPr>
      <w:r>
        <w:rPr>
          <w:rFonts w:ascii="Times New Roman" w:cs="Times New Roman" w:eastAsia="Times New Roman" w:hAnsi="Times New Roman"/>
          <w:b w:val="false"/>
          <w:bCs w:val="false"/>
          <w:i w:val="false"/>
          <w:iCs w:val="false"/>
          <w:color w:val="1F2937"/>
          <w:sz w:val="22"/>
          <w:szCs w:val="22"/>
        </w:rPr>
        <w:t xml:space="preserve">Questions concrètes à poser à un conseiller en gestion de patrimoine (CGP) ou un CIF agréé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 Quel est votre numéro ORIAS ou AMF ? Puis-je le vérifier sur les registres officiels ?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 Pour ce placement, quel est le scénario de perte maximale, et sous quelle forme puis-je le consulter par écrit dans le document d'information ?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 Quels sont vos liens d'intérêt éventuels avec l'émetteur ou la plateforme que vous me proposez, et comment sont-ils rémunérés ? »</w:t>
      </w:r>
    </w:p>
    <w:p>
      <w:pPr>
        <w:spacing w:after="60" w:before="60"/>
      </w:pPr>
      <w:r>
        <w:t xml:space="preserve"/>
      </w:r>
    </w:p>
    <w:p>
      <w:pPr>
        <w:pStyle w:val="Heading2"/>
        <w:spacing w:after="120" w:before="320"/>
      </w:pPr>
      <w:r>
        <w:rPr>
          <w:rFonts w:ascii="Times New Roman" w:cs="Times New Roman" w:eastAsia="Times New Roman" w:hAnsi="Times New Roman"/>
          <w:b/>
          <w:bCs/>
          <w:color w:val="1B3A6B"/>
          <w:sz w:val="30"/>
          <w:szCs w:val="30"/>
        </w:rPr>
        <w:t xml:space="preserve">🔜 Prochaine leçon</w:t>
      </w:r>
    </w:p>
    <w:p>
      <w:pPr>
        <w:spacing w:after="80" w:before="80"/>
      </w:pPr>
      <w:r>
        <w:rPr>
          <w:rFonts w:ascii="Times New Roman" w:cs="Times New Roman" w:eastAsia="Times New Roman" w:hAnsi="Times New Roman"/>
          <w:b w:val="false"/>
          <w:bCs w:val="false"/>
          <w:i w:val="false"/>
          <w:iCs w:val="false"/>
          <w:color w:val="1F2937"/>
          <w:sz w:val="22"/>
          <w:szCs w:val="22"/>
        </w:rPr>
        <w:t xml:space="preserve">Leçon 18 / 20 — Reconstituer et estimer ses droits à la retraite</w:t>
      </w:r>
    </w:p>
    <w:p>
      <w:pPr>
        <w:spacing w:after="80" w:before="80"/>
      </w:pPr>
      <w:r>
        <w:rPr>
          <w:rFonts w:ascii="Times New Roman" w:cs="Times New Roman" w:eastAsia="Times New Roman" w:hAnsi="Times New Roman"/>
          <w:b w:val="false"/>
          <w:bCs w:val="false"/>
          <w:i w:val="false"/>
          <w:iCs w:val="false"/>
          <w:color w:val="1F2937"/>
          <w:sz w:val="22"/>
          <w:szCs w:val="22"/>
        </w:rPr>
        <w:t xml:space="preserve">Comment consulter son relevé de carrière, utiliser Mon Compte Retraite, comprendre les points AGIRC-ARRCO, interpréter l'Estimation Indicative Globale (EIG), et identifier d'éventuels oublis ou erreurs à corriger avant la liquidation.</w:t>
      </w:r>
    </w:p>
    <w:p>
      <w:pPr>
        <w:spacing w:after="80" w:before="80"/>
      </w:pPr>
      <w:r>
        <w:rPr>
          <w:rFonts w:ascii="Times New Roman" w:cs="Times New Roman" w:eastAsia="Times New Roman" w:hAnsi="Times New Roman"/>
          <w:b w:val="false"/>
          <w:bCs w:val="false"/>
          <w:i w:val="false"/>
          <w:iCs w:val="false"/>
          <w:color w:val="1F2937"/>
          <w:sz w:val="22"/>
          <w:szCs w:val="22"/>
        </w:rPr>
        <w:t xml:space="preserve">Thèmes annoncés : relevé de carrière, Mon Compte Retraite, points AGIRC-ARRCO, Estimation Indicative Globale (EIG), simulation retraite, corrections et rachats de trimestres.</w:t>
      </w:r>
    </w:p>
    <w:p>
      <w:pPr>
        <w:spacing w:before="360" w:after="120"/>
      </w:pPr>
      <w:r>
        <w:rPr>
          <w:rFonts w:ascii="Times New Roman" w:cs="Times New Roman" w:eastAsia="Times New Roman" w:hAnsi="Times New Roman"/>
          <w:b/>
          <w:bCs/>
          <w:color w:val="1F2937"/>
          <w:sz w:val="26"/>
          <w:szCs w:val="26"/>
        </w:rPr>
        <w:t xml:space="preserve">📝 Journal des corrections</w:t>
      </w:r>
    </w:p>
    <w:p>
      <w:pPr>
        <w:spacing w:after="80"/>
      </w:pPr>
      <w:r>
        <w:rPr>
          <w:rFonts w:ascii="Times New Roman" w:cs="Times New Roman" w:eastAsia="Times New Roman" w:hAnsi="Times New Roman"/>
          <w:color w:val="1F2937"/>
          <w:sz w:val="22"/>
          <w:szCs w:val="22"/>
        </w:rPr>
        <w:t xml:space="preserve">Corrections apportées le 12/10/2026 après réouverture des six sources listées avec un agent de navigateur, plus les registres REGAFI et ORIAS. Les libellés d'origine sont conservés ci-dessous.</w:t>
      </w:r>
    </w:p>
    <w:p>
      <w:pPr>
        <w:spacing w:after="80"/>
      </w:pPr>
      <w:r>
        <w:rPr>
          <w:rFonts w:ascii="Times New Roman" w:cs="Times New Roman" w:eastAsia="Times New Roman" w:hAnsi="Times New Roman"/>
          <w:color w:val="1F2937"/>
          <w:sz w:val="20"/>
          <w:szCs w:val="20"/>
        </w:rPr>
        <w:t xml:space="preserve">• Signal ① — la « règle absolue » entre guillemets ne figurait sur aucune page citée, et affaiblissait ses sources : « sans risques élevés » au lieu de « sans risque ».</w:t>
      </w:r>
    </w:p>
    <w:p>
      <w:pPr>
        <w:spacing w:after="80"/>
      </w:pPr>
      <w:r>
        <w:rPr>
          <w:rFonts w:ascii="Times New Roman" w:cs="Times New Roman" w:eastAsia="Times New Roman" w:hAnsi="Times New Roman"/>
          <w:color w:val="1F2937"/>
          <w:sz w:val="20"/>
          <w:szCs w:val="20"/>
        </w:rPr>
        <w:t xml:space="preserve">• Signaux ④, ⑤, ⑦, ⑧, ⑩ — annoncés comme issus de l'AMF, de l'ABE Infoservice et de La Finance Pour Tous : zéro occurrence sur les six pages. Chacun porte désormais sa mention de synthèse.</w:t>
      </w:r>
    </w:p>
    <w:p>
      <w:pPr>
        <w:spacing w:after="80"/>
      </w:pPr>
      <w:r>
        <w:rPr>
          <w:rFonts w:ascii="Times New Roman" w:cs="Times New Roman" w:eastAsia="Times New Roman" w:hAnsi="Times New Roman"/>
          <w:color w:val="1F2937"/>
          <w:sz w:val="20"/>
          <w:szCs w:val="20"/>
        </w:rPr>
        <w:t xml:space="preserve">• Biens divers — la liste noire AMF compte treize rubriques, non onze : « crypto-actif » et « offre sur objet illicite » manquaient.</w:t>
      </w:r>
    </w:p>
    <w:p>
      <w:pPr>
        <w:spacing w:after="80"/>
      </w:pPr>
      <w:r>
        <w:rPr>
          <w:rFonts w:ascii="Times New Roman" w:cs="Times New Roman" w:eastAsia="Times New Roman" w:hAnsi="Times New Roman"/>
          <w:color w:val="1F2937"/>
          <w:sz w:val="20"/>
          <w:szCs w:val="20"/>
        </w:rPr>
        <w:t xml:space="preserve">• Chiffres — « 16 % des Français » devient « 16 % des personnes sondées » ; les pertes moyennes portent leur date réelle (3e trimestre 2024) et le « près de » de la page.</w:t>
      </w:r>
    </w:p>
    <w:p>
      <w:pPr>
        <w:spacing w:after="80"/>
      </w:pPr>
      <w:r>
        <w:rPr>
          <w:rFonts w:ascii="Times New Roman" w:cs="Times New Roman" w:eastAsia="Times New Roman" w:hAnsi="Times New Roman"/>
          <w:color w:val="1F2937"/>
          <w:sz w:val="20"/>
          <w:szCs w:val="20"/>
        </w:rPr>
        <w:t xml:space="preserve">• Exercice 3 — « document d'information réglementaire (DIP) » devient « Document d’Information Clés (DIC) », libellé de la source listée.</w:t>
      </w:r>
    </w:p>
    <w:p>
      <w:pPr>
        <w:spacing w:after="80"/>
      </w:pPr>
      <w:r>
        <w:rPr>
          <w:rFonts w:ascii="Times New Roman" w:cs="Times New Roman" w:eastAsia="Times New Roman" w:hAnsi="Times New Roman"/>
          <w:color w:val="1F2937"/>
          <w:sz w:val="20"/>
          <w:szCs w:val="20"/>
        </w:rPr>
        <w:t xml:space="preserve">• Vocabulaire — « opérateur en biens divers » et « opérateur agréé AMF » ne figurent sur aucune page ; l'AMF écrit « offres enregistrées » et réserve « autorisés / agréés » aux PSCA et PSFP.</w:t>
      </w:r>
    </w:p>
    <w:p>
      <w:pPr>
        <w:spacing w:after="80"/>
      </w:pPr>
      <w:r>
        <w:rPr>
          <w:rFonts w:ascii="Times New Roman" w:cs="Times New Roman" w:eastAsia="Times New Roman" w:hAnsi="Times New Roman"/>
          <w:color w:val="1F2937"/>
          <w:sz w:val="20"/>
          <w:szCs w:val="20"/>
        </w:rPr>
        <w:t xml:space="preserve">• Outils — REGAFI et ORIAS étaient aiguillés vers les listes blanches de l'AMF, où ils ne figurent pas. Les trois registres sont désormais distingués.</w:t>
      </w:r>
    </w:p>
    <w:p>
      <w:pPr>
        <w:spacing w:after="80"/>
      </w:pPr>
      <w:r>
        <w:rPr>
          <w:rFonts w:ascii="Times New Roman" w:cs="Times New Roman" w:eastAsia="Times New Roman" w:hAnsi="Times New Roman"/>
          <w:color w:val="1F2937"/>
          <w:sz w:val="20"/>
          <w:szCs w:val="20"/>
        </w:rPr>
        <w:t xml:space="preserve">• Ressources — les lignes AMF Protect Épargne et ABE Infoservice décrivaient le menu de leurs sites comme leur contenu ; les sept familles d'arnaques du tableau restent sans source citée.</w:t>
      </w:r>
    </w:p>
    <w:p>
      <w:pPr>
        <w:spacing w:after="80"/>
      </w:pPr>
      <w:r>
        <w:rPr>
          <w:rFonts w:ascii="Times New Roman" w:cs="Times New Roman" w:eastAsia="Times New Roman" w:hAnsi="Times New Roman"/>
          <w:color w:val="1F2937"/>
          <w:sz w:val="20"/>
          <w:szCs w:val="20"/>
        </w:rPr>
        <w:t xml:space="preserve">• Théorie — un encadré signale que les produits légaux mais dangereux, annoncés par le titre, ne sont pas traités, et nomme la source listée qui les couvre.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4ouigfirvzqqm-9t1i_s" Type="http://schemas.openxmlformats.org/officeDocument/2006/relationships/hyperlink" Target="https://protectepargne.amf-france.org/" TargetMode="External"/><Relationship Id="rIdob6mrdz0zmi3gqihtx21i" Type="http://schemas.openxmlformats.org/officeDocument/2006/relationships/hyperlink" Target="https://www.amf-france.org/fr/espace-epargnants/proteger-son-epargne/listes-noires-et-mises-en-garde" TargetMode="External"/><Relationship Id="rIdb9anoaibwz6mdwisfckko" Type="http://schemas.openxmlformats.org/officeDocument/2006/relationships/hyperlink" Target="https://www.amf-france.org/fr/espace-epargnants/proteger-son-epargne/listes-blanches" TargetMode="External"/><Relationship Id="rId7miuz8zvfa7kgidjixlk_" Type="http://schemas.openxmlformats.org/officeDocument/2006/relationships/hyperlink" Target="https://www.abe-infoservice.fr/fr/prevention-arnaques" TargetMode="External"/><Relationship Id="rIdm1oi4tl7t3hs3xqu7zw0_" Type="http://schemas.openxmlformats.org/officeDocument/2006/relationships/hyperlink" Target="https://www.lafinancepourtous.com/2026/04/15/cryptoactifs-forex-livret-bancaire-usurpation-didentite-les-listes-noires-de-lamf-et-de-lacpr/" TargetMode="External"/><Relationship Id="rIdegl2mepluib9f8hzh5tg8" Type="http://schemas.openxmlformats.org/officeDocument/2006/relationships/hyperlink" Target="https://www.lafinancepourtous.com/2026/07/02/arnaques-et-produits-structures-le-double-combat-du-pole-commun-amf-acpr/"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2026-10-03T06:12:59.988Z</dcterms:created>
  <dcterms:modified xsi:type="dcterms:W3CDTF">2026-10-03T06:13:00.052Z</dcterms:modified>
</cp:coreProperties>
</file>

<file path=docProps/custom.xml><?xml version="1.0" encoding="utf-8"?>
<Properties xmlns="http://schemas.openxmlformats.org/officeDocument/2006/custom-properties" xmlns:vt="http://schemas.openxmlformats.org/officeDocument/2006/docPropsVTypes"/>
</file>