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Calibri" w:cs="Calibri" w:eastAsia="Calibri" w:hAnsi="Calibri"/>
          <w:b/>
          <w:bCs/>
          <w:color w:val="1B3A6B"/>
          <w:sz w:val="56"/>
          <w:szCs w:val="56"/>
        </w:rPr>
        <w:t xml:space="preserve">Veille AI Act — Compte-rendu</w:t>
      </w:r>
    </w:p>
    <w:p>
      <w:pPr>
        <w:spacing w:after="80"/>
        <w:jc w:val="center"/>
      </w:pPr>
      <w:r>
        <w:rPr>
          <w:rFonts w:ascii="Calibri" w:cs="Calibri" w:eastAsia="Calibri" w:hAnsi="Calibri"/>
          <w:color w:val="6B7280"/>
          <w:sz w:val="26"/>
          <w:szCs w:val="26"/>
        </w:rPr>
        <w:t xml:space="preserve">11 septembre 2026</w:t>
      </w:r>
    </w:p>
    <w:p>
      <w:r>
        <w:t xml:space="preserve"/>
      </w:r>
    </w:p>
    <w:p>
      <w:pPr>
        <w:pBdr>
          <w:top w:val="single" w:color="16A34A" w:sz="6"/>
          <w:bottom w:val="single" w:color="16A34A" w:sz="6"/>
        </w:pBdr>
        <w:spacing w:after="200" w:before="80"/>
        <w:jc w:val="center"/>
      </w:pPr>
      <w:r>
        <w:rPr>
          <w:rFonts w:ascii="Calibri" w:cs="Calibri" w:eastAsia="Calibri" w:hAnsi="Calibri"/>
          <w:b/>
          <w:bCs/>
          <w:color w:val="16A34A"/>
          <w:sz w:val="28"/>
          <w:szCs w:val="28"/>
        </w:rPr>
        <w:t xml:space="preserve">🟢  NIVEAU D'ALERTE : RIEN DE CRITIQUE — SEMAINE DE CONSOLIDATION</w:t>
      </w:r>
    </w:p>
    <w:p>
      <w:pPr>
        <w:spacing w:after="100"/>
      </w:pPr>
      <w:r>
        <w:rPr>
          <w:rFonts w:ascii="Calibri" w:cs="Calibri" w:eastAsia="Calibri" w:hAnsi="Calibri"/>
          <w:b/>
          <w:bCs/>
          <w:i w:val="false"/>
          <w:iCs w:val="false"/>
          <w:color w:val="1F2937"/>
          <w:sz w:val="22"/>
          <w:szCs w:val="22"/>
        </w:rPr>
        <w:t xml:space="preserve">Fenêtre couverte : 4 septembre 2026 → 11 septembre 2026 (J-7 à J)</w:t>
      </w:r>
    </w:p>
    <w:p>
      <w:pPr>
        <w:spacing w:after="100"/>
      </w:pPr>
      <w:r>
        <w:rPr>
          <w:rFonts w:ascii="Calibri" w:cs="Calibri" w:eastAsia="Calibri" w:hAnsi="Calibri"/>
          <w:b w:val="false"/>
          <w:bCs w:val="false"/>
          <w:i w:val="false"/>
          <w:iCs w:val="false"/>
          <w:color w:val="6B7280"/>
          <w:sz w:val="22"/>
          <w:szCs w:val="22"/>
        </w:rPr>
        <w:t xml:space="preserve">Sources documentaires consultées : 13 listées — 11 ouvertes et exploitées (✅), 2 non extraites par l'agent du job (⚠️). ⚠️ Décompte corrigé le 12/09/2026 — voir le journal des corrections.</w:t>
      </w:r>
    </w:p>
    <w:p>
      <w:pPr>
        <w:spacing w:after="100"/>
      </w:pPr>
      <w:r>
        <w:rPr>
          <w:rFonts w:ascii="Calibri" w:cs="Calibri" w:eastAsia="Calibri" w:hAnsi="Calibri"/>
          <w:b w:val="false"/>
          <w:bCs w:val="false"/>
          <w:i w:val="false"/>
          <w:iCs w:val="false"/>
          <w:color w:val="6B7280"/>
          <w:sz w:val="22"/>
          <w:szCs w:val="22"/>
        </w:rPr>
        <w:t xml:space="preserve">Faits marquants identifiés : 3 (dont 1 sanction RGPD et 2 analyses éditoriales)</w:t>
      </w:r>
    </w:p>
    <w:p>
      <w:r>
        <w:t xml:space="preserve"/>
      </w:r>
    </w:p>
    <w:p>
      <w:pPr>
        <w:spacing w:after="120" w:before="320"/>
      </w:pPr>
      <w:r>
        <w:rPr>
          <w:rFonts w:ascii="Calibri" w:cs="Calibri" w:eastAsia="Calibri" w:hAnsi="Calibri"/>
          <w:b/>
          <w:bCs/>
          <w:color w:val="1B3A6B"/>
          <w:sz w:val="28"/>
          <w:szCs w:val="28"/>
        </w:rPr>
        <w:t xml:space="preserve">🔵 En bref</w:t>
      </w:r>
    </w:p>
    <w:p>
      <w:pPr>
        <w:pStyle w:val="ListParagraph"/>
        <w:numPr>
          <w:ilvl w:val="0"/>
          <w:numId w:val="1"/>
        </w:numPr>
        <w:spacing w:after="80"/>
      </w:pPr>
      <w:r>
        <w:rPr>
          <w:rFonts w:ascii="Calibri" w:cs="Calibri" w:eastAsia="Calibri" w:hAnsi="Calibri"/>
          <w:color w:val="1F2937"/>
          <w:sz w:val="22"/>
          <w:szCs w:val="22"/>
        </w:rPr>
        <w:t xml:space="preserve">IAPP (10/09) — La direction réglementaire de l'UE se confirme : les négociations du Cloud and AI Development Act et du règlement révisé sur la cybersécurité se poursuivent. Isabelle Roccia (IAPP Europe) souligne que l'UE maintient son cap « human-centric » sur l'IA malgré les pressions de compétitivité.</w:t>
      </w:r>
    </w:p>
    <w:p>
      <w:pPr>
        <w:pStyle w:val="ListParagraph"/>
        <w:numPr>
          <w:ilvl w:val="0"/>
          <w:numId w:val="1"/>
        </w:numPr>
        <w:spacing w:after="80"/>
      </w:pPr>
      <w:r>
        <w:rPr>
          <w:rFonts w:ascii="Calibri" w:cs="Calibri" w:eastAsia="Calibri" w:hAnsi="Calibri"/>
          <w:color w:val="1F2937"/>
          <w:sz w:val="22"/>
          <w:szCs w:val="22"/>
        </w:rPr>
        <w:t xml:space="preserve">IAPP (08/09) — L'encyclique papale « Magnificent Humanity: On Safeguarding the Human Person in the Time of Artificial Intelligence » (Léon XIV, 15/05/2026 — date déduite : l'article dit « published on the 135th anniversary of Rerum Novarum », soit le 15 mai 1891 + 135 ans, il ne l'imprime pas) entre dans le débat de gouvernance mondiale de l'IA : dignité humaine, emploi, protections légales — thèmes directement en résonance avec la philosophie de l'AI Act.</w:t>
      </w:r>
    </w:p>
    <w:p>
      <w:pPr>
        <w:pStyle w:val="ListParagraph"/>
        <w:numPr>
          <w:ilvl w:val="0"/>
          <w:numId w:val="1"/>
        </w:numPr>
        <w:spacing w:after="80"/>
      </w:pPr>
      <w:r>
        <w:rPr>
          <w:rFonts w:ascii="Calibri" w:cs="Calibri" w:eastAsia="Calibri" w:hAnsi="Calibri"/>
          <w:color w:val="1F2937"/>
          <w:sz w:val="22"/>
          <w:szCs w:val="22"/>
        </w:rPr>
        <w:t xml:space="preserve">CNIL (09/09) — Sanction EXTIA 300 000 € : droit à l'effacement non respecté et autres violations RGPD. Signal de renforcement de l'application des droits individuels par la CNIL — contexte qui précède son extension au régime de l'AI Act.</w:t>
      </w:r>
    </w:p>
    <w:p>
      <w:pPr>
        <w:pStyle w:val="ListParagraph"/>
        <w:numPr>
          <w:ilvl w:val="0"/>
          <w:numId w:val="1"/>
        </w:numPr>
        <w:spacing w:after="80"/>
      </w:pPr>
      <w:r>
        <w:rPr>
          <w:rFonts w:ascii="Calibri" w:cs="Calibri" w:eastAsia="Calibri" w:hAnsi="Calibri"/>
          <w:color w:val="1F2937"/>
          <w:sz w:val="22"/>
          <w:szCs w:val="22"/>
        </w:rPr>
        <w:t xml:space="preserve">Aucune ligne directrice, décision du Bureau de l'IA ou communication de la Commission publiée dans la fenêtre. Semaine institutionnellement creuse.</w:t>
      </w:r>
    </w:p>
    <w:p>
      <w:pPr>
        <w:pStyle w:val="ListParagraph"/>
        <w:numPr>
          <w:ilvl w:val="0"/>
          <w:numId w:val="1"/>
        </w:numPr>
        <w:spacing w:after="80"/>
      </w:pPr>
      <w:r>
        <w:rPr>
          <w:rFonts w:ascii="Calibri" w:cs="Calibri" w:eastAsia="Calibri" w:hAnsi="Calibri"/>
          <w:color w:val="1F2937"/>
          <w:sz w:val="22"/>
          <w:szCs w:val="22"/>
        </w:rPr>
        <w:t xml:space="preserve">Rappel de contexte (hors fenêtre, pour mémoire) : sanction CNIL contre l'Hôpital Privé de la Loire, délibérée le 21/07/2026 — voir section dédiée ci-dessous.</w:t>
      </w:r>
    </w:p>
    <w:p>
      <w:r>
        <w:t xml:space="preserve"/>
      </w:r>
    </w:p>
    <w:p>
      <w:pPr>
        <w:spacing w:after="120" w:before="320"/>
      </w:pPr>
      <w:r>
        <w:rPr>
          <w:rFonts w:ascii="Calibri" w:cs="Calibri" w:eastAsia="Calibri" w:hAnsi="Calibri"/>
          <w:b/>
          <w:bCs/>
          <w:color w:val="1B3A6B"/>
          <w:sz w:val="28"/>
          <w:szCs w:val="28"/>
        </w:rPr>
        <w:t xml:space="preserve">📅 Échéances réglementaires à venir</w:t>
      </w:r>
    </w:p>
    <w:p>
      <w:pPr>
        <w:spacing w:after="100"/>
      </w:pPr>
      <w:r>
        <w:rPr>
          <w:rFonts w:ascii="Calibri" w:cs="Calibri" w:eastAsia="Calibri" w:hAnsi="Calibri"/>
          <w:b w:val="false"/>
          <w:bCs w:val="false"/>
          <w:i/>
          <w:iCs/>
          <w:color w:val="6B7280"/>
          <w:sz w:val="22"/>
          <w:szCs w:val="22"/>
        </w:rPr>
        <w:t xml:space="preserve">Référence : règlement (UE) 2024/1689 tel que modifié par le règlement (UE) 2026/1744 du 8 juillet 2026 (« Omnibus IA »), JOUE L du 24 juillet 2026, en vigueur le 27 juillet 2026 — eur-lex.europa.eu/legal-content/FR/TXT/HTML/?uri=OJ:L_202601744, ajoutée aux sources le 12/09/2026 (la référence, établie dans l'édition du 29/08, était reprise ici sans sa source). ⚠️ Discordance entre sources ouvertes : la Q/R de la CNIL écrit « une version amendée du RIA a été adopté le 24 juillet 2026 » (accord fautif de la page, conservé tel quel) — c'est la date de publication au JOUE, pas celle de l'acte, qui est du 8 juillet. EUR-Lex fait foi. La CNIL nomme par ailleurs ce train de mesures « omnibus VII », là où cette note l'appelle « Omnibus IA » d'après EUR-Lex.</w:t>
      </w:r>
      <w:r>
        <w:rPr>
          <w:rFonts w:ascii="Times New Roman" w:cs="Times New Roman" w:eastAsia="Times New Roman" w:hAnsi="Times New Roman"/>
          <w:i/>
          <w:iCs/>
          <w:color w:val="6B7280"/>
          <w:sz w:val="18"/>
          <w:szCs w:val="18"/>
        </w:rPr>
        <w:t xml:space="preserve">   [Corrigé le 12/10/2026 : la version du 11/09/2026 citait « une version amendée du RIA a été adoptée le 24 juillet 2026 ». La page de la CNIL, rouverte le 12/10/2026 (HTTP 200, 26 014 caractères utiles), écrit « a été adopté » — sans accord. La citation corrigeait silencieusement la faute de sa source, ce qui la rendait non littérale : c'était le seul problème bloquant du document (passe ㉖, cinq pages françaises lues, aucune ne la portait). Un écart d'une lettre à l'intérieur des guillemets reste un écart.]</w:t>
      </w:r>
    </w:p>
    <w:p>
      <w:r>
        <w:t xml:space="preserve"/>
      </w:r>
    </w:p>
    <w:p>
      <w:pPr>
        <w:pStyle w:val="ListParagraph"/>
        <w:numPr>
          <w:ilvl w:val="0"/>
          <w:numId w:val="1"/>
        </w:numPr>
        <w:spacing w:after="80"/>
      </w:pPr>
      <w:r>
        <w:rPr>
          <w:rFonts w:ascii="Calibri" w:cs="Calibri" w:eastAsia="Calibri" w:hAnsi="Calibri"/>
          <w:color w:val="1F2937"/>
          <w:sz w:val="22"/>
          <w:szCs w:val="22"/>
        </w:rPr>
        <w:t xml:space="preserve">✅ 2 août 2026 (passé) — Entrée en application du gros du règlement : obligations de transparence (art. 50), littératie IA (art. 4), sanctions actives. Régime de sanction : jusqu'à 35 M€ ou 7 % du CA mondial pour pratiques interdites.</w:t>
      </w:r>
    </w:p>
    <w:p>
      <w:pPr>
        <w:pStyle w:val="ListParagraph"/>
        <w:numPr>
          <w:ilvl w:val="0"/>
          <w:numId w:val="1"/>
        </w:numPr>
        <w:spacing w:after="80"/>
      </w:pPr>
      <w:r>
        <w:rPr>
          <w:rFonts w:ascii="Calibri" w:cs="Calibri" w:eastAsia="Calibri" w:hAnsi="Calibri"/>
          <w:color w:val="1F2937"/>
          <w:sz w:val="22"/>
          <w:szCs w:val="22"/>
        </w:rPr>
        <w:t xml:space="preserve">⏳ 2 décembre 2026 — J-82 : deux obligations distinctes — (1) fin de la période transitoire art. 50 §2 pour les systèmes génératifs mis sur le marché avant le 2 août 2026 ; (2) entrée en vigueur de l'interdiction des hypertrucages sexuels non consentis et du CSAM.</w:t>
      </w:r>
    </w:p>
    <w:p>
      <w:pPr>
        <w:pStyle w:val="ListParagraph"/>
        <w:numPr>
          <w:ilvl w:val="0"/>
          <w:numId w:val="1"/>
        </w:numPr>
        <w:spacing w:after="80"/>
      </w:pPr>
      <w:r>
        <w:rPr>
          <w:rFonts w:ascii="Calibri" w:cs="Calibri" w:eastAsia="Calibri" w:hAnsi="Calibri"/>
          <w:color w:val="1F2937"/>
          <w:sz w:val="22"/>
          <w:szCs w:val="22"/>
        </w:rPr>
        <w:t xml:space="preserve">⏳ 2 août 2027 — Obligation pour les États membres d'avoir mis en place des bacs à sable réglementaires opérationnels.</w:t>
      </w:r>
    </w:p>
    <w:p>
      <w:pPr>
        <w:pStyle w:val="ListParagraph"/>
        <w:numPr>
          <w:ilvl w:val="0"/>
          <w:numId w:val="1"/>
        </w:numPr>
        <w:spacing w:after="80"/>
      </w:pPr>
      <w:r>
        <w:rPr>
          <w:rFonts w:ascii="Calibri" w:cs="Calibri" w:eastAsia="Calibri" w:hAnsi="Calibri"/>
          <w:color w:val="1F2937"/>
          <w:sz w:val="22"/>
          <w:szCs w:val="22"/>
        </w:rPr>
        <w:t xml:space="preserve">⏳ 2 décembre 2027 — Application des exigences pour les systèmes à haut risque de l'annexe III (dont les systèmes d'aide à la décision en contexte de services essentiels).</w:t>
      </w:r>
    </w:p>
    <w:p>
      <w:pPr>
        <w:pStyle w:val="ListParagraph"/>
        <w:numPr>
          <w:ilvl w:val="0"/>
          <w:numId w:val="1"/>
        </w:numPr>
        <w:spacing w:after="80"/>
      </w:pPr>
      <w:r>
        <w:rPr>
          <w:rFonts w:ascii="Calibri" w:cs="Calibri" w:eastAsia="Calibri" w:hAnsi="Calibri"/>
          <w:color w:val="1F2937"/>
          <w:sz w:val="22"/>
          <w:szCs w:val="22"/>
        </w:rPr>
        <w:t xml:space="preserve">⏳ 2 août 2028 — Application des règles pour les produits réglementés embarquant de l'IA (annexe I).</w:t>
      </w:r>
    </w:p>
    <w:p>
      <w:r>
        <w:t xml:space="preserve"/>
      </w:r>
    </w:p>
    <w:p>
      <w:pPr>
        <w:spacing w:after="120" w:before="320"/>
      </w:pPr>
      <w:r>
        <w:rPr>
          <w:rFonts w:ascii="Calibri" w:cs="Calibri" w:eastAsia="Calibri" w:hAnsi="Calibri"/>
          <w:b/>
          <w:bCs/>
          <w:color w:val="1B3A6B"/>
          <w:sz w:val="28"/>
          <w:szCs w:val="28"/>
        </w:rPr>
        <w:t xml:space="preserve">🏛️ Actualité officielle UE</w:t>
      </w:r>
    </w:p>
    <w:p>
      <w:pPr>
        <w:spacing w:after="100"/>
      </w:pPr>
      <w:r>
        <w:rPr>
          <w:rFonts w:ascii="Calibri" w:cs="Calibri" w:eastAsia="Calibri" w:hAnsi="Calibri"/>
          <w:b/>
          <w:bCs/>
          <w:i w:val="false"/>
          <w:iCs w:val="false"/>
          <w:color w:val="1F2937"/>
          <w:sz w:val="22"/>
          <w:szCs w:val="22"/>
        </w:rPr>
        <w:t xml:space="preserve">Commission européenne</w:t>
      </w:r>
    </w:p>
    <w:p>
      <w:pPr>
        <w:spacing w:after="100"/>
      </w:pPr>
      <w:r>
        <w:rPr>
          <w:rFonts w:ascii="Calibri" w:cs="Calibri" w:eastAsia="Calibri" w:hAnsi="Calibri"/>
          <w:b w:val="false"/>
          <w:bCs w:val="false"/>
          <w:i w:val="false"/>
          <w:iCs w:val="false"/>
          <w:color w:val="6B7280"/>
          <w:sz w:val="22"/>
          <w:szCs w:val="22"/>
        </w:rPr>
        <w:t xml:space="preserve">Aucune publication nouvelle dans la fenêtre (4-11/09/2026) sur la page principale de la Commission dédiée à l'AI Act. Dernière actualité visible : 31 août 2026 (visite EVP Virkkunen au G20).</w:t>
      </w:r>
    </w:p>
    <w:p>
      <w:pPr>
        <w:spacing w:after="100"/>
      </w:pPr>
      <w:r>
        <w:rPr>
          <w:rFonts w:ascii="Calibri" w:cs="Calibri" w:eastAsia="Calibri" w:hAnsi="Calibri"/>
          <w:b w:val="false"/>
          <w:bCs w:val="false"/>
          <w:i w:val="false"/>
          <w:iCs w:val="false"/>
          <w:color w:val="6B7280"/>
          <w:sz w:val="22"/>
          <w:szCs w:val="22"/>
        </w:rPr>
        <w:t xml:space="preserve">Sources de référence consultées, sans nouveauté dans la fenêtre :</w:t>
      </w:r>
    </w:p>
    <w:p>
      <w:pPr>
        <w:pStyle w:val="ListParagraph"/>
        <w:numPr>
          <w:ilvl w:val="0"/>
          <w:numId w:val="1"/>
        </w:numPr>
        <w:spacing w:after="80"/>
      </w:pPr>
      <w:r>
        <w:rPr>
          <w:rFonts w:ascii="Calibri" w:cs="Calibri" w:eastAsia="Calibri" w:hAnsi="Calibri"/>
          <w:color w:val="1F2937"/>
          <w:sz w:val="22"/>
          <w:szCs w:val="22"/>
        </w:rPr>
        <w:t xml:space="preserve">Page principale AI Act — </w:t>
      </w:r>
      <w:hyperlink w:history="1" r:id="rIdsynnhvqwkk0uintq067ss">
        <w:r>
          <w:rPr>
            <w:rFonts w:ascii="Calibri" w:cs="Calibri" w:eastAsia="Calibri" w:hAnsi="Calibri"/>
            <w:color w:val="1155CC"/>
            <w:sz w:val="22"/>
            <w:szCs w:val="22"/>
            <w:u w:val="single"/>
          </w:rPr>
          <w:t xml:space="preserve">digital-strategy.ec.europa.eu/regulatory-framework-ai</w:t>
        </w:r>
      </w:hyperlink>
      <w:r>
        <w:rPr>
          <w:rFonts w:ascii="Calibri" w:cs="Calibri" w:eastAsia="Calibri" w:hAnsi="Calibri"/>
          <w:color w:val="1F2937"/>
          <w:sz w:val="22"/>
          <w:szCs w:val="22"/>
        </w:rPr>
        <w:t xml:space="preserve"> (consultée, sans élément nouveau dans la fenêtre)</w:t>
      </w:r>
    </w:p>
    <w:p>
      <w:pPr>
        <w:pStyle w:val="ListParagraph"/>
        <w:numPr>
          <w:ilvl w:val="0"/>
          <w:numId w:val="1"/>
        </w:numPr>
        <w:spacing w:after="80"/>
      </w:pPr>
      <w:r>
        <w:rPr>
          <w:rFonts w:ascii="Calibri" w:cs="Calibri" w:eastAsia="Calibri" w:hAnsi="Calibri"/>
          <w:color w:val="1F2937"/>
          <w:sz w:val="22"/>
          <w:szCs w:val="22"/>
        </w:rPr>
        <w:t xml:space="preserve">Lignes directrices art. 50 (transparence) — </w:t>
      </w:r>
      <w:hyperlink w:history="1" r:id="rIdbamfechxoigytsey3yzpw">
        <w:r>
          <w:rPr>
            <w:rFonts w:ascii="Calibri" w:cs="Calibri" w:eastAsia="Calibri" w:hAnsi="Calibri"/>
            <w:color w:val="1155CC"/>
            <w:sz w:val="22"/>
            <w:szCs w:val="22"/>
            <w:u w:val="single"/>
          </w:rPr>
          <w:t xml:space="preserve">digital-strategy.ec.europa.eu/guidelines-ai-transparency-obligations</w:t>
        </w:r>
      </w:hyperlink>
      <w:r>
        <w:rPr>
          <w:rFonts w:ascii="Calibri" w:cs="Calibri" w:eastAsia="Calibri" w:hAnsi="Calibri"/>
          <w:color w:val="1F2937"/>
          <w:sz w:val="22"/>
          <w:szCs w:val="22"/>
        </w:rPr>
        <w:t xml:space="preserve"> (mis à jour le 06/08/2026, hors fenêtre — voir rappel ci-dessous)</w:t>
      </w:r>
    </w:p>
    <w:p>
      <w:r>
        <w:t xml:space="preserve"/>
      </w:r>
    </w:p>
    <w:p>
      <w:pPr>
        <w:spacing w:after="100"/>
      </w:pPr>
      <w:r>
        <w:rPr>
          <w:rFonts w:ascii="Calibri" w:cs="Calibri" w:eastAsia="Calibri" w:hAnsi="Calibri"/>
          <w:b/>
          <w:bCs/>
          <w:i w:val="false"/>
          <w:iCs w:val="false"/>
          <w:color w:val="1F2937"/>
          <w:sz w:val="22"/>
          <w:szCs w:val="22"/>
        </w:rPr>
        <w:t xml:space="preserve">Conseil de l'UE</w:t>
      </w:r>
    </w:p>
    <w:p>
      <w:pPr>
        <w:spacing w:after="100"/>
      </w:pPr>
      <w:r>
        <w:rPr>
          <w:rFonts w:ascii="Calibri" w:cs="Calibri" w:eastAsia="Calibri" w:hAnsi="Calibri"/>
          <w:b w:val="false"/>
          <w:bCs w:val="false"/>
          <w:i w:val="false"/>
          <w:iCs w:val="false"/>
          <w:color w:val="EA580C"/>
          <w:sz w:val="22"/>
          <w:szCs w:val="22"/>
        </w:rPr>
        <w:t xml:space="preserve">⚠️ La page des communiqués de presse du Conseil (consilium.europa.eu) renvoie un 403 (blocage anti-robot). Aucun accès direct possible en mode headless. Source non exploitée pour la fenêtre courante.</w:t>
      </w:r>
    </w:p>
    <w:p>
      <w:r>
        <w:t xml:space="preserve"/>
      </w:r>
    </w:p>
    <w:p>
      <w:pPr>
        <w:spacing w:after="100"/>
      </w:pPr>
      <w:r>
        <w:rPr>
          <w:rFonts w:ascii="Calibri" w:cs="Calibri" w:eastAsia="Calibri" w:hAnsi="Calibri"/>
          <w:b/>
          <w:bCs/>
          <w:i w:val="false"/>
          <w:iCs w:val="false"/>
          <w:color w:val="1F2937"/>
          <w:sz w:val="22"/>
          <w:szCs w:val="22"/>
        </w:rPr>
        <w:t xml:space="preserve">AI Act Service Desk (Commission)</w:t>
      </w:r>
    </w:p>
    <w:p>
      <w:pPr>
        <w:spacing w:after="100"/>
      </w:pPr>
      <w:r>
        <w:rPr>
          <w:rFonts w:ascii="Calibri" w:cs="Calibri" w:eastAsia="Calibri" w:hAnsi="Calibri"/>
          <w:b w:val="false"/>
          <w:bCs w:val="false"/>
          <w:i w:val="false"/>
          <w:iCs w:val="false"/>
          <w:color w:val="1F2937"/>
          <w:sz w:val="22"/>
          <w:szCs w:val="22"/>
        </w:rPr>
        <w:t xml:space="preserve">Chronologie vérifiée — aucune modification de calendrier observée par rapport au CR du 04/09/2026. Les jalons confirment la lecture établie : 2/12/2026 (art. 50 §2 + hypertrucages), 2/08/2027 (bacs à sable), 2/12/2027 (annexe III), 2/08/2028 (annexe I).</w:t>
      </w:r>
    </w:p>
    <w:p>
      <w:pPr>
        <w:pStyle w:val="ListParagraph"/>
        <w:numPr>
          <w:ilvl w:val="0"/>
          <w:numId w:val="1"/>
        </w:numPr>
        <w:spacing w:after="80"/>
      </w:pPr>
      <w:hyperlink w:history="1" r:id="rIdahylkljm8dgd8z5kycj1-">
        <w:r>
          <w:rPr>
            <w:rFonts w:ascii="Calibri" w:cs="Calibri" w:eastAsia="Calibri" w:hAnsi="Calibri"/>
            <w:color w:val="1155CC"/>
            <w:sz w:val="22"/>
            <w:szCs w:val="22"/>
            <w:u w:val="single"/>
          </w:rPr>
          <w:t xml:space="preserve">AI Act Service Desk — Calendrier d'implémentation</w:t>
        </w:r>
      </w:hyperlink>
    </w:p>
    <w:p>
      <w:r>
        <w:t xml:space="preserve"/>
      </w:r>
    </w:p>
    <w:p>
      <w:pPr>
        <w:pBdr>
          <w:bottom w:val="single" w:color="D1D5DB" w:sz="4"/>
        </w:pBdr>
        <w:spacing w:after="80"/>
      </w:pPr>
      <w:r>
        <w:t xml:space="preserve"/>
      </w:r>
    </w:p>
    <w:p>
      <w:pPr>
        <w:spacing w:after="120" w:before="320"/>
      </w:pPr>
      <w:r>
        <w:rPr>
          <w:rFonts w:ascii="Calibri" w:cs="Calibri" w:eastAsia="Calibri" w:hAnsi="Calibri"/>
          <w:b/>
          <w:bCs/>
          <w:color w:val="1B3A6B"/>
          <w:sz w:val="28"/>
          <w:szCs w:val="28"/>
        </w:rPr>
        <w:t xml:space="preserve">📰 Analyses &amp; Gouvernance (IAPP)</w:t>
      </w:r>
    </w:p>
    <w:p>
      <w:pPr>
        <w:spacing w:after="100"/>
      </w:pPr>
      <w:r>
        <w:rPr>
          <w:rFonts w:ascii="Calibri" w:cs="Calibri" w:eastAsia="Calibri" w:hAnsi="Calibri"/>
          <w:b/>
          <w:bCs/>
          <w:i w:val="false"/>
          <w:iCs w:val="false"/>
          <w:color w:val="1F2937"/>
          <w:sz w:val="22"/>
          <w:szCs w:val="22"/>
        </w:rPr>
        <w:t xml:space="preserve">Article 1 — Lu en entier (accès libre)</w:t>
      </w:r>
    </w:p>
    <w:p>
      <w:pPr>
        <w:pStyle w:val="ListParagraph"/>
        <w:numPr>
          <w:ilvl w:val="0"/>
          <w:numId w:val="1"/>
        </w:numPr>
        <w:spacing w:after="80"/>
      </w:pPr>
      <w:r>
        <w:rPr>
          <w:rFonts w:ascii="Calibri" w:cs="Calibri" w:eastAsia="Calibri" w:hAnsi="Calibri"/>
          <w:color w:val="1F2937"/>
          <w:sz w:val="22"/>
          <w:szCs w:val="22"/>
        </w:rPr>
        <w:t xml:space="preserve">« </w:t>
      </w:r>
      <w:hyperlink w:history="1" r:id="rId76ps8brwhoy9vexhssbl0">
        <w:r>
          <w:rPr>
            <w:rFonts w:ascii="Calibri" w:cs="Calibri" w:eastAsia="Calibri" w:hAnsi="Calibri"/>
            <w:color w:val="1155CC"/>
            <w:sz w:val="22"/>
            <w:szCs w:val="22"/>
            <w:u w:val="single"/>
          </w:rPr>
          <w:t xml:space="preserve">A view from Brussels: Will staying the course be worth it?</w:t>
        </w:r>
      </w:hyperlink>
      <w:r>
        <w:rPr>
          <w:rFonts w:ascii="Calibri" w:cs="Calibri" w:eastAsia="Calibri" w:hAnsi="Calibri"/>
          <w:color w:val="1F2937"/>
          <w:sz w:val="22"/>
          <w:szCs w:val="22"/>
        </w:rPr>
        <w:t xml:space="preserve"> » — Isabelle Roccia, IAPP Managing Director Europe, 10/09/2026</w:t>
      </w:r>
    </w:p>
    <w:p>
      <w:pPr>
        <w:pStyle w:val="ListParagraph"/>
        <w:numPr>
          <w:ilvl w:val="1"/>
          <w:numId w:val="1"/>
        </w:numPr>
        <w:spacing w:after="80"/>
      </w:pPr>
      <w:r>
        <w:rPr>
          <w:rFonts w:ascii="Calibri" w:cs="Calibri" w:eastAsia="Calibri" w:hAnsi="Calibri"/>
          <w:color w:val="1F2937"/>
          <w:sz w:val="22"/>
          <w:szCs w:val="22"/>
        </w:rPr>
        <w:t xml:space="preserve">L'article dresse un bilan de l'agenda législatif numérique de Bruxelles à l'automne 2026. Roccia identifie trois chantiers en cours : négociations du Digital Omnibus sur l'IA (qui inclut les modifications déjà adoptées par le règlement 2026/1744), du Cloud and AI Development Act et de la révision du Cybersecurity Act.</w:t>
      </w:r>
    </w:p>
    <w:p>
      <w:pPr>
        <w:pStyle w:val="ListParagraph"/>
        <w:numPr>
          <w:ilvl w:val="1"/>
          <w:numId w:val="1"/>
        </w:numPr>
        <w:spacing w:after="80"/>
      </w:pPr>
      <w:r>
        <w:rPr>
          <w:rFonts w:ascii="Calibri" w:cs="Calibri" w:eastAsia="Calibri" w:hAnsi="Calibri"/>
          <w:color w:val="1F2937"/>
          <w:sz w:val="22"/>
          <w:szCs w:val="22"/>
        </w:rPr>
        <w:t xml:space="preserve">Thèse principale : l'UE se comporte « comme un paquebot, pas un hors-bord » — capable de maintenir une trajectoire mais pas de virer brusquement. La pression de compétitivité n'a pas modifié le fondement « human-centric » de la réglementation.</w:t>
      </w:r>
    </w:p>
    <w:p>
      <w:pPr>
        <w:pStyle w:val="ListParagraph"/>
        <w:numPr>
          <w:ilvl w:val="1"/>
          <w:numId w:val="1"/>
        </w:numPr>
        <w:spacing w:after="80"/>
      </w:pPr>
      <w:r>
        <w:rPr>
          <w:rFonts w:ascii="Calibri" w:cs="Calibri" w:eastAsia="Calibri" w:hAnsi="Calibri"/>
          <w:color w:val="1F2937"/>
          <w:sz w:val="22"/>
          <w:szCs w:val="22"/>
        </w:rPr>
        <w:t xml:space="preserve">Mention des avertissements du Haut-Commissaire de l'ONU Volker Türk sur le risque existentiel de l'IA — positionnés comme argument de légitimation du cap réglementaire européen.</w:t>
      </w:r>
    </w:p>
    <w:p>
      <w:r>
        <w:t xml:space="preserve"/>
      </w:r>
    </w:p>
    <w:p>
      <w:pPr>
        <w:spacing w:after="100"/>
      </w:pPr>
      <w:r>
        <w:rPr>
          <w:rFonts w:ascii="Calibri" w:cs="Calibri" w:eastAsia="Calibri" w:hAnsi="Calibri"/>
          <w:b/>
          <w:bCs/>
          <w:i w:val="false"/>
          <w:iCs w:val="false"/>
          <w:color w:val="1F2937"/>
          <w:sz w:val="22"/>
          <w:szCs w:val="22"/>
        </w:rPr>
        <w:t xml:space="preserve">Article 2 — Lu en entier (accès libre)</w:t>
      </w:r>
    </w:p>
    <w:p>
      <w:pPr>
        <w:pStyle w:val="ListParagraph"/>
        <w:numPr>
          <w:ilvl w:val="0"/>
          <w:numId w:val="1"/>
        </w:numPr>
        <w:spacing w:after="80"/>
      </w:pPr>
      <w:r>
        <w:rPr>
          <w:rFonts w:ascii="Calibri" w:cs="Calibri" w:eastAsia="Calibri" w:hAnsi="Calibri"/>
          <w:color w:val="1F2937"/>
          <w:sz w:val="22"/>
          <w:szCs w:val="22"/>
        </w:rPr>
        <w:t xml:space="preserve">« </w:t>
      </w:r>
      <w:hyperlink w:history="1" r:id="rId8_e1vka1pdpubcezhqjxt">
        <w:r>
          <w:rPr>
            <w:rFonts w:ascii="Calibri" w:cs="Calibri" w:eastAsia="Calibri" w:hAnsi="Calibri"/>
            <w:color w:val="1155CC"/>
            <w:sz w:val="22"/>
            <w:szCs w:val="22"/>
            <w:u w:val="single"/>
          </w:rPr>
          <w:t xml:space="preserve">Thought for the week: How Pope Leo's encyclical letter could influence emerging global AI regulation</w:t>
        </w:r>
      </w:hyperlink>
      <w:r>
        <w:rPr>
          <w:rFonts w:ascii="Calibri" w:cs="Calibri" w:eastAsia="Calibri" w:hAnsi="Calibri"/>
          <w:color w:val="1F2937"/>
          <w:sz w:val="22"/>
          <w:szCs w:val="22"/>
        </w:rPr>
        <w:t xml:space="preserve"> » — Brian Hengesbaugh (Baker McKenzie), 08/09/2026</w:t>
      </w:r>
    </w:p>
    <w:p>
      <w:pPr>
        <w:pStyle w:val="ListParagraph"/>
        <w:numPr>
          <w:ilvl w:val="1"/>
          <w:numId w:val="1"/>
        </w:numPr>
        <w:spacing w:after="80"/>
      </w:pPr>
      <w:r>
        <w:rPr>
          <w:rFonts w:ascii="Calibri" w:cs="Calibri" w:eastAsia="Calibri" w:hAnsi="Calibri"/>
          <w:color w:val="1F2937"/>
          <w:sz w:val="22"/>
          <w:szCs w:val="22"/>
        </w:rPr>
        <w:t xml:space="preserve">Analyse de l'encyclique de Léon XIV « Magnificent Humanity: On Safeguarding the Human Person in the Time of Artificial Intelligence » (15/05/2026, adressée à l'Église catholique et à « toutes les personnes de bonne volonté »).</w:t>
      </w:r>
    </w:p>
    <w:p>
      <w:pPr>
        <w:pStyle w:val="ListParagraph"/>
        <w:numPr>
          <w:ilvl w:val="1"/>
          <w:numId w:val="1"/>
        </w:numPr>
        <w:spacing w:after="80"/>
      </w:pPr>
      <w:r>
        <w:rPr>
          <w:rFonts w:ascii="Calibri" w:cs="Calibri" w:eastAsia="Calibri" w:hAnsi="Calibri"/>
          <w:color w:val="1F2937"/>
          <w:sz w:val="22"/>
          <w:szCs w:val="22"/>
        </w:rPr>
        <w:t xml:space="preserve">Thèmes : protections du travail face à l'IA, dignité humaine, liberté, vérité. Le chapitre 4 traite explicitement du travail et des implications économiques de l'IA.</w:t>
      </w:r>
    </w:p>
    <w:p>
      <w:pPr>
        <w:pStyle w:val="ListParagraph"/>
        <w:numPr>
          <w:ilvl w:val="1"/>
          <w:numId w:val="1"/>
        </w:numPr>
        <w:spacing w:after="80"/>
      </w:pPr>
      <w:r>
        <w:rPr>
          <w:rFonts w:ascii="Calibri" w:cs="Calibri" w:eastAsia="Calibri" w:hAnsi="Calibri"/>
          <w:color w:val="1F2937"/>
          <w:sz w:val="22"/>
          <w:szCs w:val="22"/>
        </w:rPr>
        <w:t xml:space="preserve">Mécanisme d'influence cité : 1,4 milliard de catholiques dont des législateurs, juges et chefs d'entreprise ; parallèle historique avec Rerum Novarum (1891) qui avait façonné le droit du travail industriel.</w:t>
      </w:r>
    </w:p>
    <w:p>
      <w:pPr>
        <w:pStyle w:val="ListParagraph"/>
        <w:numPr>
          <w:ilvl w:val="1"/>
          <w:numId w:val="1"/>
        </w:numPr>
        <w:spacing w:after="80"/>
      </w:pPr>
      <w:r>
        <w:rPr>
          <w:rFonts w:ascii="Calibri" w:cs="Calibri" w:eastAsia="Calibri" w:hAnsi="Calibri"/>
          <w:color w:val="1F2937"/>
          <w:sz w:val="22"/>
          <w:szCs w:val="22"/>
        </w:rPr>
        <w:t xml:space="preserve">Note : il s'agit d'un commentaire secondaire sur un document primaire (l'encyclique). L'encyclique elle-même n'a pas été consultée directement pendant cette exécution.</w:t>
      </w:r>
    </w:p>
    <w:p>
      <w:r>
        <w:t xml:space="preserve"/>
      </w:r>
    </w:p>
    <w:p>
      <w:pPr>
        <w:spacing w:after="100"/>
      </w:pPr>
      <w:r>
        <w:rPr>
          <w:rFonts w:ascii="Calibri" w:cs="Calibri" w:eastAsia="Calibri" w:hAnsi="Calibri"/>
          <w:b w:val="false"/>
          <w:bCs w:val="false"/>
          <w:i w:val="false"/>
          <w:iCs w:val="false"/>
          <w:color w:val="DC2626"/>
          <w:sz w:val="22"/>
          <w:szCs w:val="22"/>
        </w:rPr>
        <w:t xml:space="preserve">⚠️ Source artificialintelligenceact.eu (Future of Life Institute) : non extraite par l'agent du job cette semaine. ⚠️ Corrigé le 12/09/2026 : la note la déclarait « rendu JavaScript côté client, non extractible en headless… définitivement écartée », sur trois constats de juillet, août et septembre. Retestée le 12/09/2026 avec un agent de navigateur : HTTP 200, 16 376 caractères utiles. Le site rend son contenu ; c'est l'agent par défaut qu'il refuse. Trois constats faits avec le même outil répètent la même mesure. La source est conservée : à réessayer avec un agent de navigateur, pas à écarter.</w:t>
      </w:r>
    </w:p>
    <w:p>
      <w:r>
        <w:t xml:space="preserve"/>
      </w:r>
    </w:p>
    <w:p>
      <w:pPr>
        <w:pBdr>
          <w:bottom w:val="single" w:color="D1D5DB" w:sz="4"/>
        </w:pBdr>
        <w:spacing w:after="80"/>
      </w:pPr>
      <w:r>
        <w:t xml:space="preserve"/>
      </w:r>
    </w:p>
    <w:p>
      <w:pPr>
        <w:spacing w:after="120" w:before="320"/>
      </w:pPr>
      <w:r>
        <w:rPr>
          <w:rFonts w:ascii="Calibri" w:cs="Calibri" w:eastAsia="Calibri" w:hAnsi="Calibri"/>
          <w:b/>
          <w:bCs/>
          <w:color w:val="1B3A6B"/>
          <w:sz w:val="28"/>
          <w:szCs w:val="28"/>
        </w:rPr>
        <w:t xml:space="preserve">🇫🇷 Perspective française (CNIL / RGPD)</w:t>
      </w:r>
    </w:p>
    <w:p>
      <w:pPr>
        <w:spacing w:after="100"/>
      </w:pPr>
      <w:r>
        <w:rPr>
          <w:rFonts w:ascii="Calibri" w:cs="Calibri" w:eastAsia="Calibri" w:hAnsi="Calibri"/>
          <w:b/>
          <w:bCs/>
          <w:i w:val="false"/>
          <w:iCs w:val="false"/>
          <w:color w:val="1F2937"/>
          <w:sz w:val="22"/>
          <w:szCs w:val="22"/>
        </w:rPr>
        <w:t xml:space="preserve">Sanction EXTIA — 09/09/2026</w:t>
      </w:r>
    </w:p>
    <w:p>
      <w:pPr>
        <w:pStyle w:val="ListParagraph"/>
        <w:numPr>
          <w:ilvl w:val="0"/>
          <w:numId w:val="1"/>
        </w:numPr>
        <w:spacing w:after="80"/>
      </w:pPr>
      <w:hyperlink w:history="1" r:id="rIds_yjsmgfjh1m4z05tmsp-">
        <w:r>
          <w:rPr>
            <w:rFonts w:ascii="Calibri" w:cs="Calibri" w:eastAsia="Calibri" w:hAnsi="Calibri"/>
            <w:color w:val="1155CC"/>
            <w:sz w:val="22"/>
            <w:szCs w:val="22"/>
            <w:u w:val="single"/>
          </w:rPr>
          <w:t xml:space="preserve">CNIL — Délibération EXTIA, 300 000 € (09/09/2026)</w:t>
        </w:r>
      </w:hyperlink>
    </w:p>
    <w:p>
      <w:pPr>
        <w:pStyle w:val="ListParagraph"/>
        <w:numPr>
          <w:ilvl w:val="0"/>
          <w:numId w:val="1"/>
        </w:numPr>
        <w:spacing w:after="80"/>
      </w:pPr>
      <w:r>
        <w:rPr>
          <w:rFonts w:ascii="Calibri" w:cs="Calibri" w:eastAsia="Calibri" w:hAnsi="Calibri"/>
          <w:color w:val="1F2937"/>
          <w:sz w:val="22"/>
          <w:szCs w:val="22"/>
        </w:rPr>
        <w:t xml:space="preserve">La CNIL a sanctionné la société EXTIA à hauteur de 300 000 € pour non-respect du droit à l'effacement et d'autres droits individuels (article 17 et suivants RGPD). La délibération porte sur des défaillances dans les processus de gestion des droits des personnes.</w:t>
      </w:r>
    </w:p>
    <w:p>
      <w:pPr>
        <w:pStyle w:val="ListParagraph"/>
        <w:numPr>
          <w:ilvl w:val="1"/>
          <w:numId w:val="1"/>
        </w:numPr>
        <w:spacing w:after="80"/>
      </w:pPr>
      <w:r>
        <w:rPr>
          <w:rFonts w:ascii="Calibri" w:cs="Calibri" w:eastAsia="Calibri" w:hAnsi="Calibri"/>
          <w:color w:val="1F2937"/>
          <w:sz w:val="22"/>
          <w:szCs w:val="22"/>
        </w:rPr>
        <w:t xml:space="preserve">Pertinence pour les ESSMS : rappel que les droits d'accès, de rectification et d'effacement sont exigibles y compris dans les dossiers usagers informatisés (DUI). Un établissement qui ne répond pas aux demandes d'effacement dans les délais RGPD est exposé à des poursuites.</w:t>
      </w:r>
    </w:p>
    <w:p>
      <w:r>
        <w:t xml:space="preserve"/>
      </w:r>
    </w:p>
    <w:p>
      <w:pPr>
        <w:spacing w:after="100"/>
      </w:pPr>
      <w:r>
        <w:rPr>
          <w:rFonts w:ascii="Calibri" w:cs="Calibri" w:eastAsia="Calibri" w:hAnsi="Calibri"/>
          <w:b/>
          <w:bCs/>
          <w:i w:val="false"/>
          <w:iCs w:val="false"/>
          <w:color w:val="EA580C"/>
          <w:sz w:val="22"/>
          <w:szCs w:val="22"/>
        </w:rPr>
        <w:t xml:space="preserve">Rappel de contexte — Sanction Hôpital Privé de la Loire (hors fenêtre)</w:t>
      </w:r>
    </w:p>
    <w:p>
      <w:pPr>
        <w:spacing w:after="100"/>
      </w:pPr>
      <w:r>
        <w:rPr>
          <w:rFonts w:ascii="Calibri" w:cs="Calibri" w:eastAsia="Calibri" w:hAnsi="Calibri"/>
          <w:b w:val="false"/>
          <w:bCs w:val="false"/>
          <w:i/>
          <w:iCs/>
          <w:color w:val="6B7280"/>
          <w:sz w:val="22"/>
          <w:szCs w:val="22"/>
        </w:rPr>
        <w:t xml:space="preserve">Délibérée le 21/07/2026 (date de l'événement), annoncée le 03/09/2026 (date de publication, 1 jour hors fenêtre — incluse ici comme contexte utile).</w:t>
      </w:r>
    </w:p>
    <w:p>
      <w:pPr>
        <w:pStyle w:val="ListParagraph"/>
        <w:numPr>
          <w:ilvl w:val="0"/>
          <w:numId w:val="1"/>
        </w:numPr>
        <w:spacing w:after="80"/>
      </w:pPr>
      <w:hyperlink w:history="1" r:id="rIdgmrz8ae6tubmzajtwfe5t">
        <w:r>
          <w:rPr>
            <w:rFonts w:ascii="Calibri" w:cs="Calibri" w:eastAsia="Calibri" w:hAnsi="Calibri"/>
            <w:color w:val="1155CC"/>
            <w:sz w:val="22"/>
            <w:szCs w:val="22"/>
            <w:u w:val="single"/>
          </w:rPr>
          <w:t xml:space="preserve">CNIL — Sanction Hôpital Privé de la Loire, 500 000 € (annoncée 03/09/2026)</w:t>
        </w:r>
      </w:hyperlink>
    </w:p>
    <w:p>
      <w:pPr>
        <w:pStyle w:val="ListParagraph"/>
        <w:numPr>
          <w:ilvl w:val="0"/>
          <w:numId w:val="1"/>
        </w:numPr>
        <w:spacing w:after="80"/>
      </w:pPr>
      <w:r>
        <w:rPr>
          <w:rFonts w:ascii="Calibri" w:cs="Calibri" w:eastAsia="Calibri" w:hAnsi="Calibri"/>
          <w:color w:val="1F2937"/>
          <w:sz w:val="22"/>
          <w:szCs w:val="22"/>
        </w:rPr>
        <w:t xml:space="preserve">Cyberattaque de l'été 2025 : 524 867 dossiers patients et 202 246 contacts tiers exposés. Violations retenues : absence de VPN et d'authentification multi-facteurs pour les accès externes, contrôles d'accès insuffisants, défaut de surveillance en temps réel, absence de notification aux tiers.</w:t>
      </w:r>
    </w:p>
    <w:p>
      <w:pPr>
        <w:pStyle w:val="ListParagraph"/>
        <w:numPr>
          <w:ilvl w:val="1"/>
          <w:numId w:val="1"/>
        </w:numPr>
        <w:spacing w:after="80"/>
      </w:pPr>
      <w:r>
        <w:rPr>
          <w:rFonts w:ascii="Calibri" w:cs="Calibri" w:eastAsia="Calibri" w:hAnsi="Calibri"/>
          <w:color w:val="1F2937"/>
          <w:sz w:val="22"/>
          <w:szCs w:val="22"/>
        </w:rPr>
        <w:t xml:space="preserve">Signification pour le médico-social : la CNIL retient la même grille qu'elle appliquera demain aux systèmes à haut risque AI Act. Un foyer d'hébergement administrant des données de santé ou de situation de handicap doit avoir : MFA pour les accès distants, profils d'accès limités au rôle de chaque professionnel, journaux d'activité consultés régulièrement.</w:t>
      </w:r>
    </w:p>
    <w:p>
      <w:r>
        <w:t xml:space="preserve"/>
      </w:r>
    </w:p>
    <w:p>
      <w:pPr>
        <w:spacing w:after="100"/>
      </w:pPr>
      <w:r>
        <w:rPr>
          <w:rFonts w:ascii="Calibri" w:cs="Calibri" w:eastAsia="Calibri" w:hAnsi="Calibri"/>
          <w:b/>
          <w:bCs/>
          <w:i w:val="false"/>
          <w:iCs w:val="false"/>
          <w:color w:val="1F2937"/>
          <w:sz w:val="22"/>
          <w:szCs w:val="22"/>
        </w:rPr>
        <w:t xml:space="preserve">Rencontres Informatique &amp; Libertés 2026 — À venir (29/09/2026)</w:t>
      </w:r>
    </w:p>
    <w:p>
      <w:pPr>
        <w:pStyle w:val="ListParagraph"/>
        <w:numPr>
          <w:ilvl w:val="0"/>
          <w:numId w:val="1"/>
        </w:numPr>
        <w:spacing w:after="80"/>
      </w:pPr>
      <w:hyperlink w:history="1" r:id="rIdgnqcroyicbmpz_jgll8rv">
        <w:r>
          <w:rPr>
            <w:rFonts w:ascii="Calibri" w:cs="Calibri" w:eastAsia="Calibri" w:hAnsi="Calibri"/>
            <w:color w:val="1155CC"/>
            <w:sz w:val="22"/>
            <w:szCs w:val="22"/>
            <w:u w:val="single"/>
          </w:rPr>
          <w:t xml:space="preserve">CNIL — Rencontres Informatique &amp; Libertés 2026 (29/09/2026)</w:t>
        </w:r>
      </w:hyperlink>
    </w:p>
    <w:p>
      <w:pPr>
        <w:pStyle w:val="ListParagraph"/>
        <w:numPr>
          <w:ilvl w:val="0"/>
          <w:numId w:val="1"/>
        </w:numPr>
        <w:spacing w:after="80"/>
      </w:pPr>
      <w:r>
        <w:rPr>
          <w:rFonts w:ascii="Calibri" w:cs="Calibri" w:eastAsia="Calibri" w:hAnsi="Calibri"/>
          <w:color w:val="1F2937"/>
          <w:sz w:val="22"/>
          <w:szCs w:val="22"/>
        </w:rPr>
        <w:t xml:space="preserve">2e édition de l'événement annuel CNIL, en présentiel (20 avenue de Ségur, Paris) et en direct. Inscriptions complètes. Thèmes : régulation des lunettes connectées, bilan des sanctions 2025 (83 sanctions, 487 M€ au total). Audience : DPO, juristes, universitaires, étudiants.</w:t>
      </w:r>
    </w:p>
    <w:p>
      <w:pPr>
        <w:pStyle w:val="ListParagraph"/>
        <w:numPr>
          <w:ilvl w:val="1"/>
          <w:numId w:val="1"/>
        </w:numPr>
        <w:spacing w:after="80"/>
      </w:pPr>
      <w:r>
        <w:rPr>
          <w:rFonts w:ascii="Calibri" w:cs="Calibri" w:eastAsia="Calibri" w:hAnsi="Calibri"/>
          <w:color w:val="1F2937"/>
          <w:sz w:val="22"/>
          <w:szCs w:val="22"/>
        </w:rPr>
        <w:t xml:space="preserve">À noter : le sujet IA / AI Act n'est pas annoncé comme thème central de cet événement. La veille sur le sujet reste à effectuer via les canaux habituels.</w:t>
      </w:r>
    </w:p>
    <w:p>
      <w:r>
        <w:t xml:space="preserve"/>
      </w:r>
    </w:p>
    <w:p>
      <w:pPr>
        <w:spacing w:after="100"/>
      </w:pPr>
      <w:r>
        <w:rPr>
          <w:rFonts w:ascii="Calibri" w:cs="Calibri" w:eastAsia="Calibri" w:hAnsi="Calibri"/>
          <w:b/>
          <w:bCs/>
          <w:i w:val="false"/>
          <w:iCs w:val="false"/>
          <w:color w:val="1F2937"/>
          <w:sz w:val="22"/>
          <w:szCs w:val="22"/>
        </w:rPr>
        <w:t xml:space="preserve">Q/R CNIL sur le règlement IA (mis à jour 17/08/2026)</w:t>
      </w:r>
    </w:p>
    <w:p>
      <w:pPr>
        <w:pStyle w:val="ListParagraph"/>
        <w:numPr>
          <w:ilvl w:val="0"/>
          <w:numId w:val="1"/>
        </w:numPr>
        <w:spacing w:after="80"/>
      </w:pPr>
      <w:hyperlink w:history="1" r:id="rId2rynnexpnyp7uoii6k_bb">
        <w:r>
          <w:rPr>
            <w:rFonts w:ascii="Calibri" w:cs="Calibri" w:eastAsia="Calibri" w:hAnsi="Calibri"/>
            <w:color w:val="1155CC"/>
            <w:sz w:val="22"/>
            <w:szCs w:val="22"/>
            <w:u w:val="single"/>
          </w:rPr>
          <w:t xml:space="preserve">CNIL — Questions-réponses : entrée en vigueur du règlement européen sur l'IA</w:t>
        </w:r>
      </w:hyperlink>
    </w:p>
    <w:p>
      <w:pPr>
        <w:pStyle w:val="ListParagraph"/>
        <w:numPr>
          <w:ilvl w:val="0"/>
          <w:numId w:val="1"/>
        </w:numPr>
        <w:spacing w:after="80"/>
      </w:pPr>
      <w:r>
        <w:rPr>
          <w:rFonts w:ascii="Calibri" w:cs="Calibri" w:eastAsia="Calibri" w:hAnsi="Calibri"/>
          <w:color w:val="1F2937"/>
          <w:sz w:val="22"/>
          <w:szCs w:val="22"/>
        </w:rPr>
        <w:t xml:space="preserve">Dernière mise à jour documentée : 17/08/2026 (intégrant les modifications de l'Omnibus IA du 27/07/2026). Aucun ajout identifié dans la fenêtre courante (4-11/09). Ce document reste la référence opérationnelle pour l'articulation RGPD / AI Act.</w:t>
      </w:r>
    </w:p>
    <w:p>
      <w:pPr>
        <w:pStyle w:val="ListParagraph"/>
        <w:numPr>
          <w:ilvl w:val="1"/>
          <w:numId w:val="1"/>
        </w:numPr>
        <w:spacing w:after="80"/>
      </w:pPr>
      <w:r>
        <w:rPr>
          <w:rFonts w:ascii="Calibri" w:cs="Calibri" w:eastAsia="Calibri" w:hAnsi="Calibri"/>
          <w:color w:val="1F2937"/>
          <w:sz w:val="22"/>
          <w:szCs w:val="22"/>
        </w:rPr>
        <w:t xml:space="preserve">Point clé rappelé : les deux règlements s'appliquent simultanément. L'AIPD du fournisseur peut être mutualisée avec celle du déployeur (art. 26-27 RIA). Pour un ESSMS, la CNIL via le DPO reste l'interlocuteur de fait tant que les autorités nationales AI Act ne sont pas désignées.</w:t>
      </w:r>
    </w:p>
    <w:p>
      <w:r>
        <w:t xml:space="preserve"/>
      </w:r>
    </w:p>
    <w:p>
      <w:pPr>
        <w:pBdr>
          <w:bottom w:val="single" w:color="D1D5DB" w:sz="4"/>
        </w:pBdr>
        <w:spacing w:after="80"/>
      </w:pPr>
      <w:r>
        <w:t xml:space="preserve"/>
      </w:r>
    </w:p>
    <w:p>
      <w:pPr>
        <w:spacing w:after="120" w:before="320"/>
      </w:pPr>
      <w:r>
        <w:rPr>
          <w:rFonts w:ascii="Calibri" w:cs="Calibri" w:eastAsia="Calibri" w:hAnsi="Calibri"/>
          <w:b/>
          <w:bCs/>
          <w:color w:val="1B3A6B"/>
          <w:sz w:val="28"/>
          <w:szCs w:val="28"/>
        </w:rPr>
        <w:t xml:space="preserve">⚠️ Impacts pour les ESSMS</w:t>
      </w:r>
    </w:p>
    <w:p>
      <w:pPr>
        <w:spacing w:after="100"/>
      </w:pPr>
      <w:r>
        <w:rPr>
          <w:rFonts w:ascii="Calibri" w:cs="Calibri" w:eastAsia="Calibri" w:hAnsi="Calibri"/>
          <w:b/>
          <w:bCs/>
          <w:i w:val="false"/>
          <w:iCs w:val="false"/>
          <w:color w:val="1F2937"/>
          <w:sz w:val="22"/>
          <w:szCs w:val="22"/>
        </w:rPr>
        <w:t xml:space="preserve">Points de vigilance concrets — Foyer d'hébergement adultes en situation de handicap</w:t>
      </w:r>
    </w:p>
    <w:p>
      <w:r>
        <w:t xml:space="preserve"/>
      </w:r>
    </w:p>
    <w:p>
      <w:pPr>
        <w:pStyle w:val="ListParagraph"/>
        <w:numPr>
          <w:ilvl w:val="0"/>
          <w:numId w:val="1"/>
        </w:numPr>
        <w:spacing w:after="80"/>
      </w:pPr>
      <w:r>
        <w:rPr>
          <w:rFonts w:ascii="Calibri" w:cs="Calibri" w:eastAsia="Calibri" w:hAnsi="Calibri"/>
          <w:color w:val="1F2937"/>
          <w:sz w:val="22"/>
          <w:szCs w:val="22"/>
        </w:rPr>
        <w:t xml:space="preserve">① LITTÉRATIE IA (art. 4, en vigueur depuis le 02/08/2026) — Obligation active.</w:t>
      </w:r>
    </w:p>
    <w:p>
      <w:pPr>
        <w:pStyle w:val="ListParagraph"/>
        <w:numPr>
          <w:ilvl w:val="1"/>
          <w:numId w:val="1"/>
        </w:numPr>
        <w:spacing w:after="80"/>
      </w:pPr>
      <w:r>
        <w:rPr>
          <w:rFonts w:ascii="Calibri" w:cs="Calibri" w:eastAsia="Calibri" w:hAnsi="Calibri"/>
          <w:color w:val="1F2937"/>
          <w:sz w:val="22"/>
          <w:szCs w:val="22"/>
        </w:rPr>
        <w:t xml:space="preserve">Constituer dès maintenant la trace documentaire : intitulé de l'action de sensibilisation, date, liste des participants, contenu synthétique. Cette trace est exigible à tout contrôle. Elle devra exister avant toute évaluation HAS.</w:t>
      </w:r>
    </w:p>
    <w:p>
      <w:pPr>
        <w:pStyle w:val="ListParagraph"/>
        <w:numPr>
          <w:ilvl w:val="1"/>
          <w:numId w:val="1"/>
        </w:numPr>
        <w:spacing w:after="80"/>
      </w:pPr>
      <w:r>
        <w:rPr>
          <w:rFonts w:ascii="Calibri" w:cs="Calibri" w:eastAsia="Calibri" w:hAnsi="Calibri"/>
          <w:color w:val="1F2937"/>
          <w:sz w:val="22"/>
          <w:szCs w:val="22"/>
        </w:rPr>
        <w:t xml:space="preserve">Le document du Conseil de l'UE du 28/08/2026 sur les compétences IA (cité dans le CR du 04/09) confirme la direction : la montée en compétences est attendue à tous les niveaux hiérarchiques, pas seulement de la DSI.</w:t>
      </w:r>
    </w:p>
    <w:p>
      <w:r>
        <w:t xml:space="preserve"/>
      </w:r>
    </w:p>
    <w:p>
      <w:pPr>
        <w:pStyle w:val="ListParagraph"/>
        <w:numPr>
          <w:ilvl w:val="0"/>
          <w:numId w:val="1"/>
        </w:numPr>
        <w:spacing w:after="80"/>
      </w:pPr>
      <w:r>
        <w:rPr>
          <w:rFonts w:ascii="Calibri" w:cs="Calibri" w:eastAsia="Calibri" w:hAnsi="Calibri"/>
          <w:color w:val="1F2937"/>
          <w:sz w:val="22"/>
          <w:szCs w:val="22"/>
        </w:rPr>
        <w:t xml:space="preserve">② TRANSPARENCE VIS-À-VIS DES PERSONNES ACCOMPAGNÉES (art. 50, en vigueur depuis le 02/08/2026).</w:t>
      </w:r>
    </w:p>
    <w:p>
      <w:pPr>
        <w:pStyle w:val="ListParagraph"/>
        <w:numPr>
          <w:ilvl w:val="1"/>
          <w:numId w:val="1"/>
        </w:numPr>
        <w:spacing w:after="80"/>
      </w:pPr>
      <w:r>
        <w:rPr>
          <w:rFonts w:ascii="Calibri" w:cs="Calibri" w:eastAsia="Calibri" w:hAnsi="Calibri"/>
          <w:color w:val="1F2937"/>
          <w:sz w:val="22"/>
          <w:szCs w:val="22"/>
        </w:rPr>
        <w:t xml:space="preserve">Tout outil interactif utilisant l'IA et en contact avec les personnes accompagnées ou les familles doit les informer de cette interaction. Cela inclut les chatbots de service, les outils de résumé automatique de compte rendu partagés, tout système d'aide à la décision visible par la personne.</w:t>
      </w:r>
    </w:p>
    <w:p>
      <w:pPr>
        <w:pStyle w:val="ListParagraph"/>
        <w:numPr>
          <w:ilvl w:val="1"/>
          <w:numId w:val="1"/>
        </w:numPr>
        <w:spacing w:after="80"/>
      </w:pPr>
      <w:r>
        <w:rPr>
          <w:rFonts w:ascii="Calibri" w:cs="Calibri" w:eastAsia="Calibri" w:hAnsi="Calibri"/>
          <w:color w:val="1F2937"/>
          <w:sz w:val="22"/>
          <w:szCs w:val="22"/>
        </w:rPr>
        <w:t xml:space="preserve">Un compte rendu rédigé avec l'aide d'une IA puis relu et validé par un professionnel ne déclenche pas l'obligation de marquage — la relecture humaine qualifiée coupe le circuit. C'est un outil d'aide interne, pas un système interactif au sens de l'art. 50.</w:t>
      </w:r>
    </w:p>
    <w:p>
      <w:r>
        <w:t xml:space="preserve"/>
      </w:r>
    </w:p>
    <w:p>
      <w:pPr>
        <w:pStyle w:val="ListParagraph"/>
        <w:numPr>
          <w:ilvl w:val="0"/>
          <w:numId w:val="1"/>
        </w:numPr>
        <w:spacing w:after="80"/>
      </w:pPr>
      <w:r>
        <w:rPr>
          <w:rFonts w:ascii="Calibri" w:cs="Calibri" w:eastAsia="Calibri" w:hAnsi="Calibri"/>
          <w:color w:val="1F2937"/>
          <w:sz w:val="22"/>
          <w:szCs w:val="22"/>
        </w:rPr>
        <w:t xml:space="preserve">③ DÉLAI DU 2 DÉCEMBRE 2026 — J-82. Dernier délai pour les fournisseurs d'IA générative commercialisée avant le 2 août 2026 pour se conformer à l'art. 50 §2 (marquage des contenus générés). Pour un ESSMS déployeur : recenser avant cette date tout outil génératif en production et vérifier la politique de conformité du fournisseur.</w:t>
      </w:r>
    </w:p>
    <w:p>
      <w:r>
        <w:t xml:space="preserve"/>
      </w:r>
    </w:p>
    <w:p>
      <w:pPr>
        <w:pStyle w:val="ListParagraph"/>
        <w:numPr>
          <w:ilvl w:val="0"/>
          <w:numId w:val="1"/>
        </w:numPr>
        <w:spacing w:after="80"/>
      </w:pPr>
      <w:r>
        <w:rPr>
          <w:rFonts w:ascii="Calibri" w:cs="Calibri" w:eastAsia="Calibri" w:hAnsi="Calibri"/>
          <w:color w:val="1F2937"/>
          <w:sz w:val="22"/>
          <w:szCs w:val="22"/>
        </w:rPr>
        <w:t xml:space="preserve">④ SÉCURITÉ DES DONNÉES — Signal renforcé par la sanction CNIL Hôpital Privé de la Loire.</w:t>
      </w:r>
    </w:p>
    <w:p>
      <w:pPr>
        <w:pStyle w:val="ListParagraph"/>
        <w:numPr>
          <w:ilvl w:val="1"/>
          <w:numId w:val="1"/>
        </w:numPr>
        <w:spacing w:after="80"/>
      </w:pPr>
      <w:r>
        <w:rPr>
          <w:rFonts w:ascii="Calibri" w:cs="Calibri" w:eastAsia="Calibri" w:hAnsi="Calibri"/>
          <w:color w:val="1F2937"/>
          <w:sz w:val="22"/>
          <w:szCs w:val="22"/>
        </w:rPr>
        <w:t xml:space="preserve">Les trois failles retenues (absence de MFA pour accès distants, profils trop larges, absence de monitoring) sont des failles classiques des ESSMS. Les infrastructures sociales et médico-sociales sont exposées aux mêmes risques que l'hôpital. L'ajout de systèmes d'IA sur un SI non sécurisé aggraverait le risque.</w:t>
      </w:r>
    </w:p>
    <w:p>
      <w:r>
        <w:t xml:space="preserve"/>
      </w:r>
    </w:p>
    <w:p>
      <w:pPr>
        <w:pStyle w:val="ListParagraph"/>
        <w:numPr>
          <w:ilvl w:val="0"/>
          <w:numId w:val="1"/>
        </w:numPr>
        <w:spacing w:after="80"/>
      </w:pPr>
      <w:r>
        <w:rPr>
          <w:rFonts w:ascii="Calibri" w:cs="Calibri" w:eastAsia="Calibri" w:hAnsi="Calibri"/>
          <w:color w:val="1F2937"/>
          <w:sz w:val="22"/>
          <w:szCs w:val="22"/>
        </w:rPr>
        <w:t xml:space="preserve">⑤ AUTORITÉS FRANÇAISES NON DÉSIGNÉES — Rappel de situation.</w:t>
      </w:r>
    </w:p>
    <w:p>
      <w:pPr>
        <w:pStyle w:val="ListParagraph"/>
        <w:numPr>
          <w:ilvl w:val="1"/>
          <w:numId w:val="1"/>
        </w:numPr>
        <w:spacing w:after="80"/>
      </w:pPr>
      <w:r>
        <w:rPr>
          <w:rFonts w:ascii="Calibri" w:cs="Calibri" w:eastAsia="Calibri" w:hAnsi="Calibri"/>
          <w:color w:val="1F2937"/>
          <w:sz w:val="22"/>
          <w:szCs w:val="22"/>
        </w:rPr>
        <w:t xml:space="preserve">Le volet numérique du DDADUE est toujours en navette parlementaire au 11/09/2026. Cette absence ne suspend aucune obligation. L'interlocuteur de fait reste la CNIL via le DPO de l'établissement ou de l'association.</w:t>
      </w:r>
    </w:p>
    <w:p>
      <w:r>
        <w:t xml:space="preserve"/>
      </w:r>
    </w:p>
    <w:p>
      <w:pPr>
        <w:pBdr>
          <w:bottom w:val="single" w:color="D1D5DB" w:sz="4"/>
        </w:pBdr>
        <w:spacing w:after="80"/>
      </w:pPr>
      <w:r>
        <w:t xml:space="preserve"/>
      </w:r>
    </w:p>
    <w:p>
      <w:pPr>
        <w:spacing w:after="120" w:before="320"/>
      </w:pPr>
      <w:r>
        <w:rPr>
          <w:rFonts w:ascii="Calibri" w:cs="Calibri" w:eastAsia="Calibri" w:hAnsi="Calibri"/>
          <w:b/>
          <w:bCs/>
          <w:color w:val="1B3A6B"/>
          <w:sz w:val="28"/>
          <w:szCs w:val="28"/>
        </w:rPr>
        <w:t xml:space="preserve">📚 Sources du jour</w:t>
      </w:r>
    </w:p>
    <w:p>
      <w:pPr>
        <w:spacing w:after="100"/>
      </w:pPr>
      <w:r>
        <w:rPr>
          <w:rFonts w:ascii="Calibri" w:cs="Calibri" w:eastAsia="Calibri" w:hAnsi="Calibri"/>
          <w:b w:val="false"/>
          <w:bCs w:val="false"/>
          <w:i/>
          <w:iCs/>
          <w:color w:val="6B7280"/>
          <w:sz w:val="22"/>
          <w:szCs w:val="22"/>
        </w:rPr>
        <w:t xml:space="preserve">Décompte : 11 sources ✅ (ouvertes et exploitées, dont EUR-Lex ajoutée le 12/09/2026), 2 sources ⚠️ (non extraites par l'agent du job — l'une est un vrai mur anti-robot, l'autre répond à un navigateur, voir sa ligne). Aucune source ⛔ : le statut « définitivement écartée » a été retiré le 12/09/2026.</w:t>
      </w:r>
    </w:p>
    <w:p>
      <w:pPr>
        <w:spacing w:after="100"/>
      </w:pPr>
      <w:r>
        <w:rPr>
          <w:rFonts w:ascii="Calibri" w:cs="Calibri" w:eastAsia="Calibri" w:hAnsi="Calibri"/>
          <w:b w:val="false"/>
          <w:bCs w:val="false"/>
          <w:i/>
          <w:iCs/>
          <w:color w:val="6B7280"/>
          <w:sz w:val="22"/>
          <w:szCs w:val="22"/>
        </w:rPr>
        <w:t xml:space="preserve">Note : WebFetch et WebSearch sont des outils, pas des sources documentaires. Seules les sources documentaires réelles figurent ci-dessous.</w:t>
      </w:r>
    </w:p>
    <w:p>
      <w:r>
        <w:t xml:space="preserve"/>
      </w:r>
    </w:p>
    <w:p>
      <w:pPr>
        <w:spacing w:after="80"/>
      </w:pPr>
      <w:r>
        <w:rPr>
          <w:rFonts w:ascii="Calibri" w:cs="Calibri" w:eastAsia="Calibri" w:hAnsi="Calibri"/>
          <w:b/>
          <w:bCs/>
          <w:color w:val="16A34A"/>
          <w:sz w:val="22"/>
          <w:szCs w:val="22"/>
        </w:rPr>
        <w:t xml:space="preserve">✅ </w:t>
      </w:r>
      <w:hyperlink w:history="1" r:id="rIdpcdnwqbh2jxf6zf48sz1q">
        <w:r>
          <w:rPr>
            <w:rFonts w:ascii="Calibri" w:cs="Calibri" w:eastAsia="Calibri" w:hAnsi="Calibri"/>
            <w:color w:val="1155CC"/>
            <w:sz w:val="22"/>
            <w:szCs w:val="22"/>
            <w:u w:val="single"/>
          </w:rPr>
          <w:t xml:space="preserve">Commission européenne — Cadre réglementaire AI Act</w:t>
        </w:r>
      </w:hyperlink>
      <w:r>
        <w:rPr>
          <w:rFonts w:ascii="Calibri" w:cs="Calibri" w:eastAsia="Calibri" w:hAnsi="Calibri"/>
          <w:i/>
          <w:iCs/>
          <w:color w:val="6B7280"/>
          <w:sz w:val="22"/>
          <w:szCs w:val="22"/>
        </w:rPr>
        <w:t xml:space="preserve"> (consultée, sans élément nouveau dans la fenêtre 4-11/09)</w:t>
      </w:r>
    </w:p>
    <w:p>
      <w:pPr>
        <w:spacing w:after="80"/>
      </w:pPr>
      <w:r>
        <w:rPr>
          <w:rFonts w:ascii="Calibri" w:cs="Calibri" w:eastAsia="Calibri" w:hAnsi="Calibri"/>
          <w:b/>
          <w:bCs/>
          <w:color w:val="16A34A"/>
          <w:sz w:val="22"/>
          <w:szCs w:val="22"/>
        </w:rPr>
        <w:t xml:space="preserve">✅ </w:t>
      </w:r>
      <w:hyperlink w:history="1" r:id="rIdhyinw97dz6ghu8ftbdr2g">
        <w:r>
          <w:rPr>
            <w:rFonts w:ascii="Calibri" w:cs="Calibri" w:eastAsia="Calibri" w:hAnsi="Calibri"/>
            <w:color w:val="1155CC"/>
            <w:sz w:val="22"/>
            <w:szCs w:val="22"/>
            <w:u w:val="single"/>
          </w:rPr>
          <w:t xml:space="preserve">AI Act Service Desk — Calendrier d'implémentation</w:t>
        </w:r>
      </w:hyperlink>
      <w:r>
        <w:rPr>
          <w:rFonts w:ascii="Calibri" w:cs="Calibri" w:eastAsia="Calibri" w:hAnsi="Calibri"/>
          <w:i/>
          <w:iCs/>
          <w:color w:val="6B7280"/>
          <w:sz w:val="22"/>
          <w:szCs w:val="22"/>
        </w:rPr>
        <w:t xml:space="preserve"> (chronologie vérifiée, inchangée)</w:t>
      </w:r>
    </w:p>
    <w:p>
      <w:pPr>
        <w:spacing w:after="80"/>
      </w:pPr>
      <w:r>
        <w:rPr>
          <w:rFonts w:ascii="Calibri" w:cs="Calibri" w:eastAsia="Calibri" w:hAnsi="Calibri"/>
          <w:b/>
          <w:bCs/>
          <w:color w:val="16A34A"/>
          <w:sz w:val="22"/>
          <w:szCs w:val="22"/>
        </w:rPr>
        <w:t xml:space="preserve">✅ </w:t>
      </w:r>
      <w:hyperlink w:history="1" r:id="rIdeurlex1744">
        <w:r>
          <w:rPr>
            <w:rFonts w:ascii="Calibri" w:cs="Calibri" w:eastAsia="Calibri" w:hAnsi="Calibri"/>
            <w:color w:val="1155CC"/>
            <w:sz w:val="22"/>
            <w:szCs w:val="22"/>
            <w:u w:val="single"/>
          </w:rPr>
          <w:t xml:space="preserve">EUR-Lex — Règlement (UE) 2026/1744 du 8 juillet 2026 (« Omnibus IA »), JOUE L du 24 juillet 2026</w:t>
        </w:r>
      </w:hyperlink>
      <w:r>
        <w:rPr>
          <w:rFonts w:ascii="Calibri" w:cs="Calibri" w:eastAsia="Calibri" w:hAnsi="Calibri"/>
          <w:i/>
          <w:iCs/>
          <w:color w:val="6B7280"/>
          <w:sz w:val="22"/>
          <w:szCs w:val="22"/>
        </w:rPr>
        <w:t xml:space="preserve"> (ajoutée le 12/09/2026 — la référence était reprise de l'édition du 29/08 sans sa source ; vérifiée mot pour mot : 200, 166 892 caractères utiles)</w:t>
      </w:r>
    </w:p>
    <w:p>
      <w:pPr>
        <w:spacing w:after="80"/>
      </w:pPr>
      <w:r>
        <w:rPr>
          <w:rFonts w:ascii="Calibri" w:cs="Calibri" w:eastAsia="Calibri" w:hAnsi="Calibri"/>
          <w:b/>
          <w:bCs/>
          <w:color w:val="16A34A"/>
          <w:sz w:val="22"/>
          <w:szCs w:val="22"/>
        </w:rPr>
        <w:t xml:space="preserve">✅ </w:t>
      </w:r>
      <w:hyperlink w:history="1" r:id="rIdf9hi9bfm08b6piiwafcm5">
        <w:r>
          <w:rPr>
            <w:rFonts w:ascii="Calibri" w:cs="Calibri" w:eastAsia="Calibri" w:hAnsi="Calibri"/>
            <w:color w:val="1155CC"/>
            <w:sz w:val="22"/>
            <w:szCs w:val="22"/>
            <w:u w:val="single"/>
          </w:rPr>
          <w:t xml:space="preserve">Commission — Lignes directrices art. 50 (transparence)</w:t>
        </w:r>
      </w:hyperlink>
      <w:r>
        <w:rPr>
          <w:rFonts w:ascii="Calibri" w:cs="Calibri" w:eastAsia="Calibri" w:hAnsi="Calibri"/>
          <w:i/>
          <w:iCs/>
          <w:color w:val="6B7280"/>
          <w:sz w:val="22"/>
          <w:szCs w:val="22"/>
        </w:rPr>
        <w:t xml:space="preserve"> (mis à jour 06/08/2026, hors fenêtre ; consulté pour contexte)</w:t>
      </w:r>
    </w:p>
    <w:p>
      <w:pPr>
        <w:spacing w:after="80"/>
      </w:pPr>
      <w:r>
        <w:rPr>
          <w:rFonts w:ascii="Calibri" w:cs="Calibri" w:eastAsia="Calibri" w:hAnsi="Calibri"/>
          <w:b/>
          <w:bCs/>
          <w:color w:val="EA580C"/>
          <w:sz w:val="22"/>
          <w:szCs w:val="22"/>
        </w:rPr>
        <w:t xml:space="preserve">⚠️ </w:t>
      </w:r>
      <w:hyperlink w:history="1" r:id="rIdlicmuuxvevfmns_3upjyi">
        <w:r>
          <w:rPr>
            <w:rFonts w:ascii="Calibri" w:cs="Calibri" w:eastAsia="Calibri" w:hAnsi="Calibri"/>
            <w:color w:val="1155CC"/>
            <w:sz w:val="22"/>
            <w:szCs w:val="22"/>
            <w:u w:val="single"/>
          </w:rPr>
          <w:t xml:space="preserve">Conseil de l'UE — Communiqués de presse</w:t>
        </w:r>
      </w:hyperlink>
      <w:r>
        <w:rPr>
          <w:rFonts w:ascii="Calibri" w:cs="Calibri" w:eastAsia="Calibri" w:hAnsi="Calibri"/>
          <w:i/>
          <w:iCs/>
          <w:color w:val="6B7280"/>
          <w:sz w:val="22"/>
          <w:szCs w:val="22"/>
        </w:rPr>
        <w:t xml:space="preserve"> (403 anti-robot — page existante probable, non exploitée)</w:t>
      </w:r>
    </w:p>
    <w:p>
      <w:pPr>
        <w:spacing w:after="80"/>
      </w:pPr>
      <w:r>
        <w:rPr>
          <w:rFonts w:ascii="Calibri" w:cs="Calibri" w:eastAsia="Calibri" w:hAnsi="Calibri"/>
          <w:b/>
          <w:bCs/>
          <w:color w:val="16A34A"/>
          <w:sz w:val="22"/>
          <w:szCs w:val="22"/>
        </w:rPr>
        <w:t xml:space="preserve">✅ </w:t>
      </w:r>
      <w:hyperlink w:history="1" r:id="rIdnwfcoe_gneyvmwl0vmbxd">
        <w:r>
          <w:rPr>
            <w:rFonts w:ascii="Calibri" w:cs="Calibri" w:eastAsia="Calibri" w:hAnsi="Calibri"/>
            <w:color w:val="1155CC"/>
            <w:sz w:val="22"/>
            <w:szCs w:val="22"/>
            <w:u w:val="single"/>
          </w:rPr>
          <w:t xml:space="preserve">IAPP — A view from Brussels (Isabelle Roccia, 10/09/2026)</w:t>
        </w:r>
      </w:hyperlink>
      <w:r>
        <w:rPr>
          <w:rFonts w:ascii="Calibri" w:cs="Calibri" w:eastAsia="Calibri" w:hAnsi="Calibri"/>
          <w:i/>
          <w:iCs/>
          <w:color w:val="6B7280"/>
          <w:sz w:val="22"/>
          <w:szCs w:val="22"/>
        </w:rPr>
        <w:t xml:space="preserve"> (article libre, lu en entier, exploité)</w:t>
      </w:r>
    </w:p>
    <w:p>
      <w:pPr>
        <w:spacing w:after="80"/>
      </w:pPr>
      <w:r>
        <w:rPr>
          <w:rFonts w:ascii="Calibri" w:cs="Calibri" w:eastAsia="Calibri" w:hAnsi="Calibri"/>
          <w:b/>
          <w:bCs/>
          <w:color w:val="16A34A"/>
          <w:sz w:val="22"/>
          <w:szCs w:val="22"/>
        </w:rPr>
        <w:t xml:space="preserve">✅ </w:t>
      </w:r>
      <w:hyperlink w:history="1" r:id="rIdgmt5tcmu4m_hswnckoq9q">
        <w:r>
          <w:rPr>
            <w:rFonts w:ascii="Calibri" w:cs="Calibri" w:eastAsia="Calibri" w:hAnsi="Calibri"/>
            <w:color w:val="1155CC"/>
            <w:sz w:val="22"/>
            <w:szCs w:val="22"/>
            <w:u w:val="single"/>
          </w:rPr>
          <w:t xml:space="preserve">IAPP — Pope Leo's encyclical and AI regulation (Brian Hengesbaugh, 08/09/2026)</w:t>
        </w:r>
      </w:hyperlink>
      <w:r>
        <w:rPr>
          <w:rFonts w:ascii="Calibri" w:cs="Calibri" w:eastAsia="Calibri" w:hAnsi="Calibri"/>
          <w:i/>
          <w:iCs/>
          <w:color w:val="6B7280"/>
          <w:sz w:val="22"/>
          <w:szCs w:val="22"/>
        </w:rPr>
        <w:t xml:space="preserve"> (article libre, lu en entier, exploité)</w:t>
      </w:r>
    </w:p>
    <w:p>
      <w:pPr>
        <w:spacing w:after="80"/>
      </w:pPr>
      <w:r>
        <w:rPr>
          <w:rFonts w:ascii="Calibri" w:cs="Calibri" w:eastAsia="Calibri" w:hAnsi="Calibri"/>
          <w:b/>
          <w:bCs/>
          <w:color w:val="16A34A"/>
          <w:sz w:val="22"/>
          <w:szCs w:val="22"/>
        </w:rPr>
        <w:t xml:space="preserve">✅ </w:t>
      </w:r>
      <w:hyperlink w:history="1" r:id="rIdllt4kiwst_nmkggawv6b6">
        <w:r>
          <w:rPr>
            <w:rFonts w:ascii="Calibri" w:cs="Calibri" w:eastAsia="Calibri" w:hAnsi="Calibri"/>
            <w:color w:val="1155CC"/>
            <w:sz w:val="22"/>
            <w:szCs w:val="22"/>
            <w:u w:val="single"/>
          </w:rPr>
          <w:t xml:space="preserve">CNIL — Intelligence artificielle (hub)</w:t>
        </w:r>
      </w:hyperlink>
      <w:r>
        <w:rPr>
          <w:rFonts w:ascii="Calibri" w:cs="Calibri" w:eastAsia="Calibri" w:hAnsi="Calibri"/>
          <w:i/>
          <w:iCs/>
          <w:color w:val="6B7280"/>
          <w:sz w:val="22"/>
          <w:szCs w:val="22"/>
        </w:rPr>
        <w:t xml:space="preserve"> (consultée, sans élément nouveau spécifique AI Act dans la fenêtre)</w:t>
      </w:r>
    </w:p>
    <w:p>
      <w:pPr>
        <w:spacing w:after="80"/>
      </w:pPr>
      <w:r>
        <w:rPr>
          <w:rFonts w:ascii="Calibri" w:cs="Calibri" w:eastAsia="Calibri" w:hAnsi="Calibri"/>
          <w:b/>
          <w:bCs/>
          <w:color w:val="16A34A"/>
          <w:sz w:val="22"/>
          <w:szCs w:val="22"/>
        </w:rPr>
        <w:t xml:space="preserve">✅ </w:t>
      </w:r>
      <w:hyperlink w:history="1" r:id="rIdxcku_j0ymnhqmriwb149t">
        <w:r>
          <w:rPr>
            <w:rFonts w:ascii="Calibri" w:cs="Calibri" w:eastAsia="Calibri" w:hAnsi="Calibri"/>
            <w:color w:val="1155CC"/>
            <w:sz w:val="22"/>
            <w:szCs w:val="22"/>
            <w:u w:val="single"/>
          </w:rPr>
          <w:t xml:space="preserve">CNIL — Q/R règlement IA (mis à jour 17/08/2026)</w:t>
        </w:r>
      </w:hyperlink>
      <w:r>
        <w:rPr>
          <w:rFonts w:ascii="Calibri" w:cs="Calibri" w:eastAsia="Calibri" w:hAnsi="Calibri"/>
          <w:i/>
          <w:iCs/>
          <w:color w:val="6B7280"/>
          <w:sz w:val="22"/>
          <w:szCs w:val="22"/>
        </w:rPr>
        <w:t xml:space="preserve"> (consulté pour contexte — pas de mise à jour dans la fenêtre)</w:t>
      </w:r>
    </w:p>
    <w:p>
      <w:pPr>
        <w:spacing w:after="80"/>
      </w:pPr>
      <w:r>
        <w:rPr>
          <w:rFonts w:ascii="Calibri" w:cs="Calibri" w:eastAsia="Calibri" w:hAnsi="Calibri"/>
          <w:b/>
          <w:bCs/>
          <w:color w:val="16A34A"/>
          <w:sz w:val="22"/>
          <w:szCs w:val="22"/>
        </w:rPr>
        <w:t xml:space="preserve">✅ </w:t>
      </w:r>
      <w:hyperlink w:history="1" r:id="rIdgovmmfdurmgfnfatlei8k">
        <w:r>
          <w:rPr>
            <w:rFonts w:ascii="Calibri" w:cs="Calibri" w:eastAsia="Calibri" w:hAnsi="Calibri"/>
            <w:color w:val="1155CC"/>
            <w:sz w:val="22"/>
            <w:szCs w:val="22"/>
            <w:u w:val="single"/>
          </w:rPr>
          <w:t xml:space="preserve">CNIL — Sanction EXTIA 300 000 € (09/09/2026)</w:t>
        </w:r>
      </w:hyperlink>
      <w:r>
        <w:rPr>
          <w:rFonts w:ascii="Calibri" w:cs="Calibri" w:eastAsia="Calibri" w:hAnsi="Calibri"/>
          <w:i/>
          <w:iCs/>
          <w:color w:val="6B7280"/>
          <w:sz w:val="22"/>
          <w:szCs w:val="22"/>
        </w:rPr>
        <w:t xml:space="preserve"> (exploité — dans la fenêtre)</w:t>
      </w:r>
    </w:p>
    <w:p>
      <w:pPr>
        <w:spacing w:after="80"/>
      </w:pPr>
      <w:r>
        <w:rPr>
          <w:rFonts w:ascii="Calibri" w:cs="Calibri" w:eastAsia="Calibri" w:hAnsi="Calibri"/>
          <w:b/>
          <w:bCs/>
          <w:color w:val="16A34A"/>
          <w:sz w:val="22"/>
          <w:szCs w:val="22"/>
        </w:rPr>
        <w:t xml:space="preserve">✅ </w:t>
      </w:r>
      <w:hyperlink w:history="1" r:id="rId19vxot0shri0j0quufork">
        <w:r>
          <w:rPr>
            <w:rFonts w:ascii="Calibri" w:cs="Calibri" w:eastAsia="Calibri" w:hAnsi="Calibri"/>
            <w:color w:val="1155CC"/>
            <w:sz w:val="22"/>
            <w:szCs w:val="22"/>
            <w:u w:val="single"/>
          </w:rPr>
          <w:t xml:space="preserve">CNIL — Sanction Hôpital Privé de la Loire 500 000 € (annoncée 03/09/2026, délibération 21/07/2026)</w:t>
        </w:r>
      </w:hyperlink>
      <w:r>
        <w:rPr>
          <w:rFonts w:ascii="Calibri" w:cs="Calibri" w:eastAsia="Calibri" w:hAnsi="Calibri"/>
          <w:i/>
          <w:iCs/>
          <w:color w:val="6B7280"/>
          <w:sz w:val="22"/>
          <w:szCs w:val="22"/>
        </w:rPr>
        <w:t xml:space="preserve"> (exploité en section contexte — hors fenêtre stricte)</w:t>
      </w:r>
    </w:p>
    <w:p>
      <w:pPr>
        <w:spacing w:after="80"/>
      </w:pPr>
      <w:r>
        <w:rPr>
          <w:rFonts w:ascii="Calibri" w:cs="Calibri" w:eastAsia="Calibri" w:hAnsi="Calibri"/>
          <w:b/>
          <w:bCs/>
          <w:color w:val="16A34A"/>
          <w:sz w:val="22"/>
          <w:szCs w:val="22"/>
        </w:rPr>
        <w:t xml:space="preserve">✅ </w:t>
      </w:r>
      <w:hyperlink w:history="1" r:id="rIdxdfsqhfayxq8mfoa75aze">
        <w:r>
          <w:rPr>
            <w:rFonts w:ascii="Calibri" w:cs="Calibri" w:eastAsia="Calibri" w:hAnsi="Calibri"/>
            <w:color w:val="1155CC"/>
            <w:sz w:val="22"/>
            <w:szCs w:val="22"/>
            <w:u w:val="single"/>
          </w:rPr>
          <w:t xml:space="preserve">CNIL — Rencontres Informatique &amp; Libertés 2026 (29/09/2026)</w:t>
        </w:r>
      </w:hyperlink>
      <w:r>
        <w:rPr>
          <w:rFonts w:ascii="Calibri" w:cs="Calibri" w:eastAsia="Calibri" w:hAnsi="Calibri"/>
          <w:i/>
          <w:iCs/>
          <w:color w:val="6B7280"/>
          <w:sz w:val="22"/>
          <w:szCs w:val="22"/>
        </w:rPr>
        <w:t xml:space="preserve"> (exploité — événement à venir)</w:t>
      </w:r>
    </w:p>
    <w:p>
      <w:pPr>
        <w:spacing w:after="80"/>
      </w:pPr>
      <w:r>
        <w:rPr>
          <w:rFonts w:ascii="Calibri" w:cs="Calibri" w:eastAsia="Calibri" w:hAnsi="Calibri"/>
          <w:b/>
          <w:bCs/>
          <w:color w:val="D97706"/>
          <w:sz w:val="22"/>
          <w:szCs w:val="22"/>
        </w:rPr>
        <w:t xml:space="preserve">⚠️ </w:t>
      </w:r>
      <w:hyperlink w:history="1" r:id="rIduk249gfvo48-di20cext2">
        <w:r>
          <w:rPr>
            <w:rFonts w:ascii="Calibri" w:cs="Calibri" w:eastAsia="Calibri" w:hAnsi="Calibri"/>
            <w:color w:val="1155CC"/>
            <w:sz w:val="22"/>
            <w:szCs w:val="22"/>
            <w:u w:val="single"/>
          </w:rPr>
          <w:t xml:space="preserve">artificialintelligenceact.eu (Future of Life Institute)</w:t>
        </w:r>
      </w:hyperlink>
      <w:r>
        <w:rPr>
          <w:rFonts w:ascii="Calibri" w:cs="Calibri" w:eastAsia="Calibri" w:hAnsi="Calibri"/>
          <w:i/>
          <w:iCs/>
          <w:color w:val="6B7280"/>
          <w:sz w:val="22"/>
          <w:szCs w:val="22"/>
        </w:rPr>
        <w:t xml:space="preserve"> (non extraite par l'agent du job — 200 et 16 376 caractères utiles à un navigateur le 12/09/2026 ; statut ⛔ retiré le 12/09/2026)</w:t>
      </w:r>
    </w:p>
    <w:p>
      <w:r>
        <w:t xml:space="preserve"/>
      </w:r>
    </w:p>
    <w:p>
      <w:pPr>
        <w:pBdr>
          <w:bottom w:val="single" w:color="D1D5DB" w:sz="4"/>
        </w:pBdr>
        <w:spacing w:after="80"/>
      </w:pPr>
      <w:r>
        <w:t xml:space="preserve"/>
      </w:r>
    </w:p>
    <w:p>
      <w:pPr>
        <w:spacing w:after="120" w:before="320"/>
      </w:pPr>
      <w:r>
        <w:rPr>
          <w:rFonts w:ascii="Calibri" w:cs="Calibri" w:eastAsia="Calibri" w:hAnsi="Calibri"/>
          <w:b/>
          <w:bCs/>
          <w:color w:val="1B3A6B"/>
          <w:sz w:val="28"/>
          <w:szCs w:val="28"/>
        </w:rPr>
        <w:t xml:space="preserve">🔜 À surveiller</w:t>
      </w:r>
    </w:p>
    <w:p>
      <w:pPr>
        <w:pStyle w:val="ListParagraph"/>
        <w:numPr>
          <w:ilvl w:val="0"/>
          <w:numId w:val="1"/>
        </w:numPr>
        <w:spacing w:after="80"/>
      </w:pPr>
      <w:r>
        <w:rPr>
          <w:rFonts w:ascii="Calibri" w:cs="Calibri" w:eastAsia="Calibri" w:hAnsi="Calibri"/>
          <w:color w:val="1F2937"/>
          <w:sz w:val="22"/>
          <w:szCs w:val="22"/>
        </w:rPr>
        <w:t xml:space="preserve">2 décembre 2026 (J-82) — Échéance double : fin du délai transitoire art. 50 §2 + prohibition hypertrucages sexuels / CSAM. Recenser dès maintenant les outils IA génératifs en production et interroger les fournisseurs sur leur plan de conformité.</w:t>
      </w:r>
    </w:p>
    <w:p>
      <w:pPr>
        <w:pStyle w:val="ListParagraph"/>
        <w:numPr>
          <w:ilvl w:val="0"/>
          <w:numId w:val="1"/>
        </w:numPr>
        <w:spacing w:after="80"/>
      </w:pPr>
      <w:r>
        <w:rPr>
          <w:rFonts w:ascii="Calibri" w:cs="Calibri" w:eastAsia="Calibri" w:hAnsi="Calibri"/>
          <w:color w:val="1F2937"/>
          <w:sz w:val="22"/>
          <w:szCs w:val="22"/>
        </w:rPr>
        <w:t xml:space="preserve">Désignation des autorités nationales AI Act françaises (volet numérique du DDADUE) — Toujours en attente. Surveiller la navette parlementaire.</w:t>
      </w:r>
    </w:p>
    <w:p>
      <w:pPr>
        <w:pStyle w:val="ListParagraph"/>
        <w:numPr>
          <w:ilvl w:val="0"/>
          <w:numId w:val="1"/>
        </w:numPr>
        <w:spacing w:after="80"/>
      </w:pPr>
      <w:r>
        <w:rPr>
          <w:rFonts w:ascii="Calibri" w:cs="Calibri" w:eastAsia="Calibri" w:hAnsi="Calibri"/>
          <w:color w:val="1F2937"/>
          <w:sz w:val="22"/>
          <w:szCs w:val="22"/>
        </w:rPr>
        <w:t xml:space="preserve">Cloud and AI Development Act (UE) — En cours de négociation selon l'article IAPP du 10/09/2026. Aucun texte public disponible dans la fenêtre. À suivre pour son impact potentiel sur les hébergeurs de données de santé / ESSMS.</w:t>
      </w:r>
    </w:p>
    <w:p>
      <w:pPr>
        <w:pStyle w:val="ListParagraph"/>
        <w:numPr>
          <w:ilvl w:val="0"/>
          <w:numId w:val="1"/>
        </w:numPr>
        <w:spacing w:after="80"/>
      </w:pPr>
      <w:r>
        <w:rPr>
          <w:rFonts w:ascii="Calibri" w:cs="Calibri" w:eastAsia="Calibri" w:hAnsi="Calibri"/>
          <w:color w:val="1F2937"/>
          <w:sz w:val="22"/>
          <w:szCs w:val="22"/>
        </w:rPr>
        <w:t xml:space="preserve">CNIL Rencontres Informatique &amp; Libertés — 29/09/2026 (inscriptions closes). Suivre la rediffusion pour tout développement sur l'articulation RGPD / AI Act.</w:t>
      </w:r>
    </w:p>
    <w:p>
      <w:pPr>
        <w:pStyle w:val="ListParagraph"/>
        <w:numPr>
          <w:ilvl w:val="0"/>
          <w:numId w:val="1"/>
        </w:numPr>
        <w:spacing w:after="80"/>
      </w:pPr>
      <w:r>
        <w:rPr>
          <w:rFonts w:ascii="Calibri" w:cs="Calibri" w:eastAsia="Calibri" w:hAnsi="Calibri"/>
          <w:color w:val="1F2937"/>
          <w:sz w:val="22"/>
          <w:szCs w:val="22"/>
        </w:rPr>
        <w:t xml:space="preserve">Bureau de l'IA (AI Office) — Aucune publication de guidelines ni décision d'exécution dans la fenêtre. Surveiller les premières mises en demeure ou décisions formelles, qui constitueront la jurisprudence d'application du règlement.</w:t>
      </w:r>
    </w:p>
    <w:p>
      <w:pPr>
        <w:pStyle w:val="ListParagraph"/>
        <w:numPr>
          <w:ilvl w:val="0"/>
          <w:numId w:val="1"/>
        </w:numPr>
        <w:spacing w:after="80"/>
      </w:pPr>
      <w:r>
        <w:rPr>
          <w:rFonts w:ascii="Calibri" w:cs="Calibri" w:eastAsia="Calibri" w:hAnsi="Calibri"/>
          <w:color w:val="1F2937"/>
          <w:sz w:val="22"/>
          <w:szCs w:val="22"/>
        </w:rPr>
        <w:t xml:space="preserve">Lignes directrices art. 50 (Commission, 06/08/2026) — Applicables depuis le 2 août. Vérifier que la politique de l'établissement sur les outils d'IA générative est cohérente avec ces lignes directrices (marquage, information des personnes, Code of Practice sur les contenus générés).</w:t>
      </w:r>
    </w:p>
    <w:p>
      <w:r>
        <w:t xml:space="preserve"/>
      </w:r>
    </w:p>
    <w:p>
      <w:pPr>
        <w:spacing w:after="120" w:before="320"/>
      </w:pPr>
      <w:r>
        <w:rPr>
          <w:rFonts w:ascii="Calibri" w:cs="Calibri" w:eastAsia="Calibri" w:hAnsi="Calibri"/>
          <w:b/>
          <w:bCs/>
          <w:color w:val="1B3A6B"/>
          <w:sz w:val="28"/>
          <w:szCs w:val="28"/>
        </w:rPr>
        <w:t xml:space="preserve">📝 Journal des corrections — 12 septembre 2026</w:t>
      </w:r>
    </w:p>
    <w:p>
      <w:pPr>
        <w:spacing w:after="80"/>
      </w:pPr>
      <w:r>
        <w:rPr>
          <w:rFonts w:ascii="Calibri" w:cs="Calibri" w:eastAsia="Calibri" w:hAnsi="Calibri"/>
          <w:b/>
          <w:bCs/>
          <w:color w:val="1F2937"/>
          <w:sz w:val="22"/>
          <w:szCs w:val="22"/>
        </w:rPr>
        <w:t xml:space="preserve">Note produite le 11/09/2026, relue le 12/09/2026. TROIS corrections de méthode — aucun fait d'actualité n'était faux.</w:t>
      </w:r>
    </w:p>
    <w:p>
      <w:pPr>
        <w:spacing w:after="80"/>
      </w:pPr>
      <w:r>
        <w:rPr>
          <w:rFonts w:ascii="Calibri" w:cs="Calibri" w:eastAsia="Calibri" w:hAnsi="Calibri"/>
          <w:color w:val="1F2937"/>
          <w:sz w:val="22"/>
          <w:szCs w:val="22"/>
        </w:rPr>
        <w:t xml:space="preserve">① Le décompte des sources se contredisait d'une rubrique à l'autre. L'en-tête annonçait « 6 tentées — 5 exploitées (✅), 1 bloquée (⚠️) » ; la rubrique Sources du jour annonçait « 5 sources ✅, 1 ⚠️, 1 ⛔ » ; et la liste qui suivait comptait DOUZE entrées, dont dix ✅. Trois comptes pour une seule liste, aucun égal à ce qu'on obtient en comptant les lignes — dans la partie de la note qui prétend rendre compte de sa propre méthode. La règle 3 du prompt exigeait pourtant que le décompte « corresponde EXACTEMENT au nombre de ✅ de ta propre liste » : la règle existait, elle n'avait pas de test. L'en-tête et le décompte disent désormais ce que la liste contient.</w:t>
      </w:r>
    </w:p>
    <w:p>
      <w:pPr>
        <w:spacing w:after="80"/>
      </w:pPr>
      <w:r>
        <w:rPr>
          <w:rFonts w:ascii="Calibri" w:cs="Calibri" w:eastAsia="Calibri" w:hAnsi="Calibri"/>
          <w:color w:val="1F2937"/>
          <w:sz w:val="22"/>
          <w:szCs w:val="22"/>
        </w:rPr>
        <w:t xml:space="preserve">② Une source « définitivement écartée » qui répond parfaitement. artificialintelligenceact.eu était déclarée « rendu JavaScript côté client, non extractible en headless, constat confirmé en juillet, août et septembre, définitivement écartée ». Retestée le 12/09/2026 avec un agent de navigateur : HTTP 200, 16 376 caractères utiles. Le site rend son contenu ; c'est l'agent par défaut du job qu'il refuse. Trois constats faits avec le même outil ne font pas une preuve : ils répètent la même mesure. Le ⛔ devient ⚠️ et « définitivement » disparaît.</w:t>
      </w:r>
    </w:p>
    <w:p>
      <w:pPr>
        <w:spacing w:after="80"/>
      </w:pPr>
      <w:r>
        <w:rPr>
          <w:rFonts w:ascii="Calibri" w:cs="Calibri" w:eastAsia="Calibri" w:hAnsi="Calibri"/>
          <w:color w:val="1F2937"/>
          <w:sz w:val="22"/>
          <w:szCs w:val="22"/>
        </w:rPr>
        <w:t xml:space="preserve">③ Une référence exacte portée sans sa source, et une discordance non signalée. « Règlement (UE) 2026/1744 du 8 juillet 2026, JOUE du 24 juillet, en vigueur le 27 » est vérifié mot pour mot sur EUR-Lex le 12/09/2026. Mais EUR-Lex ne figurait pas parmi les douze sources : la référence avait été établie par l'édition du 29/08, qui citait la page, et voyageait depuis comme un fait acquis — un lecteur de cette édition ne pouvait pas l'ouvrir. EUR-Lex est ajoutée en source. Et la Q/R de la CNIL écrit « adoptée le 24 juillet 2026 » — la date de publication, pas celle de l'acte : deux sources ouvertes, deux dates, et la note, qui avait la bonne, ne signalait pas l'écart. Il l'est désormais. Plus petit : la date de l'encyclique (15/05/2026) est une déduction depuis « 135th anniversary of Rerum Novarum » — juste, mais dite comme telle maintenant.</w:t>
      </w:r>
    </w:p>
    <w:p>
      <w:pPr>
        <w:spacing w:after="80"/>
      </w:pPr>
      <w:r>
        <w:rPr>
          <w:rFonts w:ascii="Calibri" w:cs="Calibri" w:eastAsia="Calibri" w:hAnsi="Calibri"/>
          <w:color w:val="1F2937"/>
          <w:sz w:val="22"/>
          <w:szCs w:val="22"/>
        </w:rPr>
        <w:t xml:space="preserve">Vérifié lors de la relecture et inchangé. Les douze URL d'origine répondent comme annoncé, le Conseil étant un vrai mur (130 caractères). Chaque chiffre et chaque date des deux sanctions CNIL, des Rencontres du 29 septembre, de la Q/R du 17 août, des lignes directrices du 6 août et de la chronologie du Service Desk sont sur les pages ; les deux titres IAPP sont verbatim et « paquebot, pas hors-bord » rend fidèlement « a cruise ship, not a speed boat ». La note ne recule pas sur ses repères et son agenda ne porte que des dates à venir.</w:t>
      </w:r>
    </w:p>
    <w:p>
      <w:pPr>
        <w:spacing w:after="100"/>
      </w:pPr>
      <w:r>
        <w:rPr>
          <w:rFonts w:ascii="Calibri" w:cs="Calibri" w:eastAsia="Calibri" w:hAnsi="Calibri"/>
          <w:b w:val="false"/>
          <w:bCs w:val="false"/>
          <w:i/>
          <w:iCs/>
          <w:color w:val="6B7280"/>
          <w:sz w:val="22"/>
          <w:szCs w:val="22"/>
        </w:rPr>
        <w:t xml:space="preserve">Note méthodologique : cette veille ne cite aucun fait d'actualité issu de la mémoire interne du modèle. Tous les éléments proviennent de sources consultées pendant cette exécution. Les incertitudes résiduelles sont signalées dans le texte. Semaine institutionnellement calme sur le front AI Act — le niveau 🟢 est honnête.</w:t>
      </w:r>
    </w:p>
    <w:p>
      <w:pPr>
        <w:spacing w:after="80"/>
      </w:pPr>
      <w:r>
        <w:rPr>
          <w:rFonts w:ascii="Times New Roman" w:cs="Times New Roman" w:eastAsia="Times New Roman" w:hAnsi="Times New Roman"/>
          <w:color w:val="1F2937"/>
          <w:sz w:val="22"/>
          <w:szCs w:val="22"/>
        </w:rPr>
        <w:t xml:space="preserve">Correction apportée le 12/10/2026 après réouverture de la page de questions-réponses de la CNIL. Le libellé d'origine est conservé ci-dessous.</w:t>
      </w:r>
    </w:p>
    <w:p>
      <w:pPr>
        <w:spacing w:after="80"/>
      </w:pPr>
      <w:r>
        <w:rPr>
          <w:rFonts w:ascii="Times New Roman" w:cs="Times New Roman" w:eastAsia="Times New Roman" w:hAnsi="Times New Roman"/>
          <w:color w:val="1F2937"/>
          <w:sz w:val="20"/>
          <w:szCs w:val="20"/>
        </w:rPr>
        <w:t xml:space="preserve">• § Rappel du cadre — la citation de la Q/R de la CNIL portait « a été adoptée » quand la page écrit « a été adopté ». La faute d'accord de la source est désormais conservée et signalée, et la différence d'appellation entre la CNIL (« omnibus VII ») et EUR-Lex (« Omnibus IA ») est mentionnée.</w:t>
      </w:r>
    </w:p>
    <w:p>
      <w:pPr>
        <w:spacing w:after="80"/>
      </w:pPr>
      <w:r>
        <w:rPr>
          <w:rFonts w:ascii="Times New Roman" w:cs="Times New Roman" w:eastAsia="Times New Roman" w:hAnsi="Times New Roman"/>
          <w:color w:val="1F2937"/>
          <w:sz w:val="20"/>
          <w:szCs w:val="20"/>
        </w:rPr>
        <w:t xml:space="preserve">• Non corrigé, pour mémoire : la passe D laisse « 1744 » en « A VERIFIER ». EUR-Lex rend HTTP 202 et 0 octet à la vérification du 12/10/2026, après l'avoir rendue en 47 471 caractères quelques minutes plus tôt — la réserve porte sur la lisibilité de la page, pas sur la référence, vérifiée mot pour mot le 12/09/2026.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ynnhvqwkk0uintq067ss" Type="http://schemas.openxmlformats.org/officeDocument/2006/relationships/hyperlink" Target="https://digital-strategy.ec.europa.eu/en/policies/regulatory-framework-ai" TargetMode="External"/><Relationship Id="rIdbamfechxoigytsey3yzpw" Type="http://schemas.openxmlformats.org/officeDocument/2006/relationships/hyperlink" Target="https://digital-strategy.ec.europa.eu/en/policies/guidelines-ai-transparency-obligations" TargetMode="External"/><Relationship Id="rIdahylkljm8dgd8z5kycj1-" Type="http://schemas.openxmlformats.org/officeDocument/2006/relationships/hyperlink" Target="https://ai-act-service-desk.ec.europa.eu/en/ai-act/timeline/timeline-implementation-eu-ai-act" TargetMode="External"/><Relationship Id="rId76ps8brwhoy9vexhssbl0" Type="http://schemas.openxmlformats.org/officeDocument/2006/relationships/hyperlink" Target="https://iapp.org/news/a/a-view-from-brussels-will-staying-the-course-be-worth-it" TargetMode="External"/><Relationship Id="rId8_e1vka1pdpubcezhqjxt" Type="http://schemas.openxmlformats.org/officeDocument/2006/relationships/hyperlink" Target="https://iapp.org/news/a/thought-for-the-week-how-pope-leos-encyclical-letter-could-influence-emerging-global-ai-regulation" TargetMode="External"/><Relationship Id="rIds_yjsmgfjh1m4z05tmsp-" Type="http://schemas.openxmlformats.org/officeDocument/2006/relationships/hyperlink" Target="https://www.cnil.fr/fr/sanction-non-respect-droits-personnes-extia" TargetMode="External"/><Relationship Id="rIdgmrz8ae6tubmzajtwfe5t" Type="http://schemas.openxmlformats.org/officeDocument/2006/relationships/hyperlink" Target="https://www.cnil.fr/fr/sanction-hopital-prive-loire" TargetMode="External"/><Relationship Id="rIdgnqcroyicbmpz_jgll8rv" Type="http://schemas.openxmlformats.org/officeDocument/2006/relationships/hyperlink" Target="https://www.cnil.fr/fr/ril-2026" TargetMode="External"/><Relationship Id="rId2rynnexpnyp7uoii6k_bb" Type="http://schemas.openxmlformats.org/officeDocument/2006/relationships/hyperlink" Target="https://www.cnil.fr/fr/entree-en-vigueur-du-reglement-europeen-sur-lia-les-premieres-questions-reponses-de-la-cnil" TargetMode="External"/><Relationship Id="rIdpcdnwqbh2jxf6zf48sz1q" Type="http://schemas.openxmlformats.org/officeDocument/2006/relationships/hyperlink" Target="https://digital-strategy.ec.europa.eu/en/policies/regulatory-framework-ai" TargetMode="External"/><Relationship Id="rIdhyinw97dz6ghu8ftbdr2g" Type="http://schemas.openxmlformats.org/officeDocument/2006/relationships/hyperlink" Target="https://ai-act-service-desk.ec.europa.eu/en/ai-act/timeline/timeline-implementation-eu-ai-act" TargetMode="External"/><Relationship Id="rIdf9hi9bfm08b6piiwafcm5" Type="http://schemas.openxmlformats.org/officeDocument/2006/relationships/hyperlink" Target="https://digital-strategy.ec.europa.eu/en/policies/guidelines-ai-transparency-obligations" TargetMode="External"/><Relationship Id="rIdlicmuuxvevfmns_3upjyi" Type="http://schemas.openxmlformats.org/officeDocument/2006/relationships/hyperlink" Target="https://www.consilium.europa.eu/en/press/press-releases/" TargetMode="External"/><Relationship Id="rIdnwfcoe_gneyvmwl0vmbxd" Type="http://schemas.openxmlformats.org/officeDocument/2006/relationships/hyperlink" Target="https://iapp.org/news/a/a-view-from-brussels-will-staying-the-course-be-worth-it" TargetMode="External"/><Relationship Id="rIdgmt5tcmu4m_hswnckoq9q" Type="http://schemas.openxmlformats.org/officeDocument/2006/relationships/hyperlink" Target="https://iapp.org/news/a/thought-for-the-week-how-pope-leos-encyclical-letter-could-influence-emerging-global-ai-regulation" TargetMode="External"/><Relationship Id="rIdllt4kiwst_nmkggawv6b6" Type="http://schemas.openxmlformats.org/officeDocument/2006/relationships/hyperlink" Target="https://www.cnil.fr/fr/intelligence-artificielle" TargetMode="External"/><Relationship Id="rIdxcku_j0ymnhqmriwb149t" Type="http://schemas.openxmlformats.org/officeDocument/2006/relationships/hyperlink" Target="https://www.cnil.fr/fr/entree-en-vigueur-du-reglement-europeen-sur-lia-les-premieres-questions-reponses-de-la-cnil" TargetMode="External"/><Relationship Id="rIdgovmmfdurmgfnfatlei8k" Type="http://schemas.openxmlformats.org/officeDocument/2006/relationships/hyperlink" Target="https://www.cnil.fr/fr/sanction-non-respect-droits-personnes-extia" TargetMode="External"/><Relationship Id="rId19vxot0shri0j0quufork" Type="http://schemas.openxmlformats.org/officeDocument/2006/relationships/hyperlink" Target="https://www.cnil.fr/fr/sanction-hopital-prive-loire" TargetMode="External"/><Relationship Id="rIdxdfsqhfayxq8mfoa75aze" Type="http://schemas.openxmlformats.org/officeDocument/2006/relationships/hyperlink" Target="https://www.cnil.fr/fr/ril-2026" TargetMode="External"/><Relationship Id="rIduk249gfvo48-di20cext2" Type="http://schemas.openxmlformats.org/officeDocument/2006/relationships/hyperlink" Target="https://artificialintelligenceact.eu" TargetMode="External"/><Relationship Id="rId28" Type="http://schemas.openxmlformats.org/officeDocument/2006/relationships/fontTable" Target="fontTable.xml"/><Relationship Id="rIdeurlex1744" Type="http://schemas.openxmlformats.org/officeDocument/2006/relationships/hyperlink" Target="https://eur-lex.europa.eu/legal-content/FR/TXT/HTML/?uri=OJ:L_202601744"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Veille AI Act — Compte-rendu 2026-09-11</dc:title>
  <dc:creator>Claude Code — Job ai-act-veille</dc:creator>
  <dc:description>Veille AI Act du 11 septembre 2026</dc:description>
  <cp:lastModifiedBy>Un-named</cp:lastModifiedBy>
  <cp:revision>1</cp:revision>
  <dcterms:created xsi:type="dcterms:W3CDTF">2026-09-11T07:08:00.526Z</dcterms:created>
  <dcterms:modified xsi:type="dcterms:W3CDTF">2026-09-11T07:08:00.657Z</dcterms:modified>
</cp:coreProperties>
</file>

<file path=docProps/custom.xml><?xml version="1.0" encoding="utf-8"?>
<Properties xmlns="http://schemas.openxmlformats.org/officeDocument/2006/custom-properties" xmlns:vt="http://schemas.openxmlformats.org/officeDocument/2006/docPropsVTypes"/>
</file>