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rPr>
          <w:rFonts w:ascii="Calibri" w:cs="Calibri" w:eastAsia="Calibri" w:hAnsi="Calibri"/>
          <w:b/>
          <w:bCs/>
          <w:color w:val="1B3A6B"/>
          <w:sz w:val="56"/>
          <w:szCs w:val="56"/>
        </w:rPr>
        <w:t xml:space="preserve">Veille AI Act — Compte-rendu quotidien</w:t>
      </w:r>
    </w:p>
    <w:p>
      <w:pPr>
        <w:spacing w:after="80" w:before="0"/>
        <w:jc w:val="center"/>
      </w:pPr>
      <w:r>
        <w:rPr>
          <w:rFonts w:ascii="Calibri" w:cs="Calibri" w:eastAsia="Calibri" w:hAnsi="Calibri"/>
          <w:color w:val="444444"/>
          <w:sz w:val="28"/>
          <w:szCs w:val="28"/>
        </w:rPr>
        <w:t xml:space="preserve">12 juin 2026</w:t>
      </w:r>
    </w:p>
    <w:p>
      <w:pPr>
        <w:spacing w:after="200" w:before="80"/>
        <w:jc w:val="center"/>
      </w:pPr>
      <w:r>
        <w:rPr>
          <w:rFonts w:ascii="Calibri" w:cs="Calibri" w:eastAsia="Calibri" w:hAnsi="Calibri"/>
          <w:b/>
          <w:bCs/>
          <w:color w:val="D97706"/>
          <w:sz w:val="28"/>
          <w:szCs w:val="28"/>
        </w:rPr>
        <w:t xml:space="preserve">🟡 Niveau d'alerte : À surveiller</w:t>
      </w:r>
    </w:p>
    <w:p>
      <w:pPr>
        <w:spacing w:after="60" w:before="60"/>
      </w:pPr>
      <w:r>
        <w:rPr>
          <w:rFonts w:ascii="Calibri" w:cs="Calibri" w:eastAsia="Calibri" w:hAnsi="Calibri"/>
          <w:i/>
          <w:iCs/>
          <w:color w:val="1F2937"/>
          <w:sz w:val="22"/>
          <w:szCs w:val="22"/>
        </w:rPr>
        <w:t xml:space="preserve">Sources accessibles : 3/7 directes ✅ · 4/7 fallback WebSearch ✅ · Total exploitable : 7/7 | Mode : CR Complet</w:t>
      </w:r>
    </w:p>
    <w:p>
      <w:pPr>
        <w:spacing w:after="80" w:before="80"/>
      </w:pPr>
      <w:r>
        <w:t xml:space="preserve"/>
      </w:r>
    </w:p>
    <w:p>
      <w:pPr>
        <w:pBdr>
          <w:bottom w:val="single" w:color="1B3A6B" w:sz="4"/>
        </w:pBdr>
        <w:spacing w:after="120" w:before="320"/>
      </w:pPr>
      <w:r>
        <w:rPr>
          <w:rFonts w:ascii="Calibri" w:cs="Calibri" w:eastAsia="Calibri" w:hAnsi="Calibri"/>
          <w:b/>
          <w:bCs/>
          <w:color w:val="1B3A6B"/>
          <w:sz w:val="28"/>
          <w:szCs w:val="28"/>
        </w:rPr>
        <w:t xml:space="preserve">🔵 En bref — Faits marquants du jour</w:t>
      </w:r>
    </w:p>
    <w:p>
      <w:pPr>
        <w:pStyle w:val="ListParagraph"/>
        <w:numPr>
          <w:ilvl w:val="0"/>
          <w:numId w:val="1"/>
        </w:numPr>
        <w:spacing w:after="40" w:before="40"/>
      </w:pPr>
      <w:r>
        <w:rPr>
          <w:rFonts w:ascii="Calibri" w:cs="Calibri" w:eastAsia="Calibri" w:hAnsi="Calibri"/>
          <w:color w:val="1F2937"/>
          <w:sz w:val="22"/>
          <w:szCs w:val="22"/>
        </w:rPr>
        <w:t xml:space="preserve">☁️ Cloud and AI Development Act (CADA) — 11 juin 2026 : La Commission européenne propose un nouveau règlement structurant la souveraineté cloud/IA en Europe via 4 niveaux d'assurance et des restrictions de transferts de données. Distinct de l'AI Act mais complémentaire et cumulatif pour les acteurs du numérique.</w:t>
      </w:r>
    </w:p>
    <w:p>
      <w:pPr>
        <w:pStyle w:val="ListParagraph"/>
        <w:numPr>
          <w:ilvl w:val="0"/>
          <w:numId w:val="1"/>
        </w:numPr>
        <w:spacing w:after="40" w:before="40"/>
      </w:pPr>
      <w:r>
        <w:rPr>
          <w:rFonts w:ascii="Calibri" w:cs="Calibri" w:eastAsia="Calibri" w:hAnsi="Calibri"/>
          <w:color w:val="1F2937"/>
          <w:sz w:val="22"/>
          <w:szCs w:val="22"/>
        </w:rPr>
        <w:t xml:space="preserve">⚙️ CADA — Conformité et gouvernance : Le framework de souveraineté CADA aurait des conséquences de conformité « potentiellement considérables », limitant les transferts de données et l'entraînement de modèles IA sur données clients (IAPP, 11 juin 2026).</w:t>
      </w:r>
    </w:p>
    <w:p>
      <w:pPr>
        <w:pStyle w:val="ListParagraph"/>
        <w:numPr>
          <w:ilvl w:val="0"/>
          <w:numId w:val="1"/>
        </w:numPr>
        <w:spacing w:after="40" w:before="40"/>
      </w:pPr>
      <w:r>
        <w:rPr>
          <w:rFonts w:ascii="Calibri" w:cs="Calibri" w:eastAsia="Calibri" w:hAnsi="Calibri"/>
          <w:color w:val="1F2937"/>
          <w:sz w:val="22"/>
          <w:szCs w:val="22"/>
        </w:rPr>
        <w:t xml:space="preserve">🏛️ Post-AIGG Europe 2026 (Dublin) : La gouvernance IA européenne bascule de la discussion politique vers l'implémentation — approches "shift-left" (conformité by design), standardisation et supervision humaine au cœur des débats (IAPP, 10 juin 2026).</w:t>
      </w:r>
    </w:p>
    <w:p>
      <w:pPr>
        <w:pStyle w:val="ListParagraph"/>
        <w:numPr>
          <w:ilvl w:val="0"/>
          <w:numId w:val="1"/>
        </w:numPr>
        <w:spacing w:after="40" w:before="40"/>
      </w:pPr>
      <w:r>
        <w:rPr>
          <w:rFonts w:ascii="Calibri" w:cs="Calibri" w:eastAsia="Calibri" w:hAnsi="Calibri"/>
          <w:color w:val="1F2937"/>
          <w:sz w:val="22"/>
          <w:szCs w:val="22"/>
        </w:rPr>
        <w:t xml:space="preserve">👶 CNIL — IA conversationnelle et santé mentale des jeunes : 9 jeunes sur 10 utilisent une IA conversationnelle en France selon une enquête européenne — enjeux psychosociaux documentés, pertinents pour les ESSMS accompagnant des adultes vulnérables (5 mai 2026).</w:t>
      </w:r>
    </w:p>
    <w:p>
      <w:pPr>
        <w:pStyle w:val="ListParagraph"/>
        <w:numPr>
          <w:ilvl w:val="0"/>
          <w:numId w:val="1"/>
        </w:numPr>
        <w:spacing w:after="40" w:before="40"/>
      </w:pPr>
      <w:r>
        <w:rPr>
          <w:rFonts w:ascii="Calibri" w:cs="Calibri" w:eastAsia="Calibri" w:hAnsi="Calibri"/>
          <w:color w:val="1F2937"/>
          <w:sz w:val="22"/>
          <w:szCs w:val="22"/>
        </w:rPr>
        <w:t xml:space="preserve">📝 Rappel J-1 : Code of Practice marquage contenus IA générés publié le 10 juin 2026 par la Commission (Art. 50 AI Act). Outil volontaire sur la transparence deepfakes.</w:t>
      </w:r>
    </w:p>
    <w:p>
      <w:pPr>
        <w:spacing w:after="80" w:before="80"/>
      </w:pPr>
      <w:r>
        <w:t xml:space="preserve"/>
      </w:r>
    </w:p>
    <w:p>
      <w:pPr>
        <w:pBdr>
          <w:bottom w:val="single" w:color="1B3A6B" w:sz="4"/>
        </w:pBdr>
        <w:spacing w:after="120" w:before="320"/>
      </w:pPr>
      <w:r>
        <w:rPr>
          <w:rFonts w:ascii="Calibri" w:cs="Calibri" w:eastAsia="Calibri" w:hAnsi="Calibri"/>
          <w:b/>
          <w:bCs/>
          <w:color w:val="1B3A6B"/>
          <w:sz w:val="28"/>
          <w:szCs w:val="28"/>
        </w:rPr>
        <w:t xml:space="preserve">📅 Échéances réglementaires à venir</w:t>
      </w:r>
    </w:p>
    <w:p>
      <w:pPr>
        <w:pStyle w:val="ListParagraph"/>
        <w:numPr>
          <w:ilvl w:val="0"/>
          <w:numId w:val="1"/>
        </w:numPr>
        <w:spacing w:after="40" w:before="40"/>
      </w:pPr>
      <w:r>
        <w:rPr>
          <w:rFonts w:ascii="Calibri" w:cs="Calibri" w:eastAsia="Calibri" w:hAnsi="Calibri"/>
          <w:b/>
          <w:bCs/>
          <w:color w:val="1F2937"/>
          <w:sz w:val="22"/>
          <w:szCs w:val="22"/>
        </w:rPr>
        <w:t xml:space="preserve">⚡ 2 août 2026 (dans 51 jours) — Application générale de l'AI Act : obligations de transparence (Art. 50), mécanismes d'enforcement, AI Office pleinement opérationnel. DATE CRITIQUE.</w:t>
      </w:r>
    </w:p>
    <w:p>
      <w:pPr>
        <w:pStyle w:val="ListParagraph"/>
        <w:numPr>
          <w:ilvl w:val="0"/>
          <w:numId w:val="1"/>
        </w:numPr>
        <w:spacing w:after="40" w:before="40"/>
      </w:pPr>
      <w:r>
        <w:rPr>
          <w:rFonts w:ascii="Calibri" w:cs="Calibri" w:eastAsia="Calibri" w:hAnsi="Calibri"/>
          <w:color w:val="1F2937"/>
          <w:sz w:val="22"/>
          <w:szCs w:val="22"/>
        </w:rPr>
        <w:t xml:space="preserve">2 décembre 2026 — Marquage obligatoire des contenus synthétiques (images, sons, deepfakes) — délai réduit de 6 à 3 mois par le Digital Omnibus (accord provisoire du 7 mai 2026).</w:t>
      </w:r>
    </w:p>
    <w:p>
      <w:pPr>
        <w:pStyle w:val="ListParagraph"/>
        <w:numPr>
          <w:ilvl w:val="0"/>
          <w:numId w:val="1"/>
        </w:numPr>
        <w:spacing w:after="40" w:before="40"/>
      </w:pPr>
      <w:r>
        <w:rPr>
          <w:rFonts w:ascii="Calibri" w:cs="Calibri" w:eastAsia="Calibri" w:hAnsi="Calibri"/>
          <w:color w:val="1F2937"/>
          <w:sz w:val="22"/>
          <w:szCs w:val="22"/>
        </w:rPr>
        <w:t xml:space="preserve">2 août 2027 — Deadline report pour les sandboxes réglementaires nationales (Digital Omnibus).</w:t>
      </w:r>
    </w:p>
    <w:p>
      <w:pPr>
        <w:pStyle w:val="ListParagraph"/>
        <w:numPr>
          <w:ilvl w:val="0"/>
          <w:numId w:val="1"/>
        </w:numPr>
        <w:spacing w:after="40" w:before="40"/>
      </w:pPr>
      <w:r>
        <w:rPr>
          <w:rFonts w:ascii="Calibri" w:cs="Calibri" w:eastAsia="Calibri" w:hAnsi="Calibri"/>
          <w:color w:val="1F2937"/>
          <w:sz w:val="22"/>
          <w:szCs w:val="22"/>
        </w:rPr>
        <w:t xml:space="preserve">2 décembre 2027 — Application des obligations pour les systèmes IA à haut risque autonomes (stand-alone HRAIS) — report de 16 mois via Digital Omnibus.</w:t>
      </w:r>
    </w:p>
    <w:p>
      <w:pPr>
        <w:pStyle w:val="ListParagraph"/>
        <w:numPr>
          <w:ilvl w:val="0"/>
          <w:numId w:val="1"/>
        </w:numPr>
        <w:spacing w:after="40" w:before="40"/>
      </w:pPr>
      <w:r>
        <w:rPr>
          <w:rFonts w:ascii="Calibri" w:cs="Calibri" w:eastAsia="Calibri" w:hAnsi="Calibri"/>
          <w:color w:val="1F2937"/>
          <w:sz w:val="22"/>
          <w:szCs w:val="22"/>
        </w:rPr>
        <w:t xml:space="preserve">2 août 2028 — Application pour les systèmes IA à haut risque intégrés dans des produits réglementés (équipements médicaux, dispositifs de sécurité, etc.).</w:t>
      </w:r>
    </w:p>
    <w:p>
      <w:pPr>
        <w:spacing w:after="80" w:before="80"/>
      </w:pPr>
      <w:r>
        <w:t xml:space="preserve"/>
      </w:r>
    </w:p>
    <w:p>
      <w:pPr>
        <w:pBdr>
          <w:bottom w:val="single" w:color="1B3A6B" w:sz="4"/>
        </w:pBdr>
        <w:spacing w:after="120" w:before="320"/>
      </w:pPr>
      <w:r>
        <w:rPr>
          <w:rFonts w:ascii="Calibri" w:cs="Calibri" w:eastAsia="Calibri" w:hAnsi="Calibri"/>
          <w:b/>
          <w:bCs/>
          <w:color w:val="1B3A6B"/>
          <w:sz w:val="28"/>
          <w:szCs w:val="28"/>
        </w:rPr>
        <w:t xml:space="preserve">🏛️ Actualité officielle UE</w:t>
      </w:r>
    </w:p>
    <w:p>
      <w:pPr>
        <w:spacing w:after="60" w:before="60"/>
      </w:pPr>
      <w:r>
        <w:rPr>
          <w:rFonts w:ascii="Calibri" w:cs="Calibri" w:eastAsia="Calibri" w:hAnsi="Calibri"/>
          <w:b/>
          <w:bCs/>
          <w:color w:val="1F2937"/>
          <w:sz w:val="22"/>
          <w:szCs w:val="22"/>
        </w:rPr>
        <w:t xml:space="preserve">Commission européenne ✅</w:t>
      </w:r>
    </w:p>
    <w:p>
      <w:pPr>
        <w:pStyle w:val="ListParagraph"/>
        <w:numPr>
          <w:ilvl w:val="0"/>
          <w:numId w:val="1"/>
        </w:numPr>
        <w:spacing w:after="20" w:before="80"/>
      </w:pPr>
      <w:hyperlink w:history="1" r:id="rIdfsys-w2eneyzxqzes26r0">
        <w:r>
          <w:rPr>
            <w:rFonts w:ascii="Calibri" w:cs="Calibri" w:eastAsia="Calibri" w:hAnsi="Calibri"/>
            <w:b/>
            <w:bCs/>
            <w:color w:val="1155CC"/>
            <w:sz w:val="22"/>
            <w:szCs w:val="22"/>
            <w:u w:val="single"/>
          </w:rPr>
          <w:t xml:space="preserve">Commission publishes Code of Practice on marking and labelling AI-generated content</w:t>
        </w:r>
      </w:hyperlink>
      <w:r>
        <w:rPr>
          <w:rFonts w:ascii="Calibri" w:cs="Calibri" w:eastAsia="Calibri" w:hAnsi="Calibri"/>
          <w:i/>
          <w:iCs/>
          <w:color w:val="666666"/>
          <w:sz w:val="20"/>
          <w:szCs w:val="20"/>
        </w:rPr>
        <w:t xml:space="preserve">  (10 juin 2026)</w:t>
      </w:r>
    </w:p>
    <w:p>
      <w:pPr>
        <w:spacing w:after="80" w:before="0"/>
        <w:ind w:left="360"/>
      </w:pPr>
      <w:r>
        <w:rPr>
          <w:rFonts w:ascii="Calibri" w:cs="Calibri" w:eastAsia="Calibri" w:hAnsi="Calibri"/>
          <w:color w:val="444444"/>
          <w:sz w:val="20"/>
          <w:szCs w:val="20"/>
        </w:rPr>
        <w:t xml:space="preserve">Outil de conformité volontaire guidant fournisseurs et déployeurs sur leurs obligations de transparence (Article 50 AI Act) : marquage du contenu généré artificiellement, divulgation des deepfakes.</w:t>
      </w:r>
    </w:p>
    <w:p>
      <w:pPr>
        <w:pStyle w:val="ListParagraph"/>
        <w:numPr>
          <w:ilvl w:val="0"/>
          <w:numId w:val="1"/>
        </w:numPr>
        <w:spacing w:after="20" w:before="80"/>
      </w:pPr>
      <w:hyperlink w:history="1" r:id="rIdw2xt4gkmjr2pjjp1bxswe">
        <w:r>
          <w:rPr>
            <w:rFonts w:ascii="Calibri" w:cs="Calibri" w:eastAsia="Calibri" w:hAnsi="Calibri"/>
            <w:b/>
            <w:bCs/>
            <w:color w:val="1155CC"/>
            <w:sz w:val="22"/>
            <w:szCs w:val="22"/>
            <w:u w:val="single"/>
          </w:rPr>
          <w:t xml:space="preserve">AI Act enforcement gets independent expert support</w:t>
        </w:r>
      </w:hyperlink>
      <w:r>
        <w:rPr>
          <w:rFonts w:ascii="Calibri" w:cs="Calibri" w:eastAsia="Calibri" w:hAnsi="Calibri"/>
          <w:i/>
          <w:iCs/>
          <w:color w:val="666666"/>
          <w:sz w:val="20"/>
          <w:szCs w:val="20"/>
        </w:rPr>
        <w:t xml:space="preserve">  (1er juin 2026)</w:t>
      </w:r>
    </w:p>
    <w:p>
      <w:pPr>
        <w:spacing w:after="80" w:before="0"/>
        <w:ind w:left="360"/>
      </w:pPr>
      <w:r>
        <w:rPr>
          <w:rFonts w:ascii="Calibri" w:cs="Calibri" w:eastAsia="Calibri" w:hAnsi="Calibri"/>
          <w:color w:val="444444"/>
          <w:sz w:val="20"/>
          <w:szCs w:val="20"/>
        </w:rPr>
        <w:t xml:space="preserve">Des experts indépendants sont mobilisés pour renforcer les mécanismes d'exécution et le suivi de conformité à l'AI Act dans les États membres.</w:t>
      </w:r>
    </w:p>
    <w:p>
      <w:pPr>
        <w:pStyle w:val="ListParagraph"/>
        <w:numPr>
          <w:ilvl w:val="0"/>
          <w:numId w:val="1"/>
        </w:numPr>
        <w:spacing w:after="20" w:before="80"/>
      </w:pPr>
      <w:hyperlink w:history="1" r:id="rId_ldpaeqx7puhl2v97d8ty">
        <w:r>
          <w:rPr>
            <w:rFonts w:ascii="Calibri" w:cs="Calibri" w:eastAsia="Calibri" w:hAnsi="Calibri"/>
            <w:b/>
            <w:bCs/>
            <w:color w:val="1155CC"/>
            <w:sz w:val="22"/>
            <w:szCs w:val="22"/>
            <w:u w:val="single"/>
          </w:rPr>
          <w:t xml:space="preserve">Commission seeks feedback on draft guidelines — Classification of high-risk AI systems</w:t>
        </w:r>
      </w:hyperlink>
      <w:r>
        <w:rPr>
          <w:rFonts w:ascii="Calibri" w:cs="Calibri" w:eastAsia="Calibri" w:hAnsi="Calibri"/>
          <w:i/>
          <w:iCs/>
          <w:color w:val="666666"/>
          <w:sz w:val="20"/>
          <w:szCs w:val="20"/>
        </w:rPr>
        <w:t xml:space="preserve">  (19 mai 2026)</w:t>
      </w:r>
    </w:p>
    <w:p>
      <w:pPr>
        <w:spacing w:after="80" w:before="0"/>
        <w:ind w:left="360"/>
      </w:pPr>
      <w:r>
        <w:rPr>
          <w:rFonts w:ascii="Calibri" w:cs="Calibri" w:eastAsia="Calibri" w:hAnsi="Calibri"/>
          <w:color w:val="444444"/>
          <w:sz w:val="20"/>
          <w:szCs w:val="20"/>
        </w:rPr>
        <w:t xml:space="preserve">Consultation publique ouverte sur les lignes directrices de classification des systèmes IA à haut risque, définissant les critères d'annexe III.</w:t>
      </w:r>
    </w:p>
    <w:p>
      <w:pPr>
        <w:spacing w:after="80" w:before="80"/>
      </w:pPr>
      <w:r>
        <w:t xml:space="preserve"/>
      </w:r>
    </w:p>
    <w:p>
      <w:pPr>
        <w:spacing w:after="60" w:before="60"/>
      </w:pPr>
      <w:r>
        <w:rPr>
          <w:rFonts w:ascii="Calibri" w:cs="Calibri" w:eastAsia="Calibri" w:hAnsi="Calibri"/>
          <w:b/>
          <w:bCs/>
          <w:color w:val="1F2937"/>
          <w:sz w:val="22"/>
          <w:szCs w:val="22"/>
        </w:rPr>
        <w:t xml:space="preserve">Conseil de l'Union européenne ⛔→✅ WebSearch</w:t>
      </w:r>
    </w:p>
    <w:p>
      <w:pPr>
        <w:pStyle w:val="ListParagraph"/>
        <w:numPr>
          <w:ilvl w:val="0"/>
          <w:numId w:val="1"/>
        </w:numPr>
        <w:spacing w:after="20" w:before="80"/>
      </w:pPr>
      <w:hyperlink w:history="1" r:id="rIdnhlivw4mr41lnmrsionmd">
        <w:r>
          <w:rPr>
            <w:rFonts w:ascii="Calibri" w:cs="Calibri" w:eastAsia="Calibri" w:hAnsi="Calibri"/>
            <w:b/>
            <w:bCs/>
            <w:color w:val="1155CC"/>
            <w:sz w:val="22"/>
            <w:szCs w:val="22"/>
            <w:u w:val="single"/>
          </w:rPr>
          <w:t xml:space="preserve">Artificial Intelligence: Council and Parliament agree to simplify and streamline rules — Digital Omnibus</w:t>
        </w:r>
      </w:hyperlink>
      <w:r>
        <w:rPr>
          <w:rFonts w:ascii="Calibri" w:cs="Calibri" w:eastAsia="Calibri" w:hAnsi="Calibri"/>
          <w:i/>
          <w:iCs/>
          <w:color w:val="666666"/>
          <w:sz w:val="20"/>
          <w:szCs w:val="20"/>
        </w:rPr>
        <w:t xml:space="preserve">  (7 mai 2026)</w:t>
      </w:r>
    </w:p>
    <w:p>
      <w:pPr>
        <w:spacing w:after="80" w:before="0"/>
        <w:ind w:left="360"/>
      </w:pPr>
      <w:r>
        <w:rPr>
          <w:rFonts w:ascii="Calibri" w:cs="Calibri" w:eastAsia="Calibri" w:hAnsi="Calibri"/>
          <w:color w:val="444444"/>
          <w:sz w:val="20"/>
          <w:szCs w:val="20"/>
        </w:rPr>
        <w:t xml:space="preserve">Accord provisoire Conseil/Parlement sur le « Digital Omnibus on AI » : report de 16 mois pour les HRAIS stand-alone (→ 2 déc. 2027), nouvelles interdictions (CSAM, deepfakes intimes non consentis), clarification compétences AI Office.</w:t>
      </w:r>
    </w:p>
    <w:p>
      <w:pPr>
        <w:pStyle w:val="ListParagraph"/>
        <w:numPr>
          <w:ilvl w:val="0"/>
          <w:numId w:val="1"/>
        </w:numPr>
        <w:spacing w:after="20" w:before="80"/>
      </w:pPr>
      <w:hyperlink w:history="1" r:id="rIdt9jrk6tctktvagvvrqosw">
        <w:r>
          <w:rPr>
            <w:rFonts w:ascii="Calibri" w:cs="Calibri" w:eastAsia="Calibri" w:hAnsi="Calibri"/>
            <w:b/>
            <w:bCs/>
            <w:color w:val="1155CC"/>
            <w:sz w:val="22"/>
            <w:szCs w:val="22"/>
            <w:u w:val="single"/>
          </w:rPr>
          <w:t xml:space="preserve">Council agrees position to streamline rules on Artificial Intelligence</w:t>
        </w:r>
      </w:hyperlink>
      <w:r>
        <w:rPr>
          <w:rFonts w:ascii="Calibri" w:cs="Calibri" w:eastAsia="Calibri" w:hAnsi="Calibri"/>
          <w:i/>
          <w:iCs/>
          <w:color w:val="666666"/>
          <w:sz w:val="20"/>
          <w:szCs w:val="20"/>
        </w:rPr>
        <w:t xml:space="preserve">  (13 mars 2026)</w:t>
      </w:r>
    </w:p>
    <w:p>
      <w:pPr>
        <w:spacing w:after="80" w:before="0"/>
        <w:ind w:left="360"/>
      </w:pPr>
      <w:r>
        <w:rPr>
          <w:rFonts w:ascii="Calibri" w:cs="Calibri" w:eastAsia="Calibri" w:hAnsi="Calibri"/>
          <w:color w:val="444444"/>
          <w:sz w:val="20"/>
          <w:szCs w:val="20"/>
        </w:rPr>
        <w:t xml:space="preserve">Le Conseil a arrêté sa position en vue du trilogue pour simplifier et ajuster l'AI Act, notamment sur les seuils d'application et les obligations des déployeurs.</w:t>
      </w:r>
    </w:p>
    <w:p>
      <w:pPr>
        <w:spacing w:after="80" w:before="80"/>
      </w:pPr>
      <w:r>
        <w:t xml:space="preserve"/>
      </w:r>
    </w:p>
    <w:p>
      <w:pPr>
        <w:pBdr>
          <w:bottom w:val="single" w:color="1B3A6B" w:sz="4"/>
        </w:pBdr>
        <w:spacing w:after="120" w:before="320"/>
      </w:pPr>
      <w:r>
        <w:rPr>
          <w:rFonts w:ascii="Calibri" w:cs="Calibri" w:eastAsia="Calibri" w:hAnsi="Calibri"/>
          <w:b/>
          <w:bCs/>
          <w:color w:val="1B3A6B"/>
          <w:sz w:val="28"/>
          <w:szCs w:val="28"/>
        </w:rPr>
        <w:t xml:space="preserve">📰 Analyses &amp; gouvernance IA</w:t>
      </w:r>
    </w:p>
    <w:p>
      <w:pPr>
        <w:spacing w:after="60" w:before="60"/>
      </w:pPr>
      <w:r>
        <w:rPr>
          <w:rFonts w:ascii="Calibri" w:cs="Calibri" w:eastAsia="Calibri" w:hAnsi="Calibri"/>
          <w:b/>
          <w:bCs/>
          <w:color w:val="1F2937"/>
          <w:sz w:val="22"/>
          <w:szCs w:val="22"/>
        </w:rPr>
        <w:t xml:space="preserve">IAPP — AI Governance ✅</w:t>
      </w:r>
    </w:p>
    <w:p>
      <w:pPr>
        <w:pStyle w:val="ListParagraph"/>
        <w:numPr>
          <w:ilvl w:val="0"/>
          <w:numId w:val="1"/>
        </w:numPr>
        <w:spacing w:after="20" w:before="80"/>
      </w:pPr>
      <w:hyperlink w:history="1" r:id="rIdflacgmpg8esxwdpqvoymu">
        <w:r>
          <w:rPr>
            <w:rFonts w:ascii="Calibri" w:cs="Calibri" w:eastAsia="Calibri" w:hAnsi="Calibri"/>
            <w:b/>
            <w:bCs/>
            <w:color w:val="1155CC"/>
            <w:sz w:val="22"/>
            <w:szCs w:val="22"/>
            <w:u w:val="single"/>
          </w:rPr>
          <w:t xml:space="preserve">Europe's Cloud and AI Development Act: Grand ambition, fragile foundations</w:t>
        </w:r>
      </w:hyperlink>
      <w:r>
        <w:rPr>
          <w:rFonts w:ascii="Calibri" w:cs="Calibri" w:eastAsia="Calibri" w:hAnsi="Calibri"/>
          <w:i/>
          <w:iCs/>
          <w:color w:val="666666"/>
          <w:sz w:val="20"/>
          <w:szCs w:val="20"/>
        </w:rPr>
        <w:t xml:space="preserve">  (11 juin 2026)</w:t>
      </w:r>
    </w:p>
    <w:p>
      <w:pPr>
        <w:spacing w:after="80" w:before="0"/>
        <w:ind w:left="360"/>
      </w:pPr>
      <w:r>
        <w:rPr>
          <w:rFonts w:ascii="Calibri" w:cs="Calibri" w:eastAsia="Calibri" w:hAnsi="Calibri"/>
          <w:color w:val="444444"/>
          <w:sz w:val="20"/>
          <w:szCs w:val="20"/>
        </w:rPr>
        <w:t xml:space="preserve">Le CADA propose un "structured sovereignty framework" en 4 niveaux. Son succès dépend de la capacité européenne à construire une infrastructure cloud compétitive sans créer de barrières à l'entrée pour les entreprises européennes.</w:t>
      </w:r>
    </w:p>
    <w:p>
      <w:pPr>
        <w:pStyle w:val="ListParagraph"/>
        <w:numPr>
          <w:ilvl w:val="0"/>
          <w:numId w:val="1"/>
        </w:numPr>
        <w:spacing w:after="20" w:before="80"/>
      </w:pPr>
      <w:hyperlink w:history="1" r:id="rIdb7oa8mkqug1ffp3kds3pm">
        <w:r>
          <w:rPr>
            <w:rFonts w:ascii="Calibri" w:cs="Calibri" w:eastAsia="Calibri" w:hAnsi="Calibri"/>
            <w:b/>
            <w:bCs/>
            <w:color w:val="1155CC"/>
            <w:sz w:val="22"/>
            <w:szCs w:val="22"/>
            <w:u w:val="single"/>
          </w:rPr>
          <w:t xml:space="preserve">A view from Brussels: Why the CADA sovereignty proposal deserves attention</w:t>
        </w:r>
      </w:hyperlink>
      <w:r>
        <w:rPr>
          <w:rFonts w:ascii="Calibri" w:cs="Calibri" w:eastAsia="Calibri" w:hAnsi="Calibri"/>
          <w:i/>
          <w:iCs/>
          <w:color w:val="666666"/>
          <w:sz w:val="20"/>
          <w:szCs w:val="20"/>
        </w:rPr>
        <w:t xml:space="preserve">  (11 juin 2026)</w:t>
      </w:r>
    </w:p>
    <w:p>
      <w:pPr>
        <w:spacing w:after="80" w:before="0"/>
        <w:ind w:left="360"/>
      </w:pPr>
      <w:r>
        <w:rPr>
          <w:rFonts w:ascii="Calibri" w:cs="Calibri" w:eastAsia="Calibri" w:hAnsi="Calibri"/>
          <w:color w:val="444444"/>
          <w:sz w:val="20"/>
          <w:szCs w:val="20"/>
        </w:rPr>
        <w:t xml:space="preserve">L'IAPP souligne les conséquences de conformité et de gouvernance du CADA : niveaux d'assurance restrictifs, limitations des transferts de données et contraintes sur l'entraînement de modèles IA sur données clients européens.</w:t>
      </w:r>
    </w:p>
    <w:p>
      <w:pPr>
        <w:pStyle w:val="ListParagraph"/>
        <w:numPr>
          <w:ilvl w:val="0"/>
          <w:numId w:val="1"/>
        </w:numPr>
        <w:spacing w:after="20" w:before="80"/>
      </w:pPr>
      <w:hyperlink w:history="1" r:id="rId6rprlked1bfnsdechkpni">
        <w:r>
          <w:rPr>
            <w:rFonts w:ascii="Calibri" w:cs="Calibri" w:eastAsia="Calibri" w:hAnsi="Calibri"/>
            <w:b/>
            <w:bCs/>
            <w:color w:val="1155CC"/>
            <w:sz w:val="22"/>
            <w:szCs w:val="22"/>
            <w:u w:val="single"/>
          </w:rPr>
          <w:t xml:space="preserve">Notes from the AI Governance Center: AIGG Europe 2026 — Key issues</w:t>
        </w:r>
      </w:hyperlink>
      <w:r>
        <w:rPr>
          <w:rFonts w:ascii="Calibri" w:cs="Calibri" w:eastAsia="Calibri" w:hAnsi="Calibri"/>
          <w:i/>
          <w:iCs/>
          <w:color w:val="666666"/>
          <w:sz w:val="20"/>
          <w:szCs w:val="20"/>
        </w:rPr>
        <w:t xml:space="preserve">  (10 juin 2026)</w:t>
      </w:r>
    </w:p>
    <w:p>
      <w:pPr>
        <w:spacing w:after="80" w:before="0"/>
        <w:ind w:left="360"/>
      </w:pPr>
      <w:r>
        <w:rPr>
          <w:rFonts w:ascii="Calibri" w:cs="Calibri" w:eastAsia="Calibri" w:hAnsi="Calibri"/>
          <w:color w:val="444444"/>
          <w:sz w:val="20"/>
          <w:szCs w:val="20"/>
        </w:rPr>
        <w:t xml:space="preserve">La communauté IA européenne bascule vers l'implémentation : approches "shift-left" (conformité by design), délais de standardisation serrés, et supervision humaine comme obligation pratique plutôt que rhétorique.</w:t>
      </w:r>
    </w:p>
    <w:p>
      <w:pPr>
        <w:spacing w:after="80" w:before="80"/>
      </w:pPr>
      <w:r>
        <w:t xml:space="preserve"/>
      </w:r>
    </w:p>
    <w:p>
      <w:pPr>
        <w:spacing w:after="60" w:before="60"/>
      </w:pPr>
      <w:r>
        <w:rPr>
          <w:rFonts w:ascii="Calibri" w:cs="Calibri" w:eastAsia="Calibri" w:hAnsi="Calibri"/>
          <w:b/>
          <w:bCs/>
          <w:color w:val="1F2937"/>
          <w:sz w:val="22"/>
          <w:szCs w:val="22"/>
        </w:rPr>
        <w:t xml:space="preserve">Future of Life Institute — artificialintelligenceact.eu ⛔→✅ WebSearch</w:t>
      </w:r>
    </w:p>
    <w:p>
      <w:pPr>
        <w:pStyle w:val="ListParagraph"/>
        <w:numPr>
          <w:ilvl w:val="0"/>
          <w:numId w:val="1"/>
        </w:numPr>
        <w:spacing w:after="40" w:before="40"/>
      </w:pPr>
      <w:r>
        <w:rPr>
          <w:rFonts w:ascii="Calibri" w:cs="Calibri" w:eastAsia="Calibri" w:hAnsi="Calibri"/>
          <w:color w:val="1F2937"/>
          <w:sz w:val="22"/>
          <w:szCs w:val="22"/>
        </w:rPr>
        <w:t xml:space="preserve">August 2, 2026 : L'ensemble des dispositions restantes de l'AI Act entrent en application, hormis l'Article 6(1). Les sandboxes nationales doivent être établies par chaque État membre. Référence : artificialintelligenceact.eu/implementation-timeline/</w:t>
      </w:r>
    </w:p>
    <w:p>
      <w:pPr>
        <w:pStyle w:val="ListParagraph"/>
        <w:numPr>
          <w:ilvl w:val="0"/>
          <w:numId w:val="1"/>
        </w:numPr>
        <w:spacing w:after="40" w:before="40"/>
      </w:pPr>
      <w:r>
        <w:rPr>
          <w:rFonts w:ascii="Calibri" w:cs="Calibri" w:eastAsia="Calibri" w:hAnsi="Calibri"/>
          <w:color w:val="1F2937"/>
          <w:sz w:val="22"/>
          <w:szCs w:val="22"/>
        </w:rPr>
        <w:t xml:space="preserve">GPAI Code of Practice (version finale, juillet 2025) : outil de conformité volontaire pour les fournisseurs de modèles IA à usage général. Trois chapitres : Transparence, Droit d'auteur, Sécurité. Référence : code-of-practice.ai</w:t>
      </w:r>
    </w:p>
    <w:p>
      <w:pPr>
        <w:spacing w:after="80" w:before="80"/>
      </w:pPr>
      <w:r>
        <w:t xml:space="preserve"/>
      </w:r>
    </w:p>
    <w:p>
      <w:pPr>
        <w:pBdr>
          <w:bottom w:val="single" w:color="1B3A6B" w:sz="4"/>
        </w:pBdr>
        <w:spacing w:after="120" w:before="320"/>
      </w:pPr>
      <w:r>
        <w:rPr>
          <w:rFonts w:ascii="Calibri" w:cs="Calibri" w:eastAsia="Calibri" w:hAnsi="Calibri"/>
          <w:b/>
          <w:bCs/>
          <w:color w:val="1B3A6B"/>
          <w:sz w:val="28"/>
          <w:szCs w:val="28"/>
        </w:rPr>
        <w:t xml:space="preserve">🇫🇷 Perspective française — CNIL / RGPD</w:t>
      </w:r>
    </w:p>
    <w:p>
      <w:pPr>
        <w:spacing w:after="60" w:before="60"/>
      </w:pPr>
      <w:r>
        <w:rPr>
          <w:rFonts w:ascii="Calibri" w:cs="Calibri" w:eastAsia="Calibri" w:hAnsi="Calibri"/>
          <w:b/>
          <w:bCs/>
          <w:color w:val="1F2937"/>
          <w:sz w:val="22"/>
          <w:szCs w:val="22"/>
        </w:rPr>
        <w:t xml:space="preserve">CNIL — Intelligence artificielle ✅</w:t>
      </w:r>
    </w:p>
    <w:p>
      <w:pPr>
        <w:pStyle w:val="ListParagraph"/>
        <w:numPr>
          <w:ilvl w:val="0"/>
          <w:numId w:val="1"/>
        </w:numPr>
        <w:spacing w:after="20" w:before="80"/>
      </w:pPr>
      <w:hyperlink w:history="1" r:id="rIdtx40ie13pvczvzpxtj_ml">
        <w:r>
          <w:rPr>
            <w:rFonts w:ascii="Calibri" w:cs="Calibri" w:eastAsia="Calibri" w:hAnsi="Calibri"/>
            <w:b/>
            <w:bCs/>
            <w:color w:val="1155CC"/>
            <w:sz w:val="22"/>
            <w:szCs w:val="22"/>
            <w:u w:val="single"/>
          </w:rPr>
          <w:t xml:space="preserve">IA générative et vie privée — Affiche coproduite CNIL / PIPC (Corée du Sud)</w:t>
        </w:r>
      </w:hyperlink>
      <w:r>
        <w:rPr>
          <w:rFonts w:ascii="Calibri" w:cs="Calibri" w:eastAsia="Calibri" w:hAnsi="Calibri"/>
          <w:i/>
          <w:iCs/>
          <w:color w:val="666666"/>
          <w:sz w:val="20"/>
          <w:szCs w:val="20"/>
        </w:rPr>
        <w:t xml:space="preserve">  (27 mai 2026)</w:t>
      </w:r>
    </w:p>
    <w:p>
      <w:pPr>
        <w:spacing w:after="80" w:before="0"/>
        <w:ind w:left="360"/>
      </w:pPr>
      <w:r>
        <w:rPr>
          <w:rFonts w:ascii="Calibri" w:cs="Calibri" w:eastAsia="Calibri" w:hAnsi="Calibri"/>
          <w:color w:val="444444"/>
          <w:sz w:val="20"/>
          <w:szCs w:val="20"/>
        </w:rPr>
        <w:t xml:space="preserve">Affiche de sensibilisation destinée aux utilisateurs d'IA générative sur les enjeux de protection des données personnelles. Pertinente pour la formation des équipes en ESSMS.</w:t>
      </w:r>
    </w:p>
    <w:p>
      <w:pPr>
        <w:pStyle w:val="ListParagraph"/>
        <w:numPr>
          <w:ilvl w:val="0"/>
          <w:numId w:val="1"/>
        </w:numPr>
        <w:spacing w:after="20" w:before="80"/>
      </w:pPr>
      <w:hyperlink w:history="1" r:id="rIdw58jx9hgli4ngw8utnpv3">
        <w:r>
          <w:rPr>
            <w:rFonts w:ascii="Calibri" w:cs="Calibri" w:eastAsia="Calibri" w:hAnsi="Calibri"/>
            <w:b/>
            <w:bCs/>
            <w:color w:val="1155CC"/>
            <w:sz w:val="22"/>
            <w:szCs w:val="22"/>
            <w:u w:val="single"/>
          </w:rPr>
          <w:t xml:space="preserve">IA conversationnelle et santé mentale des jeunes — Résultats enquête européenne</w:t>
        </w:r>
      </w:hyperlink>
      <w:r>
        <w:rPr>
          <w:rFonts w:ascii="Calibri" w:cs="Calibri" w:eastAsia="Calibri" w:hAnsi="Calibri"/>
          <w:i/>
          <w:iCs/>
          <w:color w:val="666666"/>
          <w:sz w:val="20"/>
          <w:szCs w:val="20"/>
        </w:rPr>
        <w:t xml:space="preserve">  (5 mai 2026)</w:t>
      </w:r>
    </w:p>
    <w:p>
      <w:pPr>
        <w:spacing w:after="80" w:before="0"/>
        <w:ind w:left="360"/>
      </w:pPr>
      <w:r>
        <w:rPr>
          <w:rFonts w:ascii="Calibri" w:cs="Calibri" w:eastAsia="Calibri" w:hAnsi="Calibri"/>
          <w:color w:val="444444"/>
          <w:sz w:val="20"/>
          <w:szCs w:val="20"/>
        </w:rPr>
        <w:t xml:space="preserve">Enquête européenne : 9 jeunes sur 10 utilisent une IA conversationnelle en France. Enjeux psychosociaux documentés — pertinent pour les ESSMS accompagnant des personnes en situation de handicap psychique.</w:t>
      </w:r>
    </w:p>
    <w:p>
      <w:pPr>
        <w:pStyle w:val="ListParagraph"/>
        <w:numPr>
          <w:ilvl w:val="0"/>
          <w:numId w:val="1"/>
        </w:numPr>
        <w:spacing w:after="20" w:before="80"/>
      </w:pPr>
      <w:hyperlink w:history="1" r:id="rIdsq2y-oe-1r7rfw8bwozy6">
        <w:r>
          <w:rPr>
            <w:rFonts w:ascii="Calibri" w:cs="Calibri" w:eastAsia="Calibri" w:hAnsi="Calibri"/>
            <w:b/>
            <w:bCs/>
            <w:color w:val="1155CC"/>
            <w:sz w:val="22"/>
            <w:szCs w:val="22"/>
            <w:u w:val="single"/>
          </w:rPr>
          <w:t xml:space="preserve">Hypertrucage (deepfake) — Guide CNIL</w:t>
        </w:r>
      </w:hyperlink>
      <w:r>
        <w:rPr>
          <w:rFonts w:ascii="Calibri" w:cs="Calibri" w:eastAsia="Calibri" w:hAnsi="Calibri"/>
          <w:i/>
          <w:iCs/>
          <w:color w:val="666666"/>
          <w:sz w:val="20"/>
          <w:szCs w:val="20"/>
        </w:rPr>
        <w:t xml:space="preserve">  (3 février 2026)</w:t>
      </w:r>
    </w:p>
    <w:p>
      <w:pPr>
        <w:spacing w:after="80" w:before="0"/>
        <w:ind w:left="360"/>
      </w:pPr>
      <w:r>
        <w:rPr>
          <w:rFonts w:ascii="Calibri" w:cs="Calibri" w:eastAsia="Calibri" w:hAnsi="Calibri"/>
          <w:color w:val="444444"/>
          <w:sz w:val="20"/>
          <w:szCs w:val="20"/>
        </w:rPr>
        <w:t xml:space="preserve">Ressource de référence sur la protection contre les deepfakes et le signalement des contenus illicites. En lien direct avec les obligations de l'Art. 50 AI Act sur la divulgation des contenus synthétiques.</w:t>
      </w:r>
    </w:p>
    <w:p>
      <w:pPr>
        <w:spacing w:after="80" w:before="80"/>
      </w:pPr>
      <w:r>
        <w:t xml:space="preserve"/>
      </w:r>
    </w:p>
    <w:p>
      <w:pPr>
        <w:pBdr>
          <w:bottom w:val="single" w:color="1B3A6B" w:sz="4"/>
        </w:pBdr>
        <w:spacing w:after="120" w:before="320"/>
      </w:pPr>
      <w:r>
        <w:rPr>
          <w:rFonts w:ascii="Calibri" w:cs="Calibri" w:eastAsia="Calibri" w:hAnsi="Calibri"/>
          <w:b/>
          <w:bCs/>
          <w:color w:val="1B3A6B"/>
          <w:sz w:val="28"/>
          <w:szCs w:val="28"/>
        </w:rPr>
        <w:t xml:space="preserve">⚠️ Impacts pour les ESSMS — Points de vigilance</w:t>
      </w:r>
    </w:p>
    <w:p>
      <w:pPr>
        <w:spacing w:after="60" w:before="60"/>
      </w:pPr>
      <w:r>
        <w:rPr>
          <w:rFonts w:ascii="Calibri" w:cs="Calibri" w:eastAsia="Calibri" w:hAnsi="Calibri"/>
          <w:b/>
          <w:bCs/>
          <w:color w:val="1F2937"/>
          <w:sz w:val="22"/>
          <w:szCs w:val="22"/>
        </w:rPr>
        <w:t xml:space="preserve">Foyer d'hébergement accueillant des adultes en situation de handicap mental et psychique :</w:t>
      </w:r>
    </w:p>
    <w:p>
      <w:pPr>
        <w:pStyle w:val="ListParagraph"/>
        <w:numPr>
          <w:ilvl w:val="0"/>
          <w:numId w:val="1"/>
        </w:numPr>
        <w:spacing w:after="40" w:before="40"/>
      </w:pPr>
      <w:r>
        <w:rPr>
          <w:rFonts w:ascii="Calibri" w:cs="Calibri" w:eastAsia="Calibri" w:hAnsi="Calibri"/>
          <w:color w:val="1F2937"/>
          <w:sz w:val="22"/>
          <w:szCs w:val="22"/>
        </w:rPr>
        <w:t xml:space="preserve">🔴 Systèmes à haut risque (HRAIS) — Annexe III : Les systèmes d'aide à la décision concernant des personnes vulnérables (orientation, évaluation des besoins, gestion des comportements défis) sont susceptibles d'être classifiés HRAIS. Les délais ont été reportés (→ 2 déc. 2027) mais la préparation doit commencer maintenant. Action : auditer les outils IA utilisés en lien avec le DUI (Imago) ou les évaluations HAS.</w:t>
      </w:r>
    </w:p>
    <w:p>
      <w:pPr>
        <w:pStyle w:val="ListParagraph"/>
        <w:numPr>
          <w:ilvl w:val="0"/>
          <w:numId w:val="1"/>
        </w:numPr>
        <w:spacing w:after="40" w:before="40"/>
      </w:pPr>
      <w:r>
        <w:rPr>
          <w:rFonts w:ascii="Calibri" w:cs="Calibri" w:eastAsia="Calibri" w:hAnsi="Calibri"/>
          <w:color w:val="1F2937"/>
          <w:sz w:val="22"/>
          <w:szCs w:val="22"/>
        </w:rPr>
        <w:t xml:space="preserve">🟡 Transparence et droits des personnes (Art. 50 — applicable au 2 août 2026) : Toute utilisation d'un système d'IA interagissant directement avec des personnes accompagnées (chatbot, IA de transcription) devra être signalée explicitement. Obligation d'information des personnes.</w:t>
      </w:r>
    </w:p>
    <w:p>
      <w:pPr>
        <w:pStyle w:val="ListParagraph"/>
        <w:numPr>
          <w:ilvl w:val="0"/>
          <w:numId w:val="1"/>
        </w:numPr>
        <w:spacing w:after="40" w:before="40"/>
      </w:pPr>
      <w:r>
        <w:rPr>
          <w:rFonts w:ascii="Calibri" w:cs="Calibri" w:eastAsia="Calibri" w:hAnsi="Calibri"/>
          <w:color w:val="1F2937"/>
          <w:sz w:val="22"/>
          <w:szCs w:val="22"/>
        </w:rPr>
        <w:t xml:space="preserve">🟡 CADA — Cloud souverain : Si le CADA entre en vigueur, les contrats avec les hébergeurs IA (usage d'Imago, outils O365/Copilot) devront être réexaminés à l'aune des nouvelles restrictions de transferts de données UE. À suivre.</w:t>
      </w:r>
    </w:p>
    <w:p>
      <w:pPr>
        <w:pStyle w:val="ListParagraph"/>
        <w:numPr>
          <w:ilvl w:val="0"/>
          <w:numId w:val="1"/>
        </w:numPr>
        <w:spacing w:after="40" w:before="40"/>
      </w:pPr>
      <w:r>
        <w:rPr>
          <w:rFonts w:ascii="Calibri" w:cs="Calibri" w:eastAsia="Calibri" w:hAnsi="Calibri"/>
          <w:color w:val="1F2937"/>
          <w:sz w:val="22"/>
          <w:szCs w:val="22"/>
        </w:rPr>
        <w:t xml:space="preserve">🟡 Deepfakes et contenus synthétiques : Les ESSMS utilisant des outils IA pour produire des supports de communication (videos, images) devront s'assurer que le contenu généré est clairement identifié (deadline : 2 déc. 2026).</w:t>
      </w:r>
    </w:p>
    <w:p>
      <w:pPr>
        <w:pStyle w:val="ListParagraph"/>
        <w:numPr>
          <w:ilvl w:val="0"/>
          <w:numId w:val="1"/>
        </w:numPr>
        <w:spacing w:after="40" w:before="40"/>
      </w:pPr>
      <w:r>
        <w:rPr>
          <w:rFonts w:ascii="Calibri" w:cs="Calibri" w:eastAsia="Calibri" w:hAnsi="Calibri"/>
          <w:color w:val="1F2937"/>
          <w:sz w:val="22"/>
          <w:szCs w:val="22"/>
        </w:rPr>
        <w:t xml:space="preserve">🟢 IA conversationnelle et vulnérabilité psychique : Les données CNIL sur l'usage massif de l'IA chez les jeunes invitent à une réflexion sur l'accompagnement des résidents utilisant des IA grand public (Chat GPT, Copilot) dans leur quotidien — enjeu de formation des équipes.</w:t>
      </w:r>
    </w:p>
    <w:p>
      <w:pPr>
        <w:pStyle w:val="ListParagraph"/>
        <w:numPr>
          <w:ilvl w:val="0"/>
          <w:numId w:val="1"/>
        </w:numPr>
        <w:spacing w:after="40" w:before="40"/>
      </w:pPr>
      <w:r>
        <w:rPr>
          <w:rFonts w:ascii="Calibri" w:cs="Calibri" w:eastAsia="Calibri" w:hAnsi="Calibri"/>
          <w:color w:val="1F2937"/>
          <w:sz w:val="22"/>
          <w:szCs w:val="22"/>
        </w:rPr>
        <w:t xml:space="preserve">🟢 Formation des équipes : Le basculement « implémentation » documenté par l'IAPP (AIGG Europe) signifie que la période de grace touche à sa fin. La sensibilisation des équipes à l'AI Act (classification des risques, droits des personnes, transparence) doit s'accélérer d'ici août 2026.</w:t>
      </w:r>
    </w:p>
    <w:p>
      <w:pPr>
        <w:spacing w:after="80" w:before="80"/>
      </w:pPr>
      <w:r>
        <w:t xml:space="preserve"/>
      </w:r>
    </w:p>
    <w:p>
      <w:pPr>
        <w:pBdr>
          <w:bottom w:val="single" w:color="1B3A6B" w:sz="4"/>
        </w:pBdr>
        <w:spacing w:after="120" w:before="320"/>
      </w:pPr>
      <w:r>
        <w:rPr>
          <w:rFonts w:ascii="Calibri" w:cs="Calibri" w:eastAsia="Calibri" w:hAnsi="Calibri"/>
          <w:b/>
          <w:bCs/>
          <w:color w:val="1B3A6B"/>
          <w:sz w:val="28"/>
          <w:szCs w:val="28"/>
        </w:rPr>
        <w:t xml:space="preserve">📚 Sources du jour</w:t>
      </w:r>
    </w:p>
    <w:p>
      <w:pPr>
        <w:spacing w:after="20" w:before="60"/>
      </w:pPr>
      <w:r>
        <w:rPr>
          <w:rFonts w:ascii="Calibri" w:cs="Calibri" w:eastAsia="Calibri" w:hAnsi="Calibri"/>
          <w:b/>
          <w:bCs/>
          <w:color w:val="1F2937"/>
          <w:sz w:val="22"/>
          <w:szCs w:val="22"/>
        </w:rPr>
        <w:t xml:space="preserve">✅ Sources directes (WebFetch) :</w:t>
      </w:r>
    </w:p>
    <w:p>
      <w:pPr>
        <w:pStyle w:val="ListParagraph"/>
        <w:numPr>
          <w:ilvl w:val="0"/>
          <w:numId w:val="1"/>
        </w:numPr>
        <w:spacing w:after="40" w:before="40"/>
      </w:pPr>
      <w:hyperlink w:history="1" r:id="rIdsjc87tv0xmbqq7w6lwriw">
        <w:r>
          <w:rPr>
            <w:rFonts w:ascii="Calibri" w:cs="Calibri" w:eastAsia="Calibri" w:hAnsi="Calibri"/>
            <w:color w:val="1155CC"/>
            <w:sz w:val="22"/>
            <w:szCs w:val="22"/>
            <w:u w:val="single"/>
          </w:rPr>
          <w:t xml:space="preserve">✅ Commission européenne — AI Act (digital-strategy.ec.europa.eu)</w:t>
        </w:r>
      </w:hyperlink>
    </w:p>
    <w:p>
      <w:pPr>
        <w:pStyle w:val="ListParagraph"/>
        <w:numPr>
          <w:ilvl w:val="0"/>
          <w:numId w:val="1"/>
        </w:numPr>
        <w:spacing w:after="40" w:before="40"/>
      </w:pPr>
      <w:hyperlink w:history="1" r:id="rIdoh8kebvda3-kfxw_ads8a">
        <w:r>
          <w:rPr>
            <w:rFonts w:ascii="Calibri" w:cs="Calibri" w:eastAsia="Calibri" w:hAnsi="Calibri"/>
            <w:color w:val="1155CC"/>
            <w:sz w:val="22"/>
            <w:szCs w:val="22"/>
            <w:u w:val="single"/>
          </w:rPr>
          <w:t xml:space="preserve">✅ IAPP — News &amp; AI Governance (iapp.org)</w:t>
        </w:r>
      </w:hyperlink>
    </w:p>
    <w:p>
      <w:pPr>
        <w:pStyle w:val="ListParagraph"/>
        <w:numPr>
          <w:ilvl w:val="0"/>
          <w:numId w:val="1"/>
        </w:numPr>
        <w:spacing w:after="40" w:before="40"/>
      </w:pPr>
      <w:hyperlink w:history="1" r:id="rIdgnbmc5skhupfnibf-agc2">
        <w:r>
          <w:rPr>
            <w:rFonts w:ascii="Calibri" w:cs="Calibri" w:eastAsia="Calibri" w:hAnsi="Calibri"/>
            <w:color w:val="1155CC"/>
            <w:sz w:val="22"/>
            <w:szCs w:val="22"/>
            <w:u w:val="single"/>
          </w:rPr>
          <w:t xml:space="preserve">✅ CNIL — Intelligence artificielle (cnil.fr)</w:t>
        </w:r>
      </w:hyperlink>
    </w:p>
    <w:p>
      <w:pPr>
        <w:spacing w:after="20" w:before="80"/>
      </w:pPr>
      <w:r>
        <w:rPr>
          <w:rFonts w:ascii="Calibri" w:cs="Calibri" w:eastAsia="Calibri" w:hAnsi="Calibri"/>
          <w:b/>
          <w:bCs/>
          <w:color w:val="1F2937"/>
          <w:sz w:val="22"/>
          <w:szCs w:val="22"/>
        </w:rPr>
        <w:t xml:space="preserve">⛔→✅ Fallback WebSearch (contenu exploité via extraits) :</w:t>
      </w:r>
    </w:p>
    <w:p>
      <w:pPr>
        <w:pStyle w:val="ListParagraph"/>
        <w:numPr>
          <w:ilvl w:val="0"/>
          <w:numId w:val="1"/>
        </w:numPr>
        <w:spacing w:after="40" w:before="40"/>
      </w:pPr>
      <w:hyperlink w:history="1" r:id="rIdtgp6lg4-iyeuifwmf-viw">
        <w:r>
          <w:rPr>
            <w:rFonts w:ascii="Calibri" w:cs="Calibri" w:eastAsia="Calibri" w:hAnsi="Calibri"/>
            <w:color w:val="1155CC"/>
            <w:sz w:val="22"/>
            <w:szCs w:val="22"/>
            <w:u w:val="single"/>
          </w:rPr>
          <w:t xml:space="preserve">⛔→✅ AI Act Service Desk / GPAI Code of Practice (ai-act-service-desk.ec.europa.eu)</w:t>
        </w:r>
      </w:hyperlink>
    </w:p>
    <w:p>
      <w:pPr>
        <w:pStyle w:val="ListParagraph"/>
        <w:numPr>
          <w:ilvl w:val="0"/>
          <w:numId w:val="1"/>
        </w:numPr>
        <w:spacing w:after="40" w:before="40"/>
      </w:pPr>
      <w:hyperlink w:history="1" r:id="rIdxbk8u23jcz-llblyez5bx">
        <w:r>
          <w:rPr>
            <w:rFonts w:ascii="Calibri" w:cs="Calibri" w:eastAsia="Calibri" w:hAnsi="Calibri"/>
            <w:color w:val="1155CC"/>
            <w:sz w:val="22"/>
            <w:szCs w:val="22"/>
            <w:u w:val="single"/>
          </w:rPr>
          <w:t xml:space="preserve">⛔→✅ Conseil de l'UE — Communiqués de presse IA (consilium.europa.eu)</w:t>
        </w:r>
      </w:hyperlink>
    </w:p>
    <w:p>
      <w:pPr>
        <w:pStyle w:val="ListParagraph"/>
        <w:numPr>
          <w:ilvl w:val="0"/>
          <w:numId w:val="1"/>
        </w:numPr>
        <w:spacing w:after="40" w:before="40"/>
      </w:pPr>
      <w:hyperlink w:history="1" r:id="rIdjgrwhv-m3vebyjat41koo">
        <w:r>
          <w:rPr>
            <w:rFonts w:ascii="Calibri" w:cs="Calibri" w:eastAsia="Calibri" w:hAnsi="Calibri"/>
            <w:color w:val="1155CC"/>
            <w:sz w:val="22"/>
            <w:szCs w:val="22"/>
            <w:u w:val="single"/>
          </w:rPr>
          <w:t xml:space="preserve">⛔→✅ Future of Life Institute — EU AI Act (artificialintelligenceact.eu)</w:t>
        </w:r>
      </w:hyperlink>
    </w:p>
    <w:p>
      <w:pPr>
        <w:pStyle w:val="ListParagraph"/>
        <w:numPr>
          <w:ilvl w:val="0"/>
          <w:numId w:val="1"/>
        </w:numPr>
        <w:spacing w:after="40" w:before="40"/>
      </w:pPr>
      <w:hyperlink w:history="1" r:id="rIdaagsymothitbljz_2tl6u">
        <w:r>
          <w:rPr>
            <w:rFonts w:ascii="Calibri" w:cs="Calibri" w:eastAsia="Calibri" w:hAnsi="Calibri"/>
            <w:color w:val="1155CC"/>
            <w:sz w:val="22"/>
            <w:szCs w:val="22"/>
            <w:u w:val="single"/>
          </w:rPr>
          <w:t xml:space="preserve">⛔→✅ Calendrier d'application AI Act (artificialintelligenceact.eu)</w:t>
        </w:r>
      </w:hyperlink>
    </w:p>
    <w:p>
      <w:pPr>
        <w:spacing w:after="80" w:before="80"/>
      </w:pPr>
      <w:r>
        <w:t xml:space="preserve"/>
      </w:r>
    </w:p>
    <w:p>
      <w:pPr>
        <w:pBdr>
          <w:bottom w:val="single" w:color="1B3A6B" w:sz="4"/>
        </w:pBdr>
        <w:spacing w:after="120" w:before="320"/>
      </w:pPr>
      <w:r>
        <w:rPr>
          <w:rFonts w:ascii="Calibri" w:cs="Calibri" w:eastAsia="Calibri" w:hAnsi="Calibri"/>
          <w:b/>
          <w:bCs/>
          <w:color w:val="1B3A6B"/>
          <w:sz w:val="28"/>
          <w:szCs w:val="28"/>
        </w:rPr>
        <w:t xml:space="preserve">🔜 À surveiller demain</w:t>
      </w:r>
    </w:p>
    <w:p>
      <w:pPr>
        <w:pStyle w:val="ListParagraph"/>
        <w:numPr>
          <w:ilvl w:val="0"/>
          <w:numId w:val="1"/>
        </w:numPr>
        <w:spacing w:after="40" w:before="40"/>
      </w:pPr>
      <w:r>
        <w:rPr>
          <w:rFonts w:ascii="Calibri" w:cs="Calibri" w:eastAsia="Calibri" w:hAnsi="Calibri"/>
          <w:color w:val="1F2937"/>
          <w:sz w:val="22"/>
          <w:szCs w:val="22"/>
        </w:rPr>
        <w:t xml:space="preserve">Adoption formelle du Digital Omnibus on AI par le Parlement européen (vote en séance plénière — date à confirmer).</w:t>
      </w:r>
    </w:p>
    <w:p>
      <w:pPr>
        <w:pStyle w:val="ListParagraph"/>
        <w:numPr>
          <w:ilvl w:val="0"/>
          <w:numId w:val="1"/>
        </w:numPr>
        <w:spacing w:after="40" w:before="40"/>
      </w:pPr>
      <w:r>
        <w:rPr>
          <w:rFonts w:ascii="Calibri" w:cs="Calibri" w:eastAsia="Calibri" w:hAnsi="Calibri"/>
          <w:color w:val="1F2937"/>
          <w:sz w:val="22"/>
          <w:szCs w:val="22"/>
        </w:rPr>
        <w:t xml:space="preserve">Consultation Classification HRAIS (lancée le 19/05) : surveiller la date de clôture et les réponses des acteurs médico-sociaux français (FEHAP, NEXEM, UNIOPSS).</w:t>
      </w:r>
    </w:p>
    <w:p>
      <w:pPr>
        <w:pStyle w:val="ListParagraph"/>
        <w:numPr>
          <w:ilvl w:val="0"/>
          <w:numId w:val="1"/>
        </w:numPr>
        <w:spacing w:after="40" w:before="40"/>
      </w:pPr>
      <w:r>
        <w:rPr>
          <w:rFonts w:ascii="Calibri" w:cs="Calibri" w:eastAsia="Calibri" w:hAnsi="Calibri"/>
          <w:color w:val="1F2937"/>
          <w:sz w:val="22"/>
          <w:szCs w:val="22"/>
        </w:rPr>
        <w:t xml:space="preserve">CADA — Cloud and AI Development Act : premières réactions institutionnelles françaises (CNIL, DGE, ANSSI) et calendrier législatif.</w:t>
      </w:r>
    </w:p>
    <w:p>
      <w:pPr>
        <w:pStyle w:val="ListParagraph"/>
        <w:numPr>
          <w:ilvl w:val="0"/>
          <w:numId w:val="1"/>
        </w:numPr>
        <w:spacing w:after="40" w:before="40"/>
      </w:pPr>
      <w:r>
        <w:rPr>
          <w:rFonts w:ascii="Calibri" w:cs="Calibri" w:eastAsia="Calibri" w:hAnsi="Calibri"/>
          <w:color w:val="1F2937"/>
          <w:sz w:val="22"/>
          <w:szCs w:val="22"/>
        </w:rPr>
        <w:t xml:space="preserve">GPAI Code of Practice : publication des premiers retours sur l'application du code par les grands modèles (OpenAI, Mistral, Google) avant le 2 août 2026.</w:t>
      </w:r>
    </w:p>
    <w:p>
      <w:pPr>
        <w:pStyle w:val="ListParagraph"/>
        <w:numPr>
          <w:ilvl w:val="0"/>
          <w:numId w:val="1"/>
        </w:numPr>
        <w:spacing w:after="40" w:before="40"/>
      </w:pPr>
      <w:r>
        <w:rPr>
          <w:rFonts w:ascii="Calibri" w:cs="Calibri" w:eastAsia="Calibri" w:hAnsi="Calibri"/>
          <w:color w:val="1F2937"/>
          <w:sz w:val="22"/>
          <w:szCs w:val="22"/>
        </w:rPr>
        <w:t xml:space="preserve">Sandboxes nationales France : position du gouvernement sur la mise en place d'un bac à sable réglementaire IA, notamment pour le secteur santé/médico-social.</w:t>
      </w:r>
    </w:p>
    <w:p>
      <w:pPr>
        <w:spacing w:after="80" w:before="80"/>
      </w:pPr>
      <w:r>
        <w:t xml:space="preserve"/>
      </w:r>
    </w:p>
    <w:p>
      <w:pPr>
        <w:spacing w:after="0" w:before="160"/>
        <w:jc w:val="center"/>
      </w:pPr>
      <w:r>
        <w:rPr>
          <w:rFonts w:ascii="Calibri" w:cs="Calibri" w:eastAsia="Calibri" w:hAnsi="Calibri"/>
          <w:i/>
          <w:iCs/>
          <w:color w:val="888888"/>
          <w:sz w:val="18"/>
          <w:szCs w:val="18"/>
        </w:rPr>
        <w:t xml:space="preserve">Veille produite le 12 juin 2026 — Claude Code / claude-sonnet-4-6 | Sources : 3/7 directes ✅ + 4/7 fallback WebSearch ✅</w:t>
      </w:r>
    </w:p>
    <w:sectPr>
      <w:pgSz w:w="11906" w:h="16838"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sys-w2eneyzxqzes26r0" Type="http://schemas.openxmlformats.org/officeDocument/2006/relationships/hyperlink" Target="https://digital-strategy.ec.europa.eu/en/news/commission-publishes-code-practice-marking-and-labelling-ai-generated-content" TargetMode="External"/><Relationship Id="rIdw2xt4gkmjr2pjjp1bxswe" Type="http://schemas.openxmlformats.org/officeDocument/2006/relationships/hyperlink" Target="https://digital-strategy.ec.europa.eu/en/news/ai-act-enforcement-gets-independent-expert-support" TargetMode="External"/><Relationship Id="rId_ldpaeqx7puhl2v97d8ty" Type="http://schemas.openxmlformats.org/officeDocument/2006/relationships/hyperlink" Target="https://digital-strategy.ec.europa.eu/en/news/commission-seeks-feedback-draft-guidelines-classification-high-risk-artificial-intelligence-systems" TargetMode="External"/><Relationship Id="rIdnhlivw4mr41lnmrsionmd" Type="http://schemas.openxmlformats.org/officeDocument/2006/relationships/hyperlink" Target="https://www.consilium.europa.eu/en/press/press-releases/2026/05/07/artificial-intelligence-council-and-parliament-agree-to-simplify-and-streamline-rules/" TargetMode="External"/><Relationship Id="rIdt9jrk6tctktvagvvrqosw" Type="http://schemas.openxmlformats.org/officeDocument/2006/relationships/hyperlink" Target="https://www.consilium.europa.eu/en/press/press-releases/2026/03/13/council-agrees-position-to-streamline-rules-on-artificial-intelligence/" TargetMode="External"/><Relationship Id="rIdflacgmpg8esxwdpqvoymu" Type="http://schemas.openxmlformats.org/officeDocument/2006/relationships/hyperlink" Target="https://iapp.org/news/a/europe-s-cloud-and-ai-development-act-grand-ambition-fragile-foundations" TargetMode="External"/><Relationship Id="rIdb7oa8mkqug1ffp3kds3pm" Type="http://schemas.openxmlformats.org/officeDocument/2006/relationships/hyperlink" Target="https://iapp.org/news/a/a-view-from-brussels-why-the-cada-sovereignty-proposal-deserves-attention" TargetMode="External"/><Relationship Id="rId6rprlked1bfnsdechkpni" Type="http://schemas.openxmlformats.org/officeDocument/2006/relationships/hyperlink" Target="https://iapp.org/news/a/notes-from-the-ai-governance-center-the-key-ai-governance-issues-tackled-at-aigg-europe-2026" TargetMode="External"/><Relationship Id="rIdtx40ie13pvczvzpxtj_ml" Type="http://schemas.openxmlformats.org/officeDocument/2006/relationships/hyperlink" Target="https://www.cnil.fr/fr/ia-generative-et-vie-privee-affiche-coproduite-pipc-cnil" TargetMode="External"/><Relationship Id="rIdw58jx9hgli4ngw8utnpv3" Type="http://schemas.openxmlformats.org/officeDocument/2006/relationships/hyperlink" Target="https://www.cnil.fr/fr/ia-conversationnelle-et-sante-mentale-des-jeunes-resultats-de-lenquete-europeenne" TargetMode="External"/><Relationship Id="rIdsq2y-oe-1r7rfw8bwozy6" Type="http://schemas.openxmlformats.org/officeDocument/2006/relationships/hyperlink" Target="https://www.cnil.fr/fr/hypertrucage-deepfake" TargetMode="External"/><Relationship Id="rIdsjc87tv0xmbqq7w6lwriw" Type="http://schemas.openxmlformats.org/officeDocument/2006/relationships/hyperlink" Target="https://digital-strategy.ec.europa.eu/en/policies/regulatory-framework-ai" TargetMode="External"/><Relationship Id="rIdoh8kebvda3-kfxw_ads8a" Type="http://schemas.openxmlformats.org/officeDocument/2006/relationships/hyperlink" Target="https://iapp.org/news/" TargetMode="External"/><Relationship Id="rIdgnbmc5skhupfnibf-agc2" Type="http://schemas.openxmlformats.org/officeDocument/2006/relationships/hyperlink" Target="https://www.cnil.fr/fr/intelligence-artificielle" TargetMode="External"/><Relationship Id="rIdtgp6lg4-iyeuifwmf-viw" Type="http://schemas.openxmlformats.org/officeDocument/2006/relationships/hyperlink" Target="https://ai-act-service-desk.ec.europa.eu/en/faq" TargetMode="External"/><Relationship Id="rIdxbk8u23jcz-llblyez5bx" Type="http://schemas.openxmlformats.org/officeDocument/2006/relationships/hyperlink" Target="https://www.consilium.europa.eu/en/policies/artificial-intelligence-act/" TargetMode="External"/><Relationship Id="rIdjgrwhv-m3vebyjat41koo" Type="http://schemas.openxmlformats.org/officeDocument/2006/relationships/hyperlink" Target="https://artificialintelligenceact.eu/" TargetMode="External"/><Relationship Id="rIdaagsymothitbljz_2tl6u" Type="http://schemas.openxmlformats.org/officeDocument/2006/relationships/hyperlink" Target="https://artificialintelligenceact.eu/implementation-timeline/" TargetMode="External"/><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2026-06-12T14:45:09.363Z</dcterms:created>
  <dcterms:modified xsi:type="dcterms:W3CDTF">2026-06-12T14:45:09.367Z</dcterms:modified>
</cp:coreProperties>
</file>

<file path=docProps/custom.xml><?xml version="1.0" encoding="utf-8"?>
<Properties xmlns="http://schemas.openxmlformats.org/officeDocument/2006/custom-properties" xmlns:vt="http://schemas.openxmlformats.org/officeDocument/2006/docPropsVTypes"/>
</file>