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olor w:val="1B3A6B"/>
          <w:sz w:val="52"/>
          <w:szCs w:val="52"/>
        </w:rPr>
        <w:t xml:space="preserve">Leçon Ennéagramme n°18</w:t>
      </w:r>
    </w:p>
    <w:p>
      <w:pPr>
        <w:spacing w:after="160" w:before="200"/>
        <w:jc w:val="center"/>
      </w:pPr>
      <w:r>
        <w:rPr>
          <w:rFonts w:ascii="Times New Roman" w:cs="Times New Roman" w:eastAsia="Times New Roman" w:hAnsi="Times New Roman"/>
          <w:b/>
          <w:bCs/>
          <w:color w:val="1B3A6B"/>
          <w:sz w:val="52"/>
          <w:szCs w:val="52"/>
        </w:rPr>
        <w:t xml:space="preserve">L'ennéagramme en contexte professionnel : usages, dérives, et pourquoi il n'a pas sa place dans un recrutement ou une évaluation</w:t>
      </w:r>
    </w:p>
    <w:p>
      <w:pPr>
        <w:spacing w:after="80" w:before="80"/>
        <w:jc w:val="center"/>
      </w:pPr>
      <w:r>
        <w:rPr>
          <w:rFonts w:ascii="Times New Roman" w:cs="Times New Roman" w:eastAsia="Times New Roman" w:hAnsi="Times New Roman"/>
          <w:i/>
          <w:iCs/>
          <w:color w:val="1F2937"/>
          <w:sz w:val="20"/>
          <w:szCs w:val="20"/>
        </w:rPr>
        <w:t xml:space="preserve">30 septembre 2026  —  Leçon 18 / 20</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distinguer trois régimes d'usage professionnel de l'ennéagramme — la connaissance de soi, le langage partagé dans une équipe, et l'instrument de décision sur une personne —, tu sauras nommer ce que la recherche établit sur la validité du modèle, et tu auras de quoi répondre par écrit à une proposition commerciale sans te contenter d'un avis personnel.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la leçon 17 a porté l'ennéagramme dans la relation — couple, famille, conflits — et a montré ce qu'un cadre de lecture apporte quand il est partagé et consenti. Cette leçon prolonge exactement cette condition : que devient le même outil quand il est appliqué à quelqu'un qui ne l'a pas choisi, dans un rapport où l'un décide du sort de l'autre ? Les leçons 12 et 13 avaient enseigné les ailes et les flèches ; on verra ici que ce sont précisément les couches du modèle que la recherche soutient le moins.</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1. Ce que le marché professionnel propose</w:t>
      </w:r>
    </w:p>
    <w:p>
      <w:pPr>
        <w:spacing w:after="80" w:before="80"/>
      </w:pPr>
      <w:r>
        <w:rPr>
          <w:rFonts w:ascii="Times New Roman" w:cs="Times New Roman" w:eastAsia="Times New Roman" w:hAnsi="Times New Roman"/>
          <w:b w:val="false"/>
          <w:bCs w:val="false"/>
          <w:i w:val="false"/>
          <w:iCs w:val="false"/>
          <w:color w:val="1F2937"/>
          <w:sz w:val="22"/>
          <w:szCs w:val="22"/>
        </w:rPr>
        <w:t xml:space="preserve">L'usage de l'ennéagramme en entreprise est massif et ancien. Wikipedia le résume en une phrase :</w:t>
      </w:r>
    </w:p>
    <w:p>
      <w:pPr>
        <w:spacing w:after="120" w:before="120"/>
        <w:ind w:left="576"/>
      </w:pPr>
      <w:r>
        <w:rPr>
          <w:rFonts w:ascii="Times New Roman" w:cs="Times New Roman" w:eastAsia="Times New Roman" w:hAnsi="Times New Roman"/>
          <w:i/>
          <w:iCs/>
          <w:color w:val="1B3A6B"/>
          <w:sz w:val="22"/>
          <w:szCs w:val="22"/>
        </w:rPr>
        <w:t xml:space="preserve">« In the corporate world, it is often used as a tool for gaining insight into workplace interpersonal dynamics. » (Wikipedia, Enneagram of Personality, consulté le 30/09/2026)</w:t>
      </w:r>
    </w:p>
    <w:p>
      <w:pPr>
        <w:spacing w:after="80" w:before="80"/>
      </w:pPr>
      <w:r>
        <w:rPr>
          <w:rFonts w:ascii="Times New Roman" w:cs="Times New Roman" w:eastAsia="Times New Roman" w:hAnsi="Times New Roman"/>
          <w:b w:val="false"/>
          <w:bCs w:val="false"/>
          <w:i w:val="false"/>
          <w:iCs w:val="false"/>
          <w:color w:val="1F2937"/>
          <w:sz w:val="22"/>
          <w:szCs w:val="22"/>
        </w:rPr>
        <w:t xml:space="preserve">Le marché a sa langue. Integrative9, qui commercialise le questionnaire iEQ9, présente l'ennéagramme comme « a powerful tool to improve team dynamics, communication, and ultimately, productivity in the workplace », et décrit son rapport d'équipe comme utilisant « a unique fractal mathematical algorithm to generate a group gestalt ». Truity, qui diffuse un test gratuit, affiche 502 099 tests passés sur son site au cours des trente derniers jours — c'est un volume de passations sur une plateforme, pas un échantillon d'étude — et précise que « The Enneagram test can also be used for coaching or team-building ».</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Retiens la formulation « coaching or team-building » : même un éditeur de test, dont l'intérêt est que son produit serve, borne son usage au développement et à l'animation d'équipe. Aucune des pages ouvertes pour cette leçon ne propose l'ennéagramme comme instrument de sélection.</w:t>
      </w:r>
    </w:p>
    <w:p>
      <w:pPr>
        <w:spacing w:after="80" w:before="200"/>
      </w:pPr>
      <w:r>
        <w:rPr>
          <w:rFonts w:ascii="Times New Roman" w:cs="Times New Roman" w:eastAsia="Times New Roman" w:hAnsi="Times New Roman"/>
          <w:b/>
          <w:bCs/>
          <w:color w:val="1F2937"/>
          <w:sz w:val="26"/>
          <w:szCs w:val="26"/>
        </w:rPr>
        <w:t xml:space="preserve">2. Ce que la recherche établit — et il faut la nommer</w:t>
      </w:r>
    </w:p>
    <w:p>
      <w:pPr>
        <w:spacing w:after="80" w:before="80"/>
      </w:pPr>
      <w:r>
        <w:rPr>
          <w:rFonts w:ascii="Times New Roman" w:cs="Times New Roman" w:eastAsia="Times New Roman" w:hAnsi="Times New Roman"/>
          <w:b w:val="false"/>
          <w:bCs w:val="false"/>
          <w:i w:val="false"/>
          <w:iCs w:val="false"/>
          <w:color w:val="1F2937"/>
          <w:sz w:val="22"/>
          <w:szCs w:val="22"/>
        </w:rPr>
        <w:t xml:space="preserve">Quand on parle de ce que l'ennéagramme vaut, il faut une source indépendante et nommée. Le parcours en dispose d'une depuis la leçon 13 : Hook, Hall, Davis, Van Tongeren et Conner, « The Enneagram: A systematic review of the literature and directions for future research », Journal of Clinical Psychology, 2021, 77(4), 865-883, DOI 10.1002/jclp.23097. La notice — titre, auteurs, revue, année — a été relue sur Europe PMC pendant cette exécution, la page de l'éditeur répondant 403.</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cette revue conclut, en formulation indirecte puisque je cite sa notice et non l'article intégral : elle recense 104 échantillons indépendants — c'est le nombre d'échantillons repris dans la revue, pas un nombre de participants — et trouve des preuves mitigées de fidélité et de validité. Les analyses factorielles y dégagent le plus souvent moins de neuf facteurs, aucun travail n'a fait émerger les neuf types par des méthodes de classification, et les aspects secondaires de la théorie — les ailes et les mouvements entre types, soit les leçons 12 et 13 de ce parcours — sont très peu soutenus par la recherche. Elle relève aussi des résultats favorables : certaines analyses s'alignent partiellement sur la théorie, des sous-échelles se comportent comme attendu vis-à-vis des Big 5, et plusieurs études trouvent le modèle utile pour la croissance personnelle et spirituelle.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autres éléments, tous repris de la page Wikipedia consultée le 30/09/2026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résultat qui devrait décider de tout pour un usage en recrutement : 87 % des personnes ont su prédire correctement leur type AVANT de passer le test, à la seule lecture des descriptions des neuf types. Le test ajoute donc peu à la lecture. On ne fonde pas une décision sur un instrument qui n'apporte pas davantage qu'un dépliant.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RHETI — Riso-Hudson Enneagram Type Indicator, construit par Don Richard Riso et Russ Hudson en 1993 — pose un problème dans sa version ipsative (les points gagnés sur une dimension en font perdre sur une autre) ; la version non ipsative montre une meilleure cohérence interne et une meilleure fidélité test-retest.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Dans une enquête Delphi auprès de 101 membres de niveau doctoral d'organisations de psychologie, l'ennéagramme figure parmi cinq tests et traitements jugés discrédités pour l'évaluation de la personnalité par au moins un quart des répondants ; les experts qui le connaissaient lui donnent une note moyenne de 4,14, soit l'équivalent approximatif de « probably discredited » sur une échelle où 3 = possiblement, 4 = probablement, 5 = certainement discrédité.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Deux qualifications sévères, avec leurs auteurs. Thyer et Pignotti, dans Science and Pseudoscience in Social Work Practice (2015) — un ouvrage de travail social, donc écrit pour des professionnels du même champ que le mien —, décrivent l'ennéagramme comme « an assessment method of no demonstrated reliability or validity ». Robert Todd Carroll, dans The Skeptic's Dictionary (2011), le range parmi les théories qui « can't be tested because they are so vague and malleable that anything relevant can be shoehorned to fit the theory ».</w:t>
      </w:r>
    </w:p>
    <w:p>
      <w:pPr>
        <w:spacing w:after="80" w:before="200"/>
      </w:pPr>
      <w:r>
        <w:rPr>
          <w:rFonts w:ascii="Times New Roman" w:cs="Times New Roman" w:eastAsia="Times New Roman" w:hAnsi="Times New Roman"/>
          <w:b/>
          <w:bCs/>
          <w:color w:val="1F2937"/>
          <w:sz w:val="26"/>
          <w:szCs w:val="26"/>
        </w:rPr>
        <w:t xml:space="preserve">3. Ce que les tenants du modèle écrivent eux-mêmes</w:t>
      </w:r>
    </w:p>
    <w:p>
      <w:pPr>
        <w:spacing w:after="80" w:before="80"/>
      </w:pPr>
      <w:r>
        <w:rPr>
          <w:rFonts w:ascii="Times New Roman" w:cs="Times New Roman" w:eastAsia="Times New Roman" w:hAnsi="Times New Roman"/>
          <w:b w:val="false"/>
          <w:bCs w:val="false"/>
          <w:i w:val="false"/>
          <w:iCs w:val="false"/>
          <w:color w:val="1F2937"/>
          <w:sz w:val="22"/>
          <w:szCs w:val="22"/>
        </w:rPr>
        <w:t xml:space="preserve">C'est l'argument le plus solide, parce qu'il ne vient pas des critiques. The Enneagram Institute — la maison de Riso et Hudson, qui fait autorité sur ce que ces auteurs ont écrit et qui a tout intérêt à la diffusion du modèle — consacre un développement entier au fait de typer autrui :</w:t>
      </w:r>
    </w:p>
    <w:p>
      <w:pPr>
        <w:spacing w:after="120" w:before="120"/>
        <w:ind w:left="576"/>
      </w:pPr>
      <w:r>
        <w:rPr>
          <w:rFonts w:ascii="Times New Roman" w:cs="Times New Roman" w:eastAsia="Times New Roman" w:hAnsi="Times New Roman"/>
          <w:i/>
          <w:iCs/>
          <w:color w:val="1B3A6B"/>
          <w:sz w:val="22"/>
          <w:szCs w:val="22"/>
        </w:rPr>
        <w:t xml:space="preserve">« Moreover, when we diagnose others, we are always on thinner ice than when we use the Enneagram to deepen our own self-knowledge. It is, of course, more appropriate to apply this material to ourselves than to type others while we avoid looking at our own lives. »</w:t>
      </w:r>
    </w:p>
    <w:p>
      <w:pPr>
        <w:spacing w:after="80" w:before="80"/>
      </w:pPr>
      <w:r>
        <w:rPr>
          <w:rFonts w:ascii="Times New Roman" w:cs="Times New Roman" w:eastAsia="Times New Roman" w:hAnsi="Times New Roman"/>
          <w:b w:val="false"/>
          <w:bCs w:val="false"/>
          <w:i w:val="false"/>
          <w:iCs w:val="false"/>
          <w:color w:val="1F2937"/>
          <w:sz w:val="22"/>
          <w:szCs w:val="22"/>
        </w:rPr>
        <w:t xml:space="preserve">Et la même page, par honnêteté, donne la raison inverse : « Nevertheless, it is unrealistic to think that anything as interesting (or as insightful) as the Enneagram will not be used for better understanding others. In fact, we categorize people all the time. » Les deux phrases se tiennent : on catégorise de toute façon, et c'est précisément pour cela que le faire dans un cadre où l'on décide du sort de quelqu'un est d'un autre ordre.</w:t>
      </w:r>
    </w:p>
    <w:p>
      <w:pPr>
        <w:spacing w:after="80" w:before="80"/>
      </w:pPr>
      <w:r>
        <w:rPr>
          <w:rFonts w:ascii="Times New Roman" w:cs="Times New Roman" w:eastAsia="Times New Roman" w:hAnsi="Times New Roman"/>
          <w:b w:val="false"/>
          <w:bCs w:val="false"/>
          <w:i w:val="false"/>
          <w:iCs w:val="false"/>
          <w:color w:val="1F2937"/>
          <w:sz w:val="22"/>
          <w:szCs w:val="22"/>
        </w:rPr>
        <w:t xml:space="preserve">Sa page consacrée aux erreurs de typage est encore plus nette. Elle traite 36 confusions de types — les 36 paires que forment neuf types — et pose que « it is inherently difficult to identify others since we must infer their type based on less than complete information about them ». Elle ajoute, sur l'état du champ : « There are different interpretations in circulation, some containing significant contradictions ».</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Un instrument dont la maison-mère écrit qu'il est intrinsèquement difficile d'en typer autrui, à partir d'informations incomplètes, et dont les interprétations en circulation se contredisent, ne peut pas servir à départager deux candidats ni à noter un agent.</w:t>
      </w:r>
    </w:p>
    <w:p>
      <w:pPr>
        <w:spacing w:after="80" w:before="200"/>
      </w:pPr>
      <w:r>
        <w:rPr>
          <w:rFonts w:ascii="Times New Roman" w:cs="Times New Roman" w:eastAsia="Times New Roman" w:hAnsi="Times New Roman"/>
          <w:b/>
          <w:bCs/>
          <w:color w:val="1F2937"/>
          <w:sz w:val="26"/>
          <w:szCs w:val="26"/>
        </w:rPr>
        <w:t xml:space="preserve">4. Les trois régimes d'usage</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 tient dans une distinction simple : qui décide, et sur qui.</w:t>
      </w:r>
    </w:p>
    <w:tbl>
      <w:tblPr>
        <w:tblW w:type="pct" w:w="100%"/>
        <w:tblBorders>
          <w:top w:val="single" w:color="1B3A6B" w:sz="4"/>
          <w:left w:val="single" w:color="1B3A6B" w:sz="4"/>
          <w:bottom w:val="single" w:color="1B3A6B" w:sz="4"/>
          <w:right w:val="single" w:color="1B3A6B" w:sz="4"/>
          <w:insideH w:val="single" w:color="1B3A6B" w:sz="2"/>
          <w:insideV w:val="single" w:color="1B3A6B" w:sz="2"/>
        </w:tblBorders>
      </w:tblPr>
      <w:tblGrid>
        <w:gridCol w:w="100"/>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Régime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Ce que c'est</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Ce qui le soutient</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Verdict</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A — Connaissance de soi</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Je lis les descriptions, je me reconnais, je travaille mes automatismes.</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Hook et al. (2021) relèvent plusieurs études où le modèle est utile pour la croissance personnelle ; 87 % des personnes se reconnaissent sans test.</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Soutenu. C'est l'usage du présent parcours.</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B — Langage d'équipe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Une équipe volontaire se donne un vocabulaire commun pour parler de ses modes de fonctionnement.</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Aucune démonstration d'efficacité dans les sources ouvertes ; les vendeurs l'affirment, la recherche ne le documente pas.</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Possible sous conditions strictes : participation volontaire, autodéclaration, aucun type consigné par écrit, aucun effet sur les décisions.</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C — Instrument de décision sur une personne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Recrutement, affectation, évaluation professionnelle, choix d'un successeur.</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Rien. Preuves mitigées, moins de neuf facteurs, 4,14 sur l'échelle de discrédit, et la maison-mère elle-même déconseille de typer autrui.</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2"/>
                <w:szCs w:val="22"/>
              </w:rPr>
              <w:t xml:space="preserve">Non. Et l'absence de validité n'est pas le seul motif : voir ci-dessous.</w:t>
            </w:r>
          </w:p>
        </w:tc>
      </w:tr>
    </w:tbl>
    <w:p>
      <w:pPr>
        <w:spacing w:after="80" w:before="80"/>
      </w:pPr>
      <w:r>
        <w:rPr>
          <w:rFonts w:ascii="Times New Roman" w:cs="Times New Roman" w:eastAsia="Times New Roman" w:hAnsi="Times New Roman"/>
          <w:b w:val="false"/>
          <w:bCs w:val="false"/>
          <w:i w:val="false"/>
          <w:iCs w:val="false"/>
          <w:color w:val="1F2937"/>
          <w:sz w:val="22"/>
          <w:szCs w:val="22"/>
        </w:rPr>
        <w:t xml:space="preserve">Le régime C échoue deux fois. D'abord techniquement : un instrument sans validité démontrée ne discrimine rien, et une décision qui s'y adosse est arbitraire sous une apparence de méthode. Ensuite parce qu'il change la nature de l'outil : en régime A, une personne se reconnaît ; en régime C, une personne est assignée. L'ennéagramme décrit des motivations profondes, des peurs de base, des blessures d'enfance — c'est-à-dire exactement le genre d'inférence qu'un employeur n'a pas à faire sur un candidat ou un agent.</w:t>
      </w:r>
    </w:p>
    <w:p>
      <w:pPr>
        <w:spacing w:after="80" w:before="200"/>
      </w:pPr>
      <w:r>
        <w:rPr>
          <w:rFonts w:ascii="Times New Roman" w:cs="Times New Roman" w:eastAsia="Times New Roman" w:hAnsi="Times New Roman"/>
          <w:b/>
          <w:bCs/>
          <w:color w:val="1F2937"/>
          <w:sz w:val="26"/>
          <w:szCs w:val="26"/>
        </w:rPr>
        <w:t xml:space="preserve">5. Ce que je n'ai pas pu vérifier, et que je ne prétendrai donc pas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droit français encadre les méthodes d'aide au recrutement et les informations qu'un employeur peut demander à un candidat. Je n'écris ici aucun article ni aucune formulation légale : Légifrance a répondu 403 pendant cette exécution, la page de la CNIL sur le recrutement n'a pas été retrouvée, et travail-emploi.gouv.fr ne rend aucun contenu sans JavaScript. Une règle de droit citée de mémoire ne vaut rien devant une DRH. Le geste correct est donc : poser la question au service RH, en lui demandant le texte applicable, plutôt que d'arriver avec une référence approximative. Ce que cette leçon établit tient sans le droit — l'argument psychométrique suffit à écarter le régime C.</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Pratique (80 %)</w:t>
      </w:r>
    </w:p>
    <w:p>
      <w:pPr>
        <w:spacing w:after="80" w:before="200"/>
      </w:pPr>
      <w:r>
        <w:rPr>
          <w:rFonts w:ascii="Times New Roman" w:cs="Times New Roman" w:eastAsia="Times New Roman" w:hAnsi="Times New Roman"/>
          <w:b/>
          <w:bCs/>
          <w:color w:val="1F2937"/>
          <w:sz w:val="26"/>
          <w:szCs w:val="26"/>
        </w:rPr>
        <w:t xml:space="preserve">Exercice 1 — Démonter une plaquette (25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apprendre à lire une proposition commerciale sans se laisser porter par son vocabulaire.</w:t>
      </w:r>
    </w:p>
    <w:p>
      <w:pPr>
        <w:spacing w:after="80" w:before="80"/>
      </w:pPr>
      <w:r>
        <w:rPr>
          <w:rFonts w:ascii="Times New Roman" w:cs="Times New Roman" w:eastAsia="Times New Roman" w:hAnsi="Times New Roman"/>
          <w:b w:val="false"/>
          <w:bCs w:val="false"/>
          <w:i w:val="false"/>
          <w:iCs w:val="false"/>
          <w:color w:val="1F2937"/>
          <w:sz w:val="22"/>
          <w:szCs w:val="22"/>
        </w:rPr>
        <w:t xml:space="preserve">Voici trois formulations relevées telles quelles sur des sites d'éditeurs, le 30/09/2026. Pour chacune, écris : (a) ce qu'elle affirme exactement, (b) ce qu'un lecteur pressé comprendra, (c) ce qu'il faudrait pour l'étayer.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a powerful tool to improve team dynamics, communication, and ultimately, productivity in the workplace » (Integrative9)</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a unique fractal mathematical algorithm to generate a group gestalt » (Integrative9)</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The Enneagram test can also be used for coaching or team-building » (Truity)</w:t>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 (1) La première affirme une chaîne causale — outil → dynamique d'équipe → communication → productivité — dont aucun maillon n'est documenté dans les sources ouvertes ; un lecteur pressé y lira un résultat mesuré ; il faudrait une étude contrôlée sur la productivité, que Hook et al. (2021) ne recensent pas. (2) La deuxième n'affirme rien de vérifiable : « fractal », « algorithme », « gestalt de groupe » sont des mots qui sonnent comme une méthode ; un lecteur pressé y lira une garantie mathématique ; il faudrait la description de l'algorithme et sa validation. C'est l'exemple type du vocabulaire scientifique employé comme argument d'autorité. (3) La troisième est la plus honnête des trois : elle borne l'usage au coaching et à l'animation d'équipe — c'est-à-dire aux régimes A et B, jamais C. Remarque la dissymétrie : la phrase la plus modeste est celle qui vient du vendeur de test.</w:t>
      </w:r>
    </w:p>
    <w:p>
      <w:pPr>
        <w:spacing w:after="80" w:before="200"/>
      </w:pPr>
      <w:r>
        <w:rPr>
          <w:rFonts w:ascii="Times New Roman" w:cs="Times New Roman" w:eastAsia="Times New Roman" w:hAnsi="Times New Roman"/>
          <w:b/>
          <w:bCs/>
          <w:color w:val="1F2937"/>
          <w:sz w:val="26"/>
          <w:szCs w:val="26"/>
        </w:rPr>
        <w:t xml:space="preserve">Exercice 2 — Classer huit situations (20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Range chaque situation en régime A, B ou C, puis justifie en une phrase. Le critère n'est pas l'intention de celui qui propose, c'est l'effet sur la personne concernée.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Je lis la description du type 9 et je reconnais ma façon d'éviter les conflits en réunion.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Mon N+1 me dit qu'il me « voit très 3 » et que cela explique mon rapport au résultat.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Une équipe, en séminaire, partage volontairement les types que chacun s'est reconnus, sans trace écrite.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4. Un cabinet propose de faire passer un questionnaire aux trois candidats d'un poste de coordinateur.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5. Dans un compte rendu d'entretien annuel, un cadre écrit « profil 6, a besoin d'être rassuré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6. Je me sers de la notion de flèche de désintégration pour repérer ce qui m'arrive quand je suis sous pression.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7. Un collègue m'explique qu'il ne faut « rien demander de complexe à un 7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8. Une formation d'équipe présente les neuf types et dit explicitement que nul n'a à déclarer le sien.</w:t>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 1 → A (autodéclaration, aucun tiers). 2 → C : ce n'est pas un échange, c'est une assignation par quelqu'un qui a autorité sur moi, et elle se fait sans test et sur information incomplète — exactement ce que The Enneagram Institute décrit comme « thinner ice ». 3 → B, et c'est le cas le plus favorable : volontaire, autodéclaré, sans trace. 4 → C, sans hésitation : un instrument sans validité démontrée intervient dans une décision d'embauche. 5 → C, et aggravé : le type devient une donnée écrite dans un dossier professionnel, réutilisable par d'autres. 6 → A, avec une réserve que la leçon oblige à faire : Hook et al. (2021) notent que les mouvements entre types sont peu soutenus par la recherche ; l'usage reste introspectif, il ne prouve rien. 7 → C en miniature : une consigne de conduite tirée d'un type attribué à autrui. 8 → B correctement posé, la phrase « nul n'a à déclarer le sien » étant ce qui l'empêche de glisser en C.</w:t>
      </w:r>
    </w:p>
    <w:p>
      <w:pPr>
        <w:spacing w:after="80" w:before="200"/>
      </w:pPr>
      <w:r>
        <w:rPr>
          <w:rFonts w:ascii="Times New Roman" w:cs="Times New Roman" w:eastAsia="Times New Roman" w:hAnsi="Times New Roman"/>
          <w:b/>
          <w:bCs/>
          <w:color w:val="1F2937"/>
          <w:sz w:val="26"/>
          <w:szCs w:val="26"/>
        </w:rPr>
        <w:t xml:space="preserve">Exercice 3 — Journal : où est-ce que je type les autres ? (une semaine)</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observer le glissement chez soi, plutôt que chez les vendeurs.</w:t>
      </w:r>
    </w:p>
    <w:p>
      <w:pPr>
        <w:spacing w:after="80" w:before="80"/>
      </w:pPr>
      <w:r>
        <w:rPr>
          <w:rFonts w:ascii="Times New Roman" w:cs="Times New Roman" w:eastAsia="Times New Roman" w:hAnsi="Times New Roman"/>
          <w:b w:val="false"/>
          <w:bCs w:val="false"/>
          <w:i w:val="false"/>
          <w:iCs w:val="false"/>
          <w:color w:val="1F2937"/>
          <w:sz w:val="22"/>
          <w:szCs w:val="22"/>
        </w:rPr>
        <w:t xml:space="preserve">Pendant sept jours, note chaque fois que tu attribues mentalement un type à quelqu'un : la situation, le type attribué, et sur quel indice. À la fin de la semaine, relis et réponds par écrit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Combien de fois ? Sur quels indices — des paroles rapportées, une attitude vue une fois, un agacement de ma part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Combien de ces personnes savent que je les ai typées ? Combien l'auraient accepté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Y a-t-il des personnes sur lesquelles j'ai un pouvoir de décision ? Pour celles-là, qu'est-ce que le typage a changé à ce que j'ai fait ?</w:t>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 il n'y en a pas — c'est un relevé, pas un exercice à réponse. Un seul repère de lecture : la dernière question est la seule qui porte un enjeu professionnel. Si le relevé montre que le typage n'a rien changé à tes décisions, l'outil est resté en régime A. S'il a changé quelque chose, il est passé en C sans que personne l'ait décidé — et c'est ainsi que cela se produit, jamais par une politique explicite.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Challenge — Écrire la réponse (45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Situation : un organisme de formation propose à ton établissement une journée « Mieux se comprendre grâce à l'ennéagramme », avec passation d'un questionnaire pour les douze professionnels de tes deux équipes, restitution collective des profils, et remise d'une fiche individuelle au cadre. La direction te demande un avis écrit.</w:t>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une note de 15 à 20 lignes. Contraintes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 explicitement ce que tu refuses de ce que tu accepterais, et à quelles conditions.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Appuie l'argument de validité sur une étude nommée, avec ses auteurs et son année — pas sur « les études montrent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Cite au moins un élément venant des promoteurs du modèle eux-mêmes.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N'invoque aucun texte réglementaire que tu n'as pas sous les yeux.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Termine par ce que tu proposes à la place, s'il y a lieu.</w:t>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indicatif : le refus porte sur deux points précis, non sur la journée entière. D'abord la remise d'une fiche individuelle au cadre : elle fait passer l'outil en régime C, puisqu'un type devient une donnée détenue par celui qui évalue ; c'est le point à écarter en premier. Ensuite la passation d'un questionnaire pour les douze professionnels : outre qu'elle n'apporte à peu près rien — 87 % des personnes se reconnaissent à la seule lecture des descriptions —, elle produit un résultat nominatif là où l'autodéclaration suffirait. Sur la validité, la note s'appuie sur Hook, Hall, Davis, Van Tongeren et Conner (2021), Journal of Clinical Psychology : 104 échantillons indépendants, preuves mitigées, moins de neuf facteurs, appuis très faibles pour les ailes et les mouvements entre types. Du côté des promoteurs, The Enneagram Institute écrit que typer autrui place sur « thinner ice » et qu'il est intrinsèquement difficile de le faire à partir d'informations incomplètes. Ce qui reste acceptable : une présentation des neuf types sans passation, sans recueil de profils et sans trace écrite, avec la mention explicite que nul n'a à déclarer son type — le régime B. Et la proposition de remplacement doit être honnête : si le besoin réel est de travailler les relations dans l'équipe, il existe des dispositifs dont c'est l'objet et qui ne reposent pas sur une typologie.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Pont pro</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qui précède n'est pas un contenu à transmettre en équipe, ni une justification opposable dans un projet d'établissement : c'est ma préparation personnelle à une situation que je rencontrerai. Deux gestes en découlent, et ils relèvent du bon sens professionnel, sans autorité invoquée. Premier geste : quand une proposition de formation arrive, demander ce qui sera consigné et qui le recevra — la question du support écrit tranche à elle seule entre un usage acceptable et un usage qui ne l'est pas. Second geste : ne jamais faire figurer de type, ni aucune inférence de même nature, dans un écrit professionnel concernant un agent. Les décisions qui concernent une personne se fondent sur des faits observables et sur le cadre applicable, que le service RH est là pour dire.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b w:val="false"/>
          <w:bCs w:val="false"/>
          <w:i/>
          <w:iCs/>
          <w:color w:val="1F2937"/>
          <w:sz w:val="22"/>
          <w:szCs w:val="22"/>
        </w:rPr>
        <w:t xml:space="preserve">D'où parlent ces sources : sur six références, deux sont des sites commerciaux qui vendent des questionnaires (Integrative9, Truity), deux émanent de l'institut fondé par les auteurs du modèle (The Enneagram Institute) — il fait autorité sur ce que Riso et Hudson ont écrit, et il est juge et partie dès qu'il s'agit de la validité —, une est une encyclopédie collaborative, et une seule est une publication indépendante à comité de lecture. Cette dernière porte tout l'argument de validité.</w:t>
      </w:r>
    </w:p>
    <w:p>
      <w:pPr>
        <w:spacing w:after="60" w:before="60"/>
      </w:pPr>
      <w:hyperlink w:history="1" r:id="rIdi1jmla0ayhko60rfbwxy1">
        <w:r>
          <w:rPr>
            <w:rFonts w:ascii="Times New Roman" w:cs="Times New Roman" w:eastAsia="Times New Roman" w:hAnsi="Times New Roman"/>
            <w:color w:val="1155CC"/>
            <w:sz w:val="22"/>
            <w:szCs w:val="22"/>
            <w:u w:val="single"/>
          </w:rPr>
          <w:t xml:space="preserve">Hook, Hall, Davis, Van Tongeren &amp; Conner (2021) — The Enneagram: A systematic review of the literature and directions for future research. Journal of Clinical Psychology, 77(4), 865-883. DOI 10.1002/jclp.23097 (page éditeur en 403 le 30/09/2026 ; notice relue sur Europe PMC)</w:t>
        </w:r>
      </w:hyperlink>
    </w:p>
    <w:p>
      <w:pPr>
        <w:spacing w:after="60" w:before="60"/>
      </w:pPr>
      <w:hyperlink w:history="1" r:id="rIdle6fcqbmznks-p0mkfwvs">
        <w:r>
          <w:rPr>
            <w:rFonts w:ascii="Times New Roman" w:cs="Times New Roman" w:eastAsia="Times New Roman" w:hAnsi="Times New Roman"/>
            <w:color w:val="1155CC"/>
            <w:sz w:val="22"/>
            <w:szCs w:val="22"/>
            <w:u w:val="single"/>
          </w:rPr>
          <w:t xml:space="preserve">Wikipedia — Enneagram of Personality (usage en entreprise, critiques, enquête Delphi, RHETI)</w:t>
        </w:r>
      </w:hyperlink>
    </w:p>
    <w:p>
      <w:pPr>
        <w:spacing w:after="60" w:before="60"/>
      </w:pPr>
      <w:hyperlink w:history="1" r:id="rIdfwg6l8ymv_ncm_janyrbf">
        <w:r>
          <w:rPr>
            <w:rFonts w:ascii="Times New Roman" w:cs="Times New Roman" w:eastAsia="Times New Roman" w:hAnsi="Times New Roman"/>
            <w:color w:val="1155CC"/>
            <w:sz w:val="22"/>
            <w:szCs w:val="22"/>
            <w:u w:val="single"/>
          </w:rPr>
          <w:t xml:space="preserve">The Enneagram Institute — How the Enneagram System Works (typer autrui : « thinner ice »)</w:t>
        </w:r>
      </w:hyperlink>
    </w:p>
    <w:p>
      <w:pPr>
        <w:spacing w:after="60" w:before="60"/>
      </w:pPr>
      <w:hyperlink w:history="1" r:id="rIdj6cjjw1racvdqjrnoijye">
        <w:r>
          <w:rPr>
            <w:rFonts w:ascii="Times New Roman" w:cs="Times New Roman" w:eastAsia="Times New Roman" w:hAnsi="Times New Roman"/>
            <w:color w:val="1155CC"/>
            <w:sz w:val="22"/>
            <w:szCs w:val="22"/>
            <w:u w:val="single"/>
          </w:rPr>
          <w:t xml:space="preserve">The Enneagram Institute — Misidentifications (36 confusions de types, difficulté d'identifier autrui)</w:t>
        </w:r>
      </w:hyperlink>
    </w:p>
    <w:p>
      <w:pPr>
        <w:spacing w:after="60" w:before="60"/>
      </w:pPr>
      <w:hyperlink w:history="1" r:id="rIdlveg1zxy4gifwqn9oterd">
        <w:r>
          <w:rPr>
            <w:rFonts w:ascii="Times New Roman" w:cs="Times New Roman" w:eastAsia="Times New Roman" w:hAnsi="Times New Roman"/>
            <w:color w:val="1155CC"/>
            <w:sz w:val="22"/>
            <w:szCs w:val="22"/>
            <w:u w:val="single"/>
          </w:rPr>
          <w:t xml:space="preserve">Integrative9 — Introduction to the Enneagram (discours commercial sur l'usage en organisation)</w:t>
        </w:r>
      </w:hyperlink>
    </w:p>
    <w:p>
      <w:pPr>
        <w:spacing w:after="60" w:before="60"/>
      </w:pPr>
      <w:hyperlink w:history="1" r:id="rIdrmflxrsyd0a59h-fulndy">
        <w:r>
          <w:rPr>
            <w:rFonts w:ascii="Times New Roman" w:cs="Times New Roman" w:eastAsia="Times New Roman" w:hAnsi="Times New Roman"/>
            <w:color w:val="1155CC"/>
            <w:sz w:val="22"/>
            <w:szCs w:val="22"/>
            <w:u w:val="single"/>
          </w:rPr>
          <w:t xml:space="preserve">Truity — Enneagram Personality Test (volume de passations, usage borné au coaching et au team-building)</w:t>
        </w:r>
      </w:hyperlink>
    </w:p>
    <w:p>
      <w:pPr>
        <w:spacing w:after="80" w:before="80"/>
      </w:pPr>
      <w:r>
        <w:rPr>
          <w:rFonts w:ascii="Times New Roman" w:cs="Times New Roman" w:eastAsia="Times New Roman" w:hAnsi="Times New Roman"/>
          <w:b w:val="false"/>
          <w:bCs w:val="false"/>
          <w:i/>
          <w:iCs/>
          <w:color w:val="1F2937"/>
          <w:sz w:val="22"/>
          <w:szCs w:val="22"/>
        </w:rPr>
        <w:t xml:space="preserve">Pages non ouvertes pendant cette exécution, et donc non exploitées : psychologytoday.com/us/basics/enneagram (404), internationalenneagram.org (403), legifrance.gouv.fr (403), travail-emploi.gouv.fr (aucun contenu sans JavaScript). Les pages d'accueil de The Narrative Enneagram et de The Enneagram Institute ne rendent qu'un squelette de menus : seules les pages de contenu citées ci-dessus ont été lues.</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19 / 20 — Ce que la recherche établit : validité, critiques, statut épistémique du modèle.</w:t>
      </w:r>
    </w:p>
    <w:p>
      <w:pPr>
        <w:spacing w:after="80" w:before="80"/>
      </w:pPr>
      <w:r>
        <w:rPr>
          <w:rFonts w:ascii="Times New Roman" w:cs="Times New Roman" w:eastAsia="Times New Roman" w:hAnsi="Times New Roman"/>
          <w:b w:val="false"/>
          <w:bCs w:val="false"/>
          <w:i w:val="false"/>
          <w:iCs w:val="false"/>
          <w:color w:val="1F2937"/>
          <w:sz w:val="22"/>
          <w:szCs w:val="22"/>
        </w:rPr>
        <w:t xml:space="preserve">Cette leçon-ci a mobilisé la recherche pour trancher une question pratique ; la prochaine la prendra pour objet. Elle reviendra sur ce que signifie « valider » une typologie, sur ce que mesurent réellement les analyses factorielles qui trouvent moins de neuf facteurs, sur la différence entre un modèle faux et un modèle non testable, et sur ce qu'il reste d'un cadre de lecture dont la validité n'est pas établie mais dont l'utilité introspective l'est partiellement.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1jmla0ayhko60rfbwxy1" Type="http://schemas.openxmlformats.org/officeDocument/2006/relationships/hyperlink" Target="https://onlinelibrary.wiley.com/doi/10.1002/jclp.23097" TargetMode="External"/><Relationship Id="rIdle6fcqbmznks-p0mkfwvs" Type="http://schemas.openxmlformats.org/officeDocument/2006/relationships/hyperlink" Target="https://en.wikipedia.org/wiki/Enneagram_of_Personality" TargetMode="External"/><Relationship Id="rIdfwg6l8ymv_ncm_janyrbf" Type="http://schemas.openxmlformats.org/officeDocument/2006/relationships/hyperlink" Target="https://www.enneagraminstitute.com/how-the-enneagram-system-works/" TargetMode="External"/><Relationship Id="rIdj6cjjw1racvdqjrnoijye" Type="http://schemas.openxmlformats.org/officeDocument/2006/relationships/hyperlink" Target="https://www.enneagraminstitute.com/misidentifications" TargetMode="External"/><Relationship Id="rIdlveg1zxy4gifwqn9oterd" Type="http://schemas.openxmlformats.org/officeDocument/2006/relationships/hyperlink" Target="https://www.integrative9.com/enneagram/introduction" TargetMode="External"/><Relationship Id="rIdrmflxrsyd0a59h-fulndy" Type="http://schemas.openxmlformats.org/officeDocument/2006/relationships/hyperlink" Target="https://www.truity.com/enneagra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2026-09-30T18:32:21.542Z</dcterms:created>
  <dcterms:modified xsi:type="dcterms:W3CDTF">2026-09-30T18:32:21.560Z</dcterms:modified>
</cp:coreProperties>
</file>

<file path=docProps/custom.xml><?xml version="1.0" encoding="utf-8"?>
<Properties xmlns="http://schemas.openxmlformats.org/officeDocument/2006/custom-properties" xmlns:vt="http://schemas.openxmlformats.org/officeDocument/2006/docPropsVTypes"/>
</file>