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color w:val="1B3A6B"/>
          <w:sz w:val="52"/>
          <w:szCs w:val="52"/>
        </w:rPr>
        <w:t xml:space="preserve">Leçon Hypnose &amp; auto-hypnose n°12</w:t>
      </w:r>
    </w:p>
    <w:p>
      <w:pPr>
        <w:spacing w:after="100" w:before="0"/>
        <w:jc w:val="center"/>
      </w:pPr>
      <w:r>
        <w:rPr>
          <w:rFonts w:ascii="Times New Roman" w:cs="Times New Roman" w:eastAsia="Times New Roman" w:hAnsi="Times New Roman"/>
          <w:b/>
          <w:bCs/>
          <w:color w:val="1B3A6B"/>
          <w:sz w:val="44"/>
          <w:szCs w:val="44"/>
        </w:rPr>
        <w:t xml:space="preserve">Hypnose et douleur : usages documentés</w:t>
      </w:r>
    </w:p>
    <w:p>
      <w:pPr>
        <w:spacing w:after="400" w:before="0"/>
        <w:jc w:val="center"/>
      </w:pPr>
      <w:r>
        <w:rPr>
          <w:rFonts w:ascii="Times New Roman" w:cs="Times New Roman" w:eastAsia="Times New Roman" w:hAnsi="Times New Roman"/>
          <w:color w:val="6B7280"/>
          <w:sz w:val="20"/>
          <w:szCs w:val="20"/>
        </w:rPr>
        <w:t xml:space="preserve">Date : 1er septembre 2026    |    Leçon 12 / 20</w:t>
      </w:r>
    </w:p>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seras capable d'identifier les indications cliniques où l'hypnose est soutenue par des preuves scientifiques en matière de gestion de la douleur, de comprendre les mécanismes neurophysiologiques proposés par la recherche, et de pratiquer un exercice d'auto-hypnose orienté vers la modulation de l'inconfort physique.</w:t>
      </w:r>
    </w:p>
    <w:p>
      <w:pPr>
        <w:spacing w:after="60" w:before="60"/>
      </w:pPr>
      <w:r>
        <w:rPr>
          <w:rFonts w:ascii="Times New Roman" w:cs="Times New Roman" w:eastAsia="Times New Roman" w:hAnsi="Times New Roman"/>
          <w:color w:val="1F2937"/>
          <w:sz w:val="22"/>
          <w:szCs w:val="22"/>
        </w:rPr>
        <w:t xml:space="preserve">Lien avec la leçon précédente (n°11 — Les métaphores thérapeutiques et les histoires) : tu as appris à construire des récits et des images symboliques pour contourner la résistance analytique. Cette leçon t'amène à appliquer précisément ce registre métaphorique dans un contexte somatique — la douleur — où il trouve l'une de ses applications les mieux documentées.</w:t>
      </w:r>
    </w:p>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Cadre &amp; sécurité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60" w:before="60"/>
            </w:pPr>
            <w:r>
              <w:rPr>
                <w:rFonts w:ascii="Times New Roman" w:cs="Times New Roman" w:eastAsia="Times New Roman" w:hAnsi="Times New Roman"/>
                <w:color w:val="1F2937"/>
                <w:sz w:val="22"/>
                <w:szCs w:val="22"/>
              </w:rPr>
              <w:t xml:space="preserve">Cette leçon relève de l'auto-pratique personnelle de développement et de bien-être. Elle ne constitue ni un soin médical, ni une formation à l'hypnothérapie sur autrui (qui exige une formation qualifiante et un cadre clinique). </w:t>
            </w:r>
            <w:r>
              <w:rPr>
                <w:rFonts w:ascii="Times New Roman" w:cs="Times New Roman" w:eastAsia="Times New Roman" w:hAnsi="Times New Roman"/>
                <w:b/>
                <w:bCs/>
                <w:color w:val="1B3A6B"/>
                <w:sz w:val="22"/>
                <w:szCs w:val="22"/>
              </w:rPr>
              <w:t xml:space="preserve">Contre-indications et prudences spécifiques à ce thème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Ne pratique pas les exercices de focalisation sensorielle si tu présentes des troubles dissociatifs, un état psychotique ou une douleur aiguë non diagnostiquée — consulte un médecin en priorité.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L'hypnose peut diminuer la perception de la douleur sans en traiter la cause : elle ne doit JAMAIS conduire à ignorer un signal d'alarme organique.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 les personnes accompagnées en ESSMS : la gestion de la douleur relève exclusivement du protocole médical de l'établissement et des professionnels de santé qualifiés.</w:t>
            </w:r>
          </w:p>
        </w:tc>
      </w:tr>
    </w:tbl>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Théorie (20%) — Ce que dit la science</w:t>
      </w:r>
    </w:p>
    <w:p>
      <w:pPr>
        <w:spacing w:after="80" w:before="200"/>
      </w:pPr>
      <w:r>
        <w:rPr>
          <w:rFonts w:ascii="Times New Roman" w:cs="Times New Roman" w:eastAsia="Times New Roman" w:hAnsi="Times New Roman"/>
          <w:b/>
          <w:bCs/>
          <w:color w:val="1F2937"/>
          <w:sz w:val="26"/>
          <w:szCs w:val="26"/>
        </w:rPr>
        <w:t xml:space="preserve">1. Niveau de preuve : que sait-on avec certitude ?</w:t>
      </w:r>
    </w:p>
    <w:p>
      <w:pPr>
        <w:spacing w:after="60" w:before="60"/>
      </w:pPr>
      <w:r>
        <w:rPr>
          <w:rFonts w:ascii="Times New Roman" w:cs="Times New Roman" w:eastAsia="Times New Roman" w:hAnsi="Times New Roman"/>
          <w:color w:val="1F2937"/>
          <w:sz w:val="22"/>
          <w:szCs w:val="22"/>
        </w:rPr>
        <w:t xml:space="preserve">La question de l'hypnose et de la douleur est l'une des mieux documentées de tout le champ. Le rapport de l'INSERM de 2015 (Guéguen et al.) — qui reste la référence française de référence en évaluation — a analysé des dizaines d'essais cliniques contrôlés et conclut à des preuves suffisantes dans deux domaines principaux :</w:t>
      </w:r>
    </w:p>
    <w:p>
      <w:pPr>
        <w:spacing w:after="80" w:before="8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b/>
          <w:bCs/>
          <w:color w:val="1F2937"/>
          <w:sz w:val="22"/>
          <w:szCs w:val="22"/>
        </w:rPr>
        <w:t xml:space="preserve">L'hypnosédation péri-opératoire</w:t>
      </w:r>
      <w:r>
        <w:rPr>
          <w:rFonts w:ascii="Times New Roman" w:cs="Times New Roman" w:eastAsia="Times New Roman" w:hAnsi="Times New Roman"/>
          <w:color w:val="1F2937"/>
          <w:sz w:val="22"/>
          <w:szCs w:val="22"/>
        </w:rPr>
        <w:t xml:space="preserve"> : l'hypnose utilisée en complément d'une anesthésie locale réduit de façon mesurable la douleur per- et post-opératoire, l'anxiété et la consommation d'analgésiques.</w:t>
      </w:r>
    </w:p>
    <w:p>
      <w:pPr>
        <w:spacing w:after="80" w:before="8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b/>
          <w:bCs/>
          <w:color w:val="1F2937"/>
          <w:sz w:val="22"/>
          <w:szCs w:val="22"/>
        </w:rPr>
        <w:t xml:space="preserve">La colopathie fonctionnelle (syndrome du côlon irritable)</w:t>
      </w:r>
      <w:r>
        <w:rPr>
          <w:rFonts w:ascii="Times New Roman" w:cs="Times New Roman" w:eastAsia="Times New Roman" w:hAnsi="Times New Roman"/>
          <w:color w:val="1F2937"/>
          <w:sz w:val="22"/>
          <w:szCs w:val="22"/>
        </w:rPr>
        <w:t xml:space="preserve"> : l'hypnose abdominale guidée montre des bénéfices durables sur la douleur viscérale chronique, avec des effets persistant plusieurs mois après la fin du traitement.</w:t>
      </w:r>
    </w:p>
    <w:p>
      <w:pPr>
        <w:spacing w:after="60" w:before="60"/>
      </w:pPr>
      <w:r>
        <w:rPr>
          <w:rFonts w:ascii="Times New Roman" w:cs="Times New Roman" w:eastAsia="Times New Roman" w:hAnsi="Times New Roman"/>
          <w:color w:val="1F2937"/>
          <w:sz w:val="22"/>
          <w:szCs w:val="22"/>
        </w:rPr>
        <w:t xml:space="preserve">Des méta-analyses récentes confirment et précisent ce tableau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méta-analyse publiée dans le Journal of Clinical Medicine (2025, Holler et al.) portant sur 50 essais contrôlés randomisés (4 269 patients adultes en chirurgie) rapporte une réduction de la douleur de 0,54 écart-type par rapport aux soins standards — un effet dit « modéré » mais cliniquement significatif.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méta-analyse sur ScienceDirect (2022) portant sur 9 ECR en douleur chronique musculo-squelettique et neuropathique montre des effets modérés à larges à partir de 8 séances ou plus.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Une revue publiée dans Frontiers in Psychology (2024) recense les mécanismes et applications contemporaines, confirmant les bénéfices sur la composante émotionnelle de la douleur.</w:t>
      </w:r>
    </w:p>
    <w:p>
      <w:pPr>
        <w:spacing w:after="60" w:before="60"/>
      </w:pPr>
    </w:p>
    <w:p>
      <w:pPr>
        <w:spacing w:after="80" w:before="200"/>
      </w:pPr>
      <w:r>
        <w:rPr>
          <w:rFonts w:ascii="Times New Roman" w:cs="Times New Roman" w:eastAsia="Times New Roman" w:hAnsi="Times New Roman"/>
          <w:b/>
          <w:bCs/>
          <w:color w:val="1F2937"/>
          <w:sz w:val="26"/>
          <w:szCs w:val="26"/>
        </w:rPr>
        <w:t xml:space="preserve">2. Ce que la neuroimagerie apporte</w:t>
      </w:r>
    </w:p>
    <w:p>
      <w:pPr>
        <w:spacing w:after="60" w:before="60"/>
      </w:pPr>
      <w:r>
        <w:rPr>
          <w:rFonts w:ascii="Times New Roman" w:cs="Times New Roman" w:eastAsia="Times New Roman" w:hAnsi="Times New Roman"/>
          <w:color w:val="1F2937"/>
          <w:sz w:val="22"/>
          <w:szCs w:val="22"/>
        </w:rPr>
        <w:t xml:space="preserve">Les études en IRMf ont identifié plusieurs mécanismes neuraux associés à l'analgésie hypnotique :</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Modulation du cortex cingulaire antérieur (CCA) : </w:t>
      </w:r>
      <w:r>
        <w:rPr>
          <w:rFonts w:ascii="Times New Roman" w:cs="Times New Roman" w:eastAsia="Times New Roman" w:hAnsi="Times New Roman"/>
          <w:color w:val="1F2937"/>
          <w:sz w:val="22"/>
          <w:szCs w:val="22"/>
        </w:rPr>
        <w:t xml:space="preserve">sous hypnose et suggestion d'analgésie, l'activité du CCA — impliqué dans la composante émotionnelle/affective de la douleur — diminue. C'est la dimension « souffrance » qui est davantage atténuée que l'intensité sensorielle brute.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Réseau en mode par défaut : </w:t>
      </w:r>
      <w:r>
        <w:rPr>
          <w:rFonts w:ascii="Times New Roman" w:cs="Times New Roman" w:eastAsia="Times New Roman" w:hAnsi="Times New Roman"/>
          <w:color w:val="1F2937"/>
          <w:sz w:val="22"/>
          <w:szCs w:val="22"/>
        </w:rPr>
        <w:t xml:space="preserve">l'état hypnotique modifie la connectivité entre le cortex préfrontal et le réseau par défaut, réduisant la rumination douloureuse.</w:t>
      </w:r>
    </w:p>
    <w:p>
      <w:pPr>
        <w:pStyle w:val="ListParagraph"/>
        <w:numPr>
          <w:ilvl w:val="0"/>
          <w:numId w:val="1"/>
        </w:numPr>
        <w:spacing w:after="40" w:before="40"/>
      </w:pPr>
      <w:r>
        <w:rPr>
          <w:rFonts w:ascii="Times New Roman" w:cs="Times New Roman" w:eastAsia="Times New Roman" w:hAnsi="Times New Roman"/>
          <w:b/>
          <w:bCs/>
          <w:color w:val="1F2937"/>
          <w:sz w:val="22"/>
          <w:szCs w:val="22"/>
        </w:rPr>
        <w:t xml:space="preserve">Variabilité individuelle : </w:t>
      </w:r>
      <w:r>
        <w:rPr>
          <w:rFonts w:ascii="Times New Roman" w:cs="Times New Roman" w:eastAsia="Times New Roman" w:hAnsi="Times New Roman"/>
          <w:color w:val="1F2937"/>
          <w:sz w:val="22"/>
          <w:szCs w:val="22"/>
        </w:rPr>
        <w:t xml:space="preserve">environ 25 % de la population se révèle faiblement hypnotisable (mesure par l'échelle de susceptibilité hypnotique de Stanford, SHSS). Les répondeurs élevés obtiennent des réductions de douleur de l'ordre de 42 %, contre 29 % pour les répondeurs moyens, et minimales pour les faiblement hypnotisables (source : Psychology Today / synthèse littérature).</w:t>
      </w:r>
    </w:p>
    <w:p>
      <w:pPr>
        <w:spacing w:after="60" w:before="60"/>
      </w:pPr>
    </w:p>
    <w:p>
      <w:pPr>
        <w:spacing w:after="80" w:before="200"/>
      </w:pPr>
      <w:r>
        <w:rPr>
          <w:rFonts w:ascii="Times New Roman" w:cs="Times New Roman" w:eastAsia="Times New Roman" w:hAnsi="Times New Roman"/>
          <w:b/>
          <w:bCs/>
          <w:color w:val="1F2937"/>
          <w:sz w:val="26"/>
          <w:szCs w:val="26"/>
        </w:rPr>
        <w:t xml:space="preserve">3. La distinction entre composantes de la douleur</w:t>
      </w:r>
    </w:p>
    <w:p>
      <w:pPr>
        <w:spacing w:after="60" w:before="60"/>
      </w:pPr>
      <w:r>
        <w:rPr>
          <w:rFonts w:ascii="Times New Roman" w:cs="Times New Roman" w:eastAsia="Times New Roman" w:hAnsi="Times New Roman"/>
          <w:color w:val="1F2937"/>
          <w:sz w:val="22"/>
          <w:szCs w:val="22"/>
        </w:rPr>
        <w:t xml:space="preserve">La douleur comporte deux composantes distinctes, et c'est essentiel pour comprendre comment l'hypnose agit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40" w:before="60"/>
            </w:pPr>
            <w:r>
              <w:rPr>
                <w:rFonts w:ascii="Times New Roman" w:cs="Times New Roman" w:eastAsia="Times New Roman" w:hAnsi="Times New Roman"/>
                <w:b/>
                <w:bCs/>
                <w:color w:val="1B3A6B"/>
                <w:sz w:val="22"/>
                <w:szCs w:val="22"/>
              </w:rPr>
              <w:t xml:space="preserve">Composante sensorielle (nociception) : </w:t>
            </w:r>
            <w:r>
              <w:rPr>
                <w:rFonts w:ascii="Times New Roman" w:cs="Times New Roman" w:eastAsia="Times New Roman" w:hAnsi="Times New Roman"/>
                <w:color w:val="1F2937"/>
                <w:sz w:val="22"/>
                <w:szCs w:val="22"/>
              </w:rPr>
              <w:t xml:space="preserve">l'intensité brute du signal — « ça fait mal, fort ou peu ».</w:t>
            </w:r>
          </w:p>
          <w:p>
            <w:pPr>
              <w:spacing w:after="60" w:before="40"/>
            </w:pPr>
            <w:r>
              <w:rPr>
                <w:rFonts w:ascii="Times New Roman" w:cs="Times New Roman" w:eastAsia="Times New Roman" w:hAnsi="Times New Roman"/>
                <w:b/>
                <w:bCs/>
                <w:color w:val="1B3A6B"/>
                <w:sz w:val="22"/>
                <w:szCs w:val="22"/>
              </w:rPr>
              <w:t xml:space="preserve">Composante émotionnelle/affective (souffrance) : </w:t>
            </w:r>
            <w:r>
              <w:rPr>
                <w:rFonts w:ascii="Times New Roman" w:cs="Times New Roman" w:eastAsia="Times New Roman" w:hAnsi="Times New Roman"/>
                <w:color w:val="1F2937"/>
                <w:sz w:val="22"/>
                <w:szCs w:val="22"/>
              </w:rPr>
              <w:t xml:space="preserve">le retentissement — l'anxiété, la peur, le caractère insupportable.</w:t>
            </w:r>
          </w:p>
          <w:p>
            <w:pPr>
              <w:spacing w:after="60" w:before="60"/>
            </w:pPr>
            <w:r>
              <w:rPr>
                <w:rFonts w:ascii="Times New Roman" w:cs="Times New Roman" w:eastAsia="Times New Roman" w:hAnsi="Times New Roman"/>
                <w:color w:val="1F2937"/>
                <w:sz w:val="22"/>
                <w:szCs w:val="22"/>
              </w:rPr>
              <w:t xml:space="preserve">L'hypnose agit davantage sur la deuxième. L'expérience de Hilgard (néodissociation) l'illustrait déjà : des sujets plongés la main dans l'eau glacée sous hypnose ne signalaient pas de douleur verbalement, mais répondaient via un signal dissocié (« hidden observer ») qu'une partie d'eux-mêmes en ressentait encore. Ce n'est donc pas une suppression du signal mais une modulation de son traitement.</w:t>
            </w:r>
          </w:p>
        </w:tc>
      </w:tr>
    </w:tbl>
    <w:p>
      <w:pPr>
        <w:spacing w:after="60" w:before="60"/>
      </w:pPr>
    </w:p>
    <w:p>
      <w:pPr>
        <w:spacing w:after="80" w:before="200"/>
      </w:pPr>
      <w:r>
        <w:rPr>
          <w:rFonts w:ascii="Times New Roman" w:cs="Times New Roman" w:eastAsia="Times New Roman" w:hAnsi="Times New Roman"/>
          <w:b/>
          <w:bCs/>
          <w:color w:val="1F2937"/>
          <w:sz w:val="26"/>
          <w:szCs w:val="26"/>
        </w:rPr>
        <w:t xml:space="preserve">4. Indications documentées vs. insuffisamment prouvées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Indication</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Niveau de preuve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Notes</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Chirurgie sous hypnosédation (adultes)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Élevé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50 ECR, méta-analyses convergentes</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Syndrome du côlon irritable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Élevé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INSERM 2015, effets durables documentés</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Soins douloureux pédiatriques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Modéré à élevé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Scoping review 2023 (Pain Medicine)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Douleur chronique musculo-squelettique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Modéré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Effets dès 8 séances ; variabilité inter-ind.</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Douleur cancéreuse (patients oncologiques)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Modéré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Études audio/enregistrements, 2024</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Douleur obstétricale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Faible à modéré</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Cochrane : résultats mitigés sur 9 ECR</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Douleur dentaire (anesthésie)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Modéré</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ECR 2021 : réduction significative avant injection</w:t>
            </w:r>
          </w:p>
        </w:tc>
      </w:tr>
    </w:tbl>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Pratique (80%) — Trois exercices progressifs</w:t>
      </w:r>
    </w:p>
    <w:p>
      <w:pPr>
        <w:spacing w:after="80" w:before="200"/>
      </w:pPr>
      <w:r>
        <w:rPr>
          <w:rFonts w:ascii="Times New Roman" w:cs="Times New Roman" w:eastAsia="Times New Roman" w:hAnsi="Times New Roman"/>
          <w:b/>
          <w:bCs/>
          <w:color w:val="1F2937"/>
          <w:sz w:val="26"/>
          <w:szCs w:val="26"/>
        </w:rPr>
        <w:t xml:space="preserve">Exercice 1 — Cartographie de la douleur (15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60" w:before="60"/>
            </w:pPr>
            <w:r>
              <w:rPr>
                <w:rFonts w:ascii="Times New Roman" w:cs="Times New Roman" w:eastAsia="Times New Roman" w:hAnsi="Times New Roman"/>
                <w:color w:val="1F2937"/>
                <w:sz w:val="22"/>
                <w:szCs w:val="22"/>
              </w:rPr>
              <w:t xml:space="preserve">But : développer ta capacité d'observation interne (préalable à la modulation). Ce n'est pas encore une séance d'auto-hypnose — c'est un entraînement attentionnel.</w:t>
            </w:r>
          </w:p>
        </w:tc>
      </w:tr>
    </w:tbl>
    <w:p>
      <w:pPr>
        <w:spacing w:after="60" w:before="60"/>
      </w:pPr>
      <w:r>
        <w:rPr>
          <w:rFonts w:ascii="Times New Roman" w:cs="Times New Roman" w:eastAsia="Times New Roman" w:hAnsi="Times New Roman"/>
          <w:color w:val="1F2937"/>
          <w:sz w:val="22"/>
          <w:szCs w:val="22"/>
        </w:rPr>
        <w:t xml:space="preserve">Choisir un moment où tu ressens un inconfort physique léger (tension musculaire, légère fatigue, tête lourde). Évite toute douleur aiguë ou non diagnostiquée pour cet exercice.</w:t>
      </w:r>
    </w:p>
    <w:p>
      <w:pPr>
        <w:spacing w:after="60" w:before="60"/>
      </w:pPr>
    </w:p>
    <w:p>
      <w:pPr>
        <w:spacing w:after="60" w:before="60"/>
      </w:pPr>
      <w:r>
        <w:rPr>
          <w:rFonts w:ascii="Times New Roman" w:cs="Times New Roman" w:eastAsia="Times New Roman" w:hAnsi="Times New Roman"/>
          <w:b/>
          <w:bCs/>
          <w:color w:val="1F2937"/>
          <w:sz w:val="22"/>
          <w:szCs w:val="22"/>
        </w:rPr>
        <w:t xml:space="preserve">Étape 1 — L'ancrage (2 min) : </w:t>
      </w:r>
      <w:r>
        <w:rPr>
          <w:rFonts w:ascii="Times New Roman" w:cs="Times New Roman" w:eastAsia="Times New Roman" w:hAnsi="Times New Roman"/>
          <w:color w:val="1F2937"/>
          <w:sz w:val="22"/>
          <w:szCs w:val="22"/>
        </w:rPr>
        <w:t xml:space="preserve">Assieds-toi, pieds à plat. Trois respirations lentes. Ferme les yeux si tu le souhaites.</w:t>
      </w:r>
    </w:p>
    <w:p>
      <w:pPr>
        <w:spacing w:after="60" w:before="60"/>
      </w:pPr>
      <w:r>
        <w:rPr>
          <w:rFonts w:ascii="Times New Roman" w:cs="Times New Roman" w:eastAsia="Times New Roman" w:hAnsi="Times New Roman"/>
          <w:b/>
          <w:bCs/>
          <w:color w:val="1F2937"/>
          <w:sz w:val="22"/>
          <w:szCs w:val="22"/>
        </w:rPr>
        <w:t xml:space="preserve">Étape 2 — La localisation (3 min) : </w:t>
      </w:r>
      <w:r>
        <w:rPr>
          <w:rFonts w:ascii="Times New Roman" w:cs="Times New Roman" w:eastAsia="Times New Roman" w:hAnsi="Times New Roman"/>
          <w:color w:val="1F2937"/>
          <w:sz w:val="22"/>
          <w:szCs w:val="22"/>
        </w:rPr>
        <w:t xml:space="preserve">Porte ton attention sur la zone inconfortable. Observe : où exactement ? Quelle surface ? Quelle profondeur ? Ne cherche pas à modifier — juste observer.</w:t>
      </w:r>
    </w:p>
    <w:p>
      <w:pPr>
        <w:spacing w:after="60" w:before="60"/>
      </w:pPr>
      <w:r>
        <w:rPr>
          <w:rFonts w:ascii="Times New Roman" w:cs="Times New Roman" w:eastAsia="Times New Roman" w:hAnsi="Times New Roman"/>
          <w:b/>
          <w:bCs/>
          <w:color w:val="1F2937"/>
          <w:sz w:val="22"/>
          <w:szCs w:val="22"/>
        </w:rPr>
        <w:t xml:space="preserve">Étape 3 — Les qualités sensorielles (5 min) : </w:t>
      </w:r>
      <w:r>
        <w:rPr>
          <w:rFonts w:ascii="Times New Roman" w:cs="Times New Roman" w:eastAsia="Times New Roman" w:hAnsi="Times New Roman"/>
          <w:color w:val="1F2937"/>
          <w:sz w:val="22"/>
          <w:szCs w:val="22"/>
        </w:rPr>
        <w:t xml:space="preserve">Donne des attributs à cette sensation. Est-elle chaude ou froide ? Pointue ou diffuse ? En mouvement ou fixe ? Dense ou légère ? Pulsante ou stable ? Note mentalement ces qualités.</w:t>
      </w:r>
    </w:p>
    <w:p>
      <w:pPr>
        <w:spacing w:after="60" w:before="60"/>
      </w:pPr>
      <w:r>
        <w:rPr>
          <w:rFonts w:ascii="Times New Roman" w:cs="Times New Roman" w:eastAsia="Times New Roman" w:hAnsi="Times New Roman"/>
          <w:b/>
          <w:bCs/>
          <w:color w:val="1F2937"/>
          <w:sz w:val="22"/>
          <w:szCs w:val="22"/>
        </w:rPr>
        <w:t xml:space="preserve">Étape 4 — Le journal (5 min) : </w:t>
      </w:r>
      <w:r>
        <w:rPr>
          <w:rFonts w:ascii="Times New Roman" w:cs="Times New Roman" w:eastAsia="Times New Roman" w:hAnsi="Times New Roman"/>
          <w:color w:val="1F2937"/>
          <w:sz w:val="22"/>
          <w:szCs w:val="22"/>
        </w:rPr>
        <w:t xml:space="preserve">Ouvre les yeux, note dans ton journal de pratique les qualités identifiées. Évaluation sur 0-10 de l'intensité perçue AVANT l'exercice.</w:t>
      </w:r>
    </w:p>
    <w:p>
      <w:pPr>
        <w:spacing w:after="60" w:before="60"/>
      </w:pPr>
    </w:p>
    <w:p>
      <w:pPr>
        <w:spacing w:after="80" w:before="80"/>
        <w:ind w:left="720"/>
      </w:pPr>
      <w:r>
        <w:rPr>
          <w:rFonts w:ascii="Times New Roman" w:cs="Times New Roman" w:eastAsia="Times New Roman" w:hAnsi="Times New Roman"/>
          <w:i/>
          <w:iCs/>
          <w:color w:val="1B3A6B"/>
          <w:sz w:val="22"/>
          <w:szCs w:val="22"/>
        </w:rPr>
        <w:t xml:space="preserve">Pourquoi cet exercice ? La littérature sur la modulation cognitive de la douleur souligne que la première étape est toujours la différenciation attentionnelle : apprendre à « voir » la sensation sans la fuir ni la catastrophiser. C'est la base de toutes les techniques de modulation qui suivent.</w:t>
      </w:r>
    </w:p>
    <w:p>
      <w:pPr>
        <w:spacing w:after="60" w:before="60"/>
      </w:pPr>
    </w:p>
    <w:p>
      <w:pPr>
        <w:spacing w:after="80" w:before="200"/>
      </w:pPr>
      <w:r>
        <w:rPr>
          <w:rFonts w:ascii="Times New Roman" w:cs="Times New Roman" w:eastAsia="Times New Roman" w:hAnsi="Times New Roman"/>
          <w:b/>
          <w:bCs/>
          <w:color w:val="1F2937"/>
          <w:sz w:val="26"/>
          <w:szCs w:val="26"/>
        </w:rPr>
        <w:t xml:space="preserve">Exercice 2 — Le gant anesthésique (induction + suggestion ciblée — 20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60" w:before="60"/>
            </w:pPr>
            <w:r>
              <w:rPr>
                <w:rFonts w:ascii="Times New Roman" w:cs="Times New Roman" w:eastAsia="Times New Roman" w:hAnsi="Times New Roman"/>
                <w:color w:val="1F2937"/>
                <w:sz w:val="22"/>
                <w:szCs w:val="22"/>
              </w:rPr>
              <w:t xml:space="preserve">Technique classique d'hypnoanalgésie documentée dans la littérature clinique, adaptée ici à l'auto-pratique. Procède uniquement si tu te trouves dans un état de sécurité et avec un inconfort modéré.</w:t>
            </w:r>
          </w:p>
        </w:tc>
      </w:tr>
    </w:tbl>
    <w:p>
      <w:pPr>
        <w:spacing w:after="60" w:before="60"/>
      </w:pPr>
      <w:r>
        <w:rPr>
          <w:rFonts w:ascii="Times New Roman" w:cs="Times New Roman" w:eastAsia="Times New Roman" w:hAnsi="Times New Roman"/>
          <w:b/>
          <w:bCs/>
          <w:color w:val="1F2937"/>
          <w:sz w:val="22"/>
          <w:szCs w:val="22"/>
        </w:rPr>
        <w:t xml:space="preserve">Préparation : </w:t>
      </w:r>
      <w:r>
        <w:rPr>
          <w:rFonts w:ascii="Times New Roman" w:cs="Times New Roman" w:eastAsia="Times New Roman" w:hAnsi="Times New Roman"/>
          <w:color w:val="1F2937"/>
          <w:sz w:val="22"/>
          <w:szCs w:val="22"/>
        </w:rPr>
        <w:t xml:space="preserve">Assieds-toi confortablement, main dominante posée à plat sur ta cuisse. Commence par l'induction de la leçon 5 (respiration progressive, regard montant, lourdeur) ou celle que tu préfères. Prends 5 à 8 minutes pour atteindre un état de focalisation apaisée.</w:t>
      </w:r>
    </w:p>
    <w:p>
      <w:pPr>
        <w:spacing w:after="60" w:before="60"/>
      </w:pPr>
    </w:p>
    <w:p>
      <w:pPr>
        <w:spacing w:after="60" w:before="60"/>
      </w:pPr>
      <w:r>
        <w:rPr>
          <w:rFonts w:ascii="Times New Roman" w:cs="Times New Roman" w:eastAsia="Times New Roman" w:hAnsi="Times New Roman"/>
          <w:color w:val="1F2937"/>
          <w:sz w:val="22"/>
          <w:szCs w:val="22"/>
        </w:rPr>
        <w:t xml:space="preserve">Une fois en état de focalisation, lis mentalement les suggestions suivantes (ou enregistre-les à l'avance pour les réécouter)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80" w:before="80"/>
              <w:ind w:left="720"/>
            </w:pPr>
            <w:r>
              <w:rPr>
                <w:rFonts w:ascii="Times New Roman" w:cs="Times New Roman" w:eastAsia="Times New Roman" w:hAnsi="Times New Roman"/>
                <w:i/>
                <w:iCs/>
                <w:color w:val="1B3A6B"/>
                <w:sz w:val="22"/>
                <w:szCs w:val="22"/>
              </w:rPr>
              <w:t xml:space="preserve">« Imagine maintenant que tu poses ta main dans un bac d'eau très froide... une eau à 2°C... glacée... Tu sens cette fraîcheur envahir progressivement chaque doigt... depuis le bout, vers la paume... vers le poignet... »</w:t>
            </w:r>
          </w:p>
          <w:p>
            <w:pPr>
              <w:spacing w:after="80" w:before="80"/>
              <w:ind w:left="720"/>
            </w:pPr>
            <w:r>
              <w:rPr>
                <w:rFonts w:ascii="Times New Roman" w:cs="Times New Roman" w:eastAsia="Times New Roman" w:hAnsi="Times New Roman"/>
                <w:i/>
                <w:iCs/>
                <w:color w:val="1B3A6B"/>
                <w:sz w:val="22"/>
                <w:szCs w:val="22"/>
              </w:rPr>
              <w:t xml:space="preserve">« La main devient de plus en plus froide, engourdie... comme si tu portais un gant épais, protecteur... Cette fraîcheur est confortable... elle crée une zone où les sensations s'atténuent... »</w:t>
            </w:r>
          </w:p>
          <w:p>
            <w:pPr>
              <w:spacing w:after="80" w:before="80"/>
              <w:ind w:left="720"/>
            </w:pPr>
            <w:r>
              <w:rPr>
                <w:rFonts w:ascii="Times New Roman" w:cs="Times New Roman" w:eastAsia="Times New Roman" w:hAnsi="Times New Roman"/>
                <w:i/>
                <w:iCs/>
                <w:color w:val="1B3A6B"/>
                <w:sz w:val="22"/>
                <w:szCs w:val="22"/>
              </w:rPr>
              <w:t xml:space="preserve">« Maintenant, quand tu es prêt(e), tu poses doucement cette main fraîche et engourdie sur la zone qui t'incommode... et tu permets à cette fraîcheur protectrice de se transmettre lentement à cette zone... »</w:t>
            </w:r>
          </w:p>
          <w:p>
            <w:pPr>
              <w:spacing w:after="80" w:before="80"/>
              <w:ind w:left="720"/>
            </w:pPr>
            <w:r>
              <w:rPr>
                <w:rFonts w:ascii="Times New Roman" w:cs="Times New Roman" w:eastAsia="Times New Roman" w:hAnsi="Times New Roman"/>
                <w:i/>
                <w:iCs/>
                <w:color w:val="1B3A6B"/>
                <w:sz w:val="22"/>
                <w:szCs w:val="22"/>
              </w:rPr>
              <w:t xml:space="preserve">« Tu peux rester là aussi longtemps que c'est utile... en observant les changements... peut-être l'inconfort change de qualité... se déplace... se nuance... »</w:t>
            </w:r>
          </w:p>
        </w:tc>
      </w:tr>
    </w:tbl>
    <w:p>
      <w:pPr>
        <w:spacing w:after="60" w:before="60"/>
      </w:pPr>
    </w:p>
    <w:p>
      <w:pPr>
        <w:spacing w:after="60" w:before="60"/>
      </w:pPr>
      <w:r>
        <w:rPr>
          <w:rFonts w:ascii="Times New Roman" w:cs="Times New Roman" w:eastAsia="Times New Roman" w:hAnsi="Times New Roman"/>
          <w:b/>
          <w:bCs/>
          <w:color w:val="1F2937"/>
          <w:sz w:val="22"/>
          <w:szCs w:val="22"/>
        </w:rPr>
        <w:t xml:space="preserve">Sortie (5 min) : </w:t>
      </w:r>
      <w:r>
        <w:rPr>
          <w:rFonts w:ascii="Times New Roman" w:cs="Times New Roman" w:eastAsia="Times New Roman" w:hAnsi="Times New Roman"/>
          <w:color w:val="1F2937"/>
          <w:sz w:val="22"/>
          <w:szCs w:val="22"/>
        </w:rPr>
        <w:t xml:space="preserve">Utilise ta procédure de sortie habituelle (leçon 7). Évalue l'intensité de l'inconfort sur 0-10. Note dans ton journal : as-tu perçu un changement de qualité (température, densité, localisation) ? De quelle nature ?</w:t>
      </w:r>
    </w:p>
    <w:p>
      <w:pPr>
        <w:spacing w:after="60" w:before="60"/>
      </w:pPr>
    </w:p>
    <w:p>
      <w:pPr>
        <w:spacing w:after="80" w:before="80"/>
        <w:ind w:left="720"/>
      </w:pPr>
      <w:r>
        <w:rPr>
          <w:rFonts w:ascii="Times New Roman" w:cs="Times New Roman" w:eastAsia="Times New Roman" w:hAnsi="Times New Roman"/>
          <w:i/>
          <w:iCs/>
          <w:color w:val="1B3A6B"/>
          <w:sz w:val="22"/>
          <w:szCs w:val="22"/>
        </w:rPr>
        <w:t xml:space="preserve">Note : tu n'attends pas un « miracle » de suppression totale — tu t'entraînes à modifier la relation cognitive et affective à une sensation. C'est cette capacité que la pratique régulière développe.</w:t>
      </w:r>
    </w:p>
    <w:p>
      <w:pPr>
        <w:spacing w:after="60" w:before="60"/>
      </w:pPr>
    </w:p>
    <w:p>
      <w:pPr>
        <w:spacing w:after="80" w:before="200"/>
      </w:pPr>
      <w:r>
        <w:rPr>
          <w:rFonts w:ascii="Times New Roman" w:cs="Times New Roman" w:eastAsia="Times New Roman" w:hAnsi="Times New Roman"/>
          <w:b/>
          <w:bCs/>
          <w:color w:val="1F2937"/>
          <w:sz w:val="26"/>
          <w:szCs w:val="26"/>
        </w:rPr>
        <w:t xml:space="preserve">Exercice 3 — Métaphore de transformation (20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60" w:before="60"/>
            </w:pPr>
            <w:r>
              <w:rPr>
                <w:rFonts w:ascii="Times New Roman" w:cs="Times New Roman" w:eastAsia="Times New Roman" w:hAnsi="Times New Roman"/>
                <w:color w:val="1F2937"/>
                <w:sz w:val="22"/>
                <w:szCs w:val="22"/>
              </w:rPr>
              <w:t xml:space="preserve">Combinaison de l'auto-hypnose et de la construction métaphorique (leçon 11). Exercice intermédiaire-avancé.</w:t>
            </w:r>
          </w:p>
        </w:tc>
      </w:tr>
    </w:tbl>
    <w:p>
      <w:pPr>
        <w:spacing w:after="60" w:before="60"/>
      </w:pPr>
      <w:r>
        <w:rPr>
          <w:rFonts w:ascii="Times New Roman" w:cs="Times New Roman" w:eastAsia="Times New Roman" w:hAnsi="Times New Roman"/>
          <w:color w:val="1F2937"/>
          <w:sz w:val="22"/>
          <w:szCs w:val="22"/>
        </w:rPr>
        <w:t xml:space="preserve">Après ton induction habituelle (10 min), porte ton attention sur la zone inconfortable et crée mentalement une image de cette douleur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À quoi ressemble-t-elle ? Une couleur ? Une texture ? Un objet ? Un animal ? Un son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Laisse la première image se former sans la censurer.</w:t>
      </w:r>
    </w:p>
    <w:p>
      <w:pPr>
        <w:spacing w:after="60" w:before="60"/>
      </w:pPr>
    </w:p>
    <w:p>
      <w:pPr>
        <w:spacing w:after="60" w:before="60"/>
      </w:pPr>
      <w:r>
        <w:rPr>
          <w:rFonts w:ascii="Times New Roman" w:cs="Times New Roman" w:eastAsia="Times New Roman" w:hAnsi="Times New Roman"/>
          <w:color w:val="1F2937"/>
          <w:sz w:val="22"/>
          <w:szCs w:val="22"/>
        </w:rPr>
        <w:t xml:space="preserve">Puis, très lentement, permets à cette image de changer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c'est une couleur chaude et intense → laisse-la se refroidir et se diluer progressivement.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c'est quelque chose de dur → permets-lui de se ramollir, de perdre de sa masse.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c'est un son aigu → baisse le volume, change la tonalité.</w:t>
      </w:r>
    </w:p>
    <w:p>
      <w:pPr>
        <w:spacing w:after="60" w:before="60"/>
      </w:pPr>
    </w:p>
    <w:p>
      <w:pPr>
        <w:spacing w:after="60" w:before="60"/>
      </w:pPr>
      <w:r>
        <w:rPr>
          <w:rFonts w:ascii="Times New Roman" w:cs="Times New Roman" w:eastAsia="Times New Roman" w:hAnsi="Times New Roman"/>
          <w:color w:val="1F2937"/>
          <w:sz w:val="22"/>
          <w:szCs w:val="22"/>
        </w:rPr>
        <w:t xml:space="preserve">La transformation n'est pas un ordre — c'est une invitation. Tu observes, tu proposes, et tu notes ce qui se passe naturellement. À la sortie, note dans ton journal : quelle était l'image initiale ? Comment a-t-elle évolué ? Y a-t-il eu un changement perceptible de l'inconfort ?</w:t>
      </w:r>
    </w:p>
    <w:p>
      <w:pPr>
        <w:spacing w:after="60" w:before="60"/>
      </w:pPr>
    </w:p>
    <w:p>
      <w:pPr>
        <w:spacing w:after="80" w:before="80"/>
        <w:ind w:left="720"/>
      </w:pPr>
      <w:r>
        <w:rPr>
          <w:rFonts w:ascii="Times New Roman" w:cs="Times New Roman" w:eastAsia="Times New Roman" w:hAnsi="Times New Roman"/>
          <w:i/>
          <w:iCs/>
          <w:color w:val="1B3A6B"/>
          <w:sz w:val="22"/>
          <w:szCs w:val="22"/>
        </w:rPr>
        <w:t xml:space="preserve">Ce type d'exercice s'appuie sur le modèle ericksonien du langage indirect et sur la capacité de l'état hypnotique à favoriser une perception flexible et plastique de l'expérience corporelle — deux points documentés dans la littérature sur les métaphores thérapeutiques.</w:t>
      </w:r>
    </w:p>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Challenge — Protocole 3 semaines</w:t>
      </w:r>
    </w:p>
    <w:p>
      <w:pPr>
        <w:spacing w:after="60" w:before="60"/>
      </w:pPr>
      <w:r>
        <w:rPr>
          <w:rFonts w:ascii="Times New Roman" w:cs="Times New Roman" w:eastAsia="Times New Roman" w:hAnsi="Times New Roman"/>
          <w:color w:val="1F2937"/>
          <w:sz w:val="22"/>
          <w:szCs w:val="22"/>
        </w:rPr>
        <w:t xml:space="preserve">Sur les trois prochaines semaines, pratique le protocole suivant et tiens un tableau de bord dans ton journal :</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Semaine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Pratique</w:t>
            </w:r>
          </w:p>
        </w:tc>
        <w:tc>
          <w:tcPr>
            <w:shd w:fill="1B3A6B"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Indicateur à noter</w:t>
            </w:r>
          </w:p>
        </w:tc>
      </w:tr>
      <w:tr>
        <w:tc>
          <w:tcPr>
            <w:shd w:fill="FFFFFF" w:val="clear"/>
            <w:tcMar>
              <w:top w:type="dxa" w:w="60"/>
              <w:left w:type="dxa" w:w="120"/>
              <w:bottom w:type="dxa" w:w="60"/>
              <w:right w:type="dxa" w:w="120"/>
            </w:tcMar>
          </w:tcPr>
          <w:p>
            <w:r>
              <w:rPr>
                <w:rFonts w:ascii="Times New Roman" w:cs="Times New Roman" w:eastAsia="Times New Roman" w:hAnsi="Times New Roman"/>
                <w:b/>
                <w:bCs/>
                <w:color w:val="1B3A6B"/>
                <w:sz w:val="22"/>
                <w:szCs w:val="22"/>
              </w:rPr>
              <w:t xml:space="preserve">S1</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Exercice 1 (cartographie) × 3 fois sur 3 inconforts différents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Score 0-10 avant/après, qualité de la sensation</w:t>
            </w:r>
          </w:p>
        </w:tc>
      </w:tr>
      <w:tr>
        <w:tc>
          <w:tcPr>
            <w:shd w:fill="EEF2F7" w:val="clear"/>
            <w:tcMar>
              <w:top w:type="dxa" w:w="60"/>
              <w:left w:type="dxa" w:w="120"/>
              <w:bottom w:type="dxa" w:w="60"/>
              <w:right w:type="dxa" w:w="120"/>
            </w:tcMar>
          </w:tcPr>
          <w:p>
            <w:r>
              <w:rPr>
                <w:rFonts w:ascii="Times New Roman" w:cs="Times New Roman" w:eastAsia="Times New Roman" w:hAnsi="Times New Roman"/>
                <w:b/>
                <w:bCs/>
                <w:color w:val="1B3A6B"/>
                <w:sz w:val="22"/>
                <w:szCs w:val="22"/>
              </w:rPr>
              <w:t xml:space="preserve">S2</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Exercice 2 (gant anesthésique) × 3 fois</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Score 0-10 avant/après, changements notés</w:t>
            </w:r>
          </w:p>
        </w:tc>
      </w:tr>
      <w:tr>
        <w:tc>
          <w:tcPr>
            <w:shd w:fill="FFFFFF" w:val="clear"/>
            <w:tcMar>
              <w:top w:type="dxa" w:w="60"/>
              <w:left w:type="dxa" w:w="120"/>
              <w:bottom w:type="dxa" w:w="60"/>
              <w:right w:type="dxa" w:w="120"/>
            </w:tcMar>
          </w:tcPr>
          <w:p>
            <w:r>
              <w:rPr>
                <w:rFonts w:ascii="Times New Roman" w:cs="Times New Roman" w:eastAsia="Times New Roman" w:hAnsi="Times New Roman"/>
                <w:b/>
                <w:bCs/>
                <w:color w:val="1B3A6B"/>
                <w:sz w:val="22"/>
                <w:szCs w:val="22"/>
              </w:rPr>
              <w:t xml:space="preserve">S3</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Exercice 3 (métaphore) × 3 fois</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2"/>
                <w:szCs w:val="22"/>
              </w:rPr>
              <w:t xml:space="preserve">Image initiale, transformation observée, score</w:t>
            </w:r>
          </w:p>
        </w:tc>
      </w:tr>
    </w:tbl>
    <w:p>
      <w:pPr>
        <w:spacing w:after="60" w:before="60"/>
      </w:pPr>
    </w:p>
    <w:p>
      <w:pPr>
        <w:spacing w:after="60" w:before="60"/>
      </w:pPr>
      <w:r>
        <w:rPr>
          <w:rFonts w:ascii="Times New Roman" w:cs="Times New Roman" w:eastAsia="Times New Roman" w:hAnsi="Times New Roman"/>
          <w:color w:val="1F2937"/>
          <w:sz w:val="22"/>
          <w:szCs w:val="22"/>
        </w:rPr>
        <w:t xml:space="preserve">À la fin des 3 semaines : rédige une synthèse de 10 lignes dans ton journal. Quelle technique a le mieux fonctionné pour toi ? Identifie-tu une corrélation entre ton niveau de focalisiation initiale (qualité de l'induction) et l'effet obtenu ?</w:t>
      </w:r>
    </w:p>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Pont pro (optionnel)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60" w:before="60"/>
            </w:pPr>
            <w:r>
              <w:rPr>
                <w:rFonts w:ascii="Times New Roman" w:cs="Times New Roman" w:eastAsia="Times New Roman" w:hAnsi="Times New Roman"/>
                <w:color w:val="1F2937"/>
                <w:sz w:val="22"/>
                <w:szCs w:val="22"/>
              </w:rPr>
              <w:t xml:space="preserve">La gestion de la douleur chez les personnes en situation de handicap mental et psychique relève exclusivement du protocole médical de l'établissement et des professionnels de santé habilités (médecin, infirmière, psychologue). Ce job d'apprentissage personnel ne constitue pas une formation habilitante à la pratique de l'hypnose sur des personnes accompagnées.</w:t>
            </w:r>
          </w:p>
          <w:p>
            <w:pPr>
              <w:spacing w:after="60" w:before="60"/>
            </w:pPr>
          </w:p>
          <w:p>
            <w:pPr>
              <w:spacing w:after="60" w:before="60"/>
            </w:pPr>
            <w:r>
              <w:rPr>
                <w:rFonts w:ascii="Times New Roman" w:cs="Times New Roman" w:eastAsia="Times New Roman" w:hAnsi="Times New Roman"/>
                <w:color w:val="1F2937"/>
                <w:sz w:val="22"/>
                <w:szCs w:val="22"/>
              </w:rPr>
              <w:t xml:space="preserve">Ce que cette leçon apporte à ta pratique professionnelle : comprendre que la douleur comporte une composante émotionnelle distincte de sa composante sensorielle aide à mieux identifier les signaux de détresse chez des personnes qui ne verbalisent pas facilement. Cette lecture — sensoriel vs. affectif — est un repère d'observation clinique utile, pas un outil thérapeutique.</w:t>
            </w:r>
          </w:p>
        </w:tc>
      </w:tr>
    </w:tbl>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Ressources cliquables pour approfondir</w:t>
      </w:r>
    </w:p>
    <w:p>
      <w:pPr>
        <w:spacing w:after="40" w:before="40"/>
      </w:pPr>
      <w:hyperlink w:history="1" r:id="rIdstxkyx3tbe5107wkwibux">
        <w:r>
          <w:rPr>
            <w:rStyle w:val="Hyperlink"/>
            <w:rFonts w:ascii="Times New Roman" w:cs="Times New Roman" w:eastAsia="Times New Roman" w:hAnsi="Times New Roman"/>
            <w:color w:val="1155CC"/>
            <w:sz w:val="22"/>
            <w:szCs w:val="22"/>
            <w:u w:val="single"/>
          </w:rPr>
          <w:t xml:space="preserve">INSERM (2015) — Évaluation de l'efficacité de la pratique de l'hypnose</w:t>
        </w:r>
      </w:hyperlink>
      <w:r>
        <w:rPr>
          <w:rFonts w:ascii="Times New Roman" w:cs="Times New Roman" w:eastAsia="Times New Roman" w:hAnsi="Times New Roman"/>
          <w:color w:val="1F2937"/>
          <w:sz w:val="22"/>
          <w:szCs w:val="22"/>
        </w:rPr>
        <w:t xml:space="preserve"> — Rapport de référence français, analyse de dizaines d'ECR — accès libre</w:t>
      </w:r>
    </w:p>
    <w:p>
      <w:pPr>
        <w:spacing w:after="40" w:before="40"/>
      </w:pPr>
      <w:hyperlink w:history="1" r:id="rIddeoprcehjvhoavpvth3ps">
        <w:r>
          <w:rPr>
            <w:rStyle w:val="Hyperlink"/>
            <w:rFonts w:ascii="Times New Roman" w:cs="Times New Roman" w:eastAsia="Times New Roman" w:hAnsi="Times New Roman"/>
            <w:color w:val="1155CC"/>
            <w:sz w:val="22"/>
            <w:szCs w:val="22"/>
            <w:u w:val="single"/>
          </w:rPr>
          <w:t xml:space="preserve">Wikipedia — Hypnosis (section analgesia &amp; pain)</w:t>
        </w:r>
      </w:hyperlink>
      <w:r>
        <w:rPr>
          <w:rFonts w:ascii="Times New Roman" w:cs="Times New Roman" w:eastAsia="Times New Roman" w:hAnsi="Times New Roman"/>
          <w:color w:val="1F2937"/>
          <w:sz w:val="22"/>
          <w:szCs w:val="22"/>
        </w:rPr>
        <w:t xml:space="preserve"> — Synthèse académique avec sources primaires, en anglais</w:t>
      </w:r>
    </w:p>
    <w:p>
      <w:pPr>
        <w:spacing w:after="40" w:before="40"/>
      </w:pPr>
      <w:hyperlink w:history="1" r:id="rIdaqvc6tg94qpgqbnsccilc">
        <w:r>
          <w:rPr>
            <w:rStyle w:val="Hyperlink"/>
            <w:rFonts w:ascii="Times New Roman" w:cs="Times New Roman" w:eastAsia="Times New Roman" w:hAnsi="Times New Roman"/>
            <w:color w:val="1155CC"/>
            <w:sz w:val="22"/>
            <w:szCs w:val="22"/>
            <w:u w:val="single"/>
          </w:rPr>
          <w:t xml:space="preserve">PMC/NCBI — Virtual Reality Hypnosis for Pain and Anxiety (2022)</w:t>
        </w:r>
      </w:hyperlink>
      <w:r>
        <w:rPr>
          <w:rFonts w:ascii="Times New Roman" w:cs="Times New Roman" w:eastAsia="Times New Roman" w:hAnsi="Times New Roman"/>
          <w:color w:val="1F2937"/>
          <w:sz w:val="22"/>
          <w:szCs w:val="22"/>
        </w:rPr>
        <w:t xml:space="preserve"> — Essai randomisé contrôlé, accès libre en intégralité</w:t>
      </w:r>
    </w:p>
    <w:p>
      <w:pPr>
        <w:spacing w:after="40" w:before="40"/>
      </w:pPr>
      <w:hyperlink w:history="1" r:id="rIdwnprw224vlyp0b0mwgxlz">
        <w:r>
          <w:rPr>
            <w:rStyle w:val="Hyperlink"/>
            <w:rFonts w:ascii="Times New Roman" w:cs="Times New Roman" w:eastAsia="Times New Roman" w:hAnsi="Times New Roman"/>
            <w:color w:val="1155CC"/>
            <w:sz w:val="22"/>
            <w:szCs w:val="22"/>
            <w:u w:val="single"/>
          </w:rPr>
          <w:t xml:space="preserve">Psychology Today — Hypnosis (basics)</w:t>
        </w:r>
      </w:hyperlink>
      <w:r>
        <w:rPr>
          <w:rFonts w:ascii="Times New Roman" w:cs="Times New Roman" w:eastAsia="Times New Roman" w:hAnsi="Times New Roman"/>
          <w:color w:val="1F2937"/>
          <w:sz w:val="22"/>
          <w:szCs w:val="22"/>
        </w:rPr>
        <w:t xml:space="preserve"> — Vulgarisation sérieuse, variabilité individuelle et mécanismes cérébraux</w:t>
      </w:r>
    </w:p>
    <w:p>
      <w:pPr>
        <w:spacing w:after="40" w:before="40"/>
      </w:pPr>
      <w:hyperlink w:history="1" r:id="rIdixwdvd5toglqhws7oin59">
        <w:r>
          <w:rPr>
            <w:rStyle w:val="Hyperlink"/>
            <w:rFonts w:ascii="Times New Roman" w:cs="Times New Roman" w:eastAsia="Times New Roman" w:hAnsi="Times New Roman"/>
            <w:color w:val="1155CC"/>
            <w:sz w:val="22"/>
            <w:szCs w:val="22"/>
            <w:u w:val="single"/>
          </w:rPr>
          <w:t xml:space="preserve">Cochrane — L'hypnose dans la prise en charge de la douleur pendant le travail et l'accouchement</w:t>
        </w:r>
      </w:hyperlink>
      <w:r>
        <w:rPr>
          <w:rFonts w:ascii="Times New Roman" w:cs="Times New Roman" w:eastAsia="Times New Roman" w:hAnsi="Times New Roman"/>
          <w:color w:val="1F2937"/>
          <w:sz w:val="22"/>
          <w:szCs w:val="22"/>
        </w:rPr>
        <w:t xml:space="preserve"> — 9 ECR analysés — résultats mitigés, utile pour comprendre les limites</w:t>
      </w:r>
    </w:p>
    <w:p>
      <w:pPr>
        <w:spacing w:after="40" w:before="40"/>
      </w:pPr>
      <w:hyperlink w:history="1" r:id="rIddoimiejfebba16i_nrz1a">
        <w:r>
          <w:rPr>
            <w:rStyle w:val="Hyperlink"/>
            <w:rFonts w:ascii="Times New Roman" w:cs="Times New Roman" w:eastAsia="Times New Roman" w:hAnsi="Times New Roman"/>
            <w:color w:val="1155CC"/>
            <w:sz w:val="22"/>
            <w:szCs w:val="22"/>
            <w:u w:val="single"/>
          </w:rPr>
          <w:t xml:space="preserve">Frontiers in Psychology — Mécanismes et applications contemporaines de l'hypnose (2024)</w:t>
        </w:r>
      </w:hyperlink>
      <w:r>
        <w:rPr>
          <w:rFonts w:ascii="Times New Roman" w:cs="Times New Roman" w:eastAsia="Times New Roman" w:hAnsi="Times New Roman"/>
          <w:color w:val="1F2937"/>
          <w:sz w:val="22"/>
          <w:szCs w:val="22"/>
        </w:rPr>
        <w:t xml:space="preserve"> — Revue récente, accès libre</w:t>
      </w:r>
    </w:p>
    <w:p>
      <w:pPr>
        <w:spacing w:after="40" w:before="40"/>
      </w:pPr>
      <w:r>
        <w:rPr>
          <w:rFonts w:ascii="Times New Roman" w:cs="Times New Roman" w:eastAsia="Times New Roman" w:hAnsi="Times New Roman"/>
          <w:color w:val="1F2937"/>
          <w:sz w:val="22"/>
          <w:szCs w:val="22"/>
        </w:rPr>
        <w:t xml:space="preserve">Journal of Clinical Medicine (2025) — Systematic Review: Medical Hypnosis for Acute and Chronic Pain</w:t>
      </w:r>
      <w:r>
        <w:rPr>
          <w:rFonts w:ascii="Times New Roman" w:cs="Times New Roman" w:eastAsia="Times New Roman" w:hAnsi="Times New Roman"/>
          <w:i/>
          <w:iCs/>
          <w:color w:val="6B7280"/>
          <w:sz w:val="20"/>
          <w:szCs w:val="20"/>
        </w:rPr>
        <w:t xml:space="preserve"> [doi:10.3390/jcm14134661] — vérification automatique bloquée (403 anti-robot), page probablement existante</w:t>
      </w:r>
    </w:p>
    <w:p>
      <w:pPr>
        <w:spacing w:after="160" w:before="160"/>
      </w:pPr>
      <w:r>
        <w:rPr>
          <w:rFonts w:ascii="Times New Roman" w:cs="Times New Roman" w:eastAsia="Times New Roman" w:hAnsi="Times New Roman"/>
          <w:color w:val="CCCCCC"/>
          <w:sz w:val="20"/>
          <w:szCs w:val="20"/>
        </w:rPr>
        <w:t xml:space="preserve">─────────────────────────────────────────────────────────</w:t>
      </w:r>
    </w:p>
    <w:p>
      <w:pPr>
        <w:spacing w:after="120" w:before="320"/>
      </w:pPr>
      <w:r>
        <w:rPr>
          <w:rFonts w:ascii="Times New Roman" w:cs="Times New Roman" w:eastAsia="Times New Roman" w:hAnsi="Times New Roman"/>
          <w:b/>
          <w:bCs/>
          <w:color w:val="1B3A6B"/>
          <w:sz w:val="30"/>
          <w:szCs w:val="30"/>
        </w:rPr>
        <w:t xml:space="preserve">🔜 Prochaine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B3A6B" w:sz="4"/>
              <w:left w:val="single" w:color="1B3A6B" w:sz="4"/>
              <w:bottom w:val="single" w:color="1B3A6B" w:sz="4"/>
              <w:right w:val="single" w:color="1B3A6B" w:sz="4"/>
            </w:tcBorders>
            <w:shd w:fill="F3F4F6" w:color="auto" w:val="clear"/>
            <w:tcMar>
              <w:top w:type="dxa" w:w="120"/>
              <w:left w:type="dxa" w:w="180"/>
              <w:bottom w:type="dxa" w:w="120"/>
              <w:right w:type="dxa" w:w="180"/>
            </w:tcMar>
          </w:tcPr>
          <w:p>
            <w:pPr>
              <w:spacing w:after="60" w:before="60"/>
            </w:pPr>
            <w:r>
              <w:rPr>
                <w:rFonts w:ascii="Times New Roman" w:cs="Times New Roman" w:eastAsia="Times New Roman" w:hAnsi="Times New Roman"/>
                <w:b/>
                <w:bCs/>
                <w:color w:val="1B3A6B"/>
                <w:sz w:val="24"/>
                <w:szCs w:val="24"/>
              </w:rPr>
              <w:t xml:space="preserve">Leçon 13 / 20 — Hypnose, anxiété et gestion du stress</w:t>
            </w:r>
          </w:p>
          <w:p>
            <w:pPr>
              <w:spacing w:after="60" w:before="60"/>
            </w:pPr>
            <w:r>
              <w:rPr>
                <w:rFonts w:ascii="Times New Roman" w:cs="Times New Roman" w:eastAsia="Times New Roman" w:hAnsi="Times New Roman"/>
                <w:color w:val="1F2937"/>
                <w:sz w:val="22"/>
                <w:szCs w:val="22"/>
              </w:rPr>
              <w:t xml:space="preserve">Tu exploreras les protocoles d'auto-hypnose spécifiquement conçus pour la gestion de l'anxiété et du stress chronique — un domaine où les preuves scientifiques sont elles aussi solides, et qui s'appuie directement sur les techniques de modulation que tu auras expérimentées dans cette leçon.</w:t>
            </w:r>
          </w:p>
        </w:tc>
      </w:tr>
    </w:tbl>
    <w:p>
      <w:pPr>
        <w:spacing w:after="160" w:before="160"/>
      </w:pPr>
      <w:r>
        <w:rPr>
          <w:rFonts w:ascii="Times New Roman" w:cs="Times New Roman" w:eastAsia="Times New Roman" w:hAnsi="Times New Roman"/>
          <w:color w:val="CCCCCC"/>
          <w:sz w:val="20"/>
          <w:szCs w:val="20"/>
        </w:rPr>
        <w:t xml:space="preserve">─────────────────────────────────────────────────────────</w:t>
      </w:r>
    </w:p>
    <w:p>
      <w:pPr>
        <w:spacing w:after="0" w:before="200"/>
        <w:jc w:val="center"/>
      </w:pPr>
      <w:r>
        <w:rPr>
          <w:rFonts w:ascii="Times New Roman" w:cs="Times New Roman" w:eastAsia="Times New Roman" w:hAnsi="Times New Roman"/>
          <w:i/>
          <w:iCs/>
          <w:color w:val="9CA3AF"/>
          <w:sz w:val="18"/>
          <w:szCs w:val="18"/>
        </w:rPr>
        <w:t xml:space="preserve">Parcours Hypnose &amp; auto-hypnose — Usage personnel exclusif — © 2026</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txkyx3tbe5107wkwibux" Type="http://schemas.openxmlformats.org/officeDocument/2006/relationships/hyperlink" Target="https://www.inserm.fr/rapport/evaluation-de-lefficacite-de-la-pratique-de-lhypnose-2015/" TargetMode="External"/><Relationship Id="rIddeoprcehjvhoavpvth3ps" Type="http://schemas.openxmlformats.org/officeDocument/2006/relationships/hyperlink" Target="https://en.wikipedia.org/wiki/Hypnosis" TargetMode="External"/><Relationship Id="rIdaqvc6tg94qpgqbnsccilc" Type="http://schemas.openxmlformats.org/officeDocument/2006/relationships/hyperlink" Target="https://pmc.ncbi.nlm.nih.gov/articles/PMC9248347/" TargetMode="External"/><Relationship Id="rIdwnprw224vlyp0b0mwgxlz" Type="http://schemas.openxmlformats.org/officeDocument/2006/relationships/hyperlink" Target="https://www.psychologytoday.com/us/basics/hypnosis" TargetMode="External"/><Relationship Id="rIdixwdvd5toglqhws7oin59" Type="http://schemas.openxmlformats.org/officeDocument/2006/relationships/hyperlink" Target="https://cochrane.org/fr/CD009356/PREG_lhypnose-dans-la-prise-en-charge-de-la-douleur-pendant-le-travail-et-laccouchement" TargetMode="External"/><Relationship Id="rIddoimiejfebba16i_nrz1a" Type="http://schemas.openxmlformats.org/officeDocument/2006/relationships/hyperlink" Target="https://www.frontiersin.org/journals/psychology/articles/10.3389/fpsyg.2024.1362208/full"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2026-09-01T07:08:15.472Z</dcterms:created>
  <dcterms:modified xsi:type="dcterms:W3CDTF">2026-09-01T07:08:15.474Z</dcterms:modified>
</cp:coreProperties>
</file>

<file path=docProps/custom.xml><?xml version="1.0" encoding="utf-8"?>
<Properties xmlns="http://schemas.openxmlformats.org/officeDocument/2006/custom-properties" xmlns:vt="http://schemas.openxmlformats.org/officeDocument/2006/docPropsVTypes"/>
</file>