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Dzogchen n°03 — La Base (gzhi)</w:t>
      </w:r>
    </w:p>
    <w:p>
      <w:pPr>
        <w:spacing w:after="60"/>
        <w:jc w:val="center"/>
      </w:pPr>
      <w:r>
        <w:rPr>
          <w:rFonts w:ascii="Times New Roman" w:cs="Times New Roman" w:eastAsia="Times New Roman" w:hAnsi="Times New Roman"/>
          <w:b/>
          <w:bCs/>
          <w:color w:val="1B3A6B"/>
          <w:sz w:val="28"/>
          <w:szCs w:val="28"/>
        </w:rPr>
        <w:t xml:space="preserve">Pureté primordiale (kadag) et présence spontanée (lhundrub)</w:t>
      </w:r>
    </w:p>
    <w:p>
      <w:pPr>
        <w:spacing w:after="60"/>
        <w:jc w:val="center"/>
      </w:pPr>
      <w:r>
        <w:rPr>
          <w:rFonts w:ascii="Times New Roman" w:cs="Times New Roman" w:eastAsia="Times New Roman" w:hAnsi="Times New Roman"/>
          <w:color w:val="1F2937"/>
          <w:sz w:val="22"/>
          <w:szCs w:val="22"/>
        </w:rPr>
        <w:t xml:space="preserve">23 juin 2026  |  Module Fondamental — Leçon 3 sur 12</w:t>
      </w:r>
    </w:p>
    <w:p>
      <w:pPr>
        <w:spacing w:after="240"/>
        <w:jc w:val="center"/>
      </w:pPr>
      <w:r>
        <w:rPr>
          <w:rFonts w:ascii="Times New Roman" w:cs="Times New Roman" w:eastAsia="Times New Roman" w:hAnsi="Times New Roman"/>
          <w:i/>
          <w:iCs/>
          <w:color w:val="6B7280"/>
          <w:sz w:val="20"/>
          <w:szCs w:val="20"/>
        </w:rPr>
        <w:t xml:space="preserve">Parcours Dzogchen — Progression fondamental → avancé  |  Règle 20% théorie / 80% pratique</w:t>
      </w:r>
    </w:p>
    <w:p>
      <w:pPr>
        <w:spacing w:after="6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seras capable de définir avec précision les deux qualités fondamentales de la Base selon le Dzogchen — la pureté primordiale (kadag) et la présence spontanée (lhundrub) — et de les distinguer des notions de vacuité ou de vide propres au Madhyamaka. Tu comprendras pourquoi la Base n'est ni un état à atteindre, ni un résultat de pratique, mais la nature originelle de tout ce qui est.</w:t>
      </w:r>
    </w:p>
    <w:p>
      <w:pPr>
        <w:spacing w:after="120"/>
      </w:pPr>
      <w:r>
        <w:rPr>
          <w:rFonts w:ascii="Times New Roman" w:cs="Times New Roman" w:eastAsia="Times New Roman" w:hAnsi="Times New Roman"/>
          <w:color w:val="1F2937"/>
          <w:sz w:val="22"/>
          <w:szCs w:val="22"/>
        </w:rPr>
        <w:t xml:space="preserve">Lien avec la leçon précédente (n°02 — Cadre général, bouddhisme tibétain et yānas) : nous avons situé le Dzogchen comme sommet de l'Atiyoga, au-delà des neuf véhicules. Aujourd'hui, nous descendons dans le cœur doctrinal : la Base (gzhi) est le premier des trois termes fondamentaux Base–Voie–Fruit (gzhi–lam–'bras bu), clé de voûte de tout l'édifice Dzogchen.</w:t>
      </w:r>
    </w:p>
    <w:p>
      <w:pPr>
        <w:spacing w:after="6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Théorie (20 %) — La Base (gzhi) : l'état originaire de tout ce qui est</w:t>
      </w:r>
    </w:p>
    <w:p>
      <w:pPr>
        <w:pStyle w:val="Heading3"/>
        <w:spacing w:after="80" w:before="200"/>
      </w:pPr>
      <w:r>
        <w:rPr>
          <w:rFonts w:ascii="Times New Roman" w:cs="Times New Roman" w:eastAsia="Times New Roman" w:hAnsi="Times New Roman"/>
          <w:b/>
          <w:bCs/>
          <w:color w:val="1F2937"/>
          <w:sz w:val="26"/>
          <w:szCs w:val="26"/>
        </w:rPr>
        <w:t xml:space="preserve">1. Qu'est-ce que la Base (gzhi) ?</w:t>
      </w:r>
    </w:p>
    <w:p>
      <w:pPr>
        <w:spacing w:after="120"/>
      </w:pPr>
      <w:r>
        <w:rPr>
          <w:rFonts w:ascii="Times New Roman" w:cs="Times New Roman" w:eastAsia="Times New Roman" w:hAnsi="Times New Roman"/>
          <w:color w:val="1F2937"/>
          <w:sz w:val="22"/>
          <w:szCs w:val="22"/>
        </w:rPr>
        <w:t xml:space="preserve">Dans le Dzogchen, la Base désigne l'état fondamental et inchangeable de l'existence — antérieur à toute pensée, à toute dualité sujet/objet, à toute distinction entre samsara et nirvana. Elle est souvent appelée « état primordial » (ye gzhi). C'est l'horizon depuis lequel la réalisation produit les Bouddhas et l'absence de réalisation produit les êtres sentients — mais la Base elle-même n'est ni l'un ni l'autre.</w:t>
      </w:r>
    </w:p>
    <w:p>
      <w:pPr>
        <w:shd w:fill="F3F4F6" w:val="clear"/>
        <w:spacing w:after="100" w:before="80"/>
        <w:ind w:left="576" w:right="576"/>
      </w:pPr>
      <w:r>
        <w:rPr>
          <w:rFonts w:ascii="Times New Roman" w:cs="Times New Roman" w:eastAsia="Times New Roman" w:hAnsi="Times New Roman"/>
          <w:i/>
          <w:iCs/>
          <w:color w:val="1B3A6B"/>
          <w:sz w:val="22"/>
          <w:szCs w:val="22"/>
        </w:rPr>
        <w:t xml:space="preserve">« La Base est le fondement originel : elle existait avant que la réalisation ne produise des Bouddhas et que la non-réalisation ne produise des êtres sentients. » — Wikipedia Dzogchen</w:t>
      </w:r>
    </w:p>
    <w:p>
      <w:pPr>
        <w:pStyle w:val="Heading3"/>
        <w:spacing w:after="80" w:before="200"/>
      </w:pPr>
      <w:r>
        <w:rPr>
          <w:rFonts w:ascii="Times New Roman" w:cs="Times New Roman" w:eastAsia="Times New Roman" w:hAnsi="Times New Roman"/>
          <w:b/>
          <w:bCs/>
          <w:color w:val="1F2937"/>
          <w:sz w:val="26"/>
          <w:szCs w:val="26"/>
        </w:rPr>
        <w:t xml:space="preserve">2. Les trois qualités de la Base</w:t>
      </w:r>
    </w:p>
    <w:p>
      <w:pPr>
        <w:spacing w:after="120"/>
      </w:pPr>
      <w:r>
        <w:rPr>
          <w:rFonts w:ascii="Times New Roman" w:cs="Times New Roman" w:eastAsia="Times New Roman" w:hAnsi="Times New Roman"/>
          <w:color w:val="1F2937"/>
          <w:sz w:val="22"/>
          <w:szCs w:val="22"/>
        </w:rPr>
        <w:t xml:space="preserve">La Base est décrite selon trois dimensions indissociables (souvent traduites par « essence, nature et énergie ») :</w:t>
      </w:r>
    </w:p>
    <w:p>
      <w:pPr>
        <w:pStyle w:val="ListParagraph"/>
        <w:numPr>
          <w:ilvl w:val="0"/>
          <w:numId w:val="1"/>
        </w:numPr>
        <w:spacing w:after="80"/>
      </w:pPr>
      <w:r>
        <w:rPr>
          <w:rFonts w:ascii="Times New Roman" w:cs="Times New Roman" w:eastAsia="Times New Roman" w:hAnsi="Times New Roman"/>
          <w:color w:val="1F2937"/>
          <w:sz w:val="22"/>
          <w:szCs w:val="22"/>
        </w:rPr>
        <w:t xml:space="preserve">Essence (ngo bo) — Vacuité, pureté primordiale (kadag) : la Base est vide de toute substance intrinsèque, dépourvue de toute souillure depuis l'origine.</w:t>
      </w:r>
    </w:p>
    <w:p>
      <w:pPr>
        <w:pStyle w:val="ListParagraph"/>
        <w:numPr>
          <w:ilvl w:val="0"/>
          <w:numId w:val="1"/>
        </w:numPr>
        <w:spacing w:after="80"/>
      </w:pPr>
      <w:r>
        <w:rPr>
          <w:rFonts w:ascii="Times New Roman" w:cs="Times New Roman" w:eastAsia="Times New Roman" w:hAnsi="Times New Roman"/>
          <w:color w:val="1F2937"/>
          <w:sz w:val="22"/>
          <w:szCs w:val="22"/>
        </w:rPr>
        <w:t xml:space="preserve">Nature (rang bzhin) — Luminosité spontanée (lhundrub) : la Base n'est pas un vide inerte ; elle brille naturellement, elle manifeste la clarté et les qualités d'éveil sans effort ni fabrication.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Énergie / Compassion (thugs rje) — Présence sans obstacle : la Base rayonne spontanément vers tous les êtres sentients comme énergie compassionnelle non entravée.</w:t>
      </w:r>
    </w:p>
    <w:p>
      <w:pPr>
        <w:spacing w:after="120"/>
      </w:pPr>
      <w:r>
        <w:rPr>
          <w:rFonts w:ascii="Times New Roman" w:cs="Times New Roman" w:eastAsia="Times New Roman" w:hAnsi="Times New Roman"/>
          <w:color w:val="1F2937"/>
          <w:sz w:val="22"/>
          <w:szCs w:val="22"/>
        </w:rPr>
        <w:t xml:space="preserve">Ces trois qualités ne sont pas séquentielles ni hiérarchiques : elles sont co-présentes et inséparables dans chaque instant de rigpa.</w:t>
      </w:r>
    </w:p>
    <w:p>
      <w:pPr>
        <w:pStyle w:val="Heading3"/>
        <w:spacing w:after="80" w:before="200"/>
      </w:pPr>
      <w:r>
        <w:rPr>
          <w:rFonts w:ascii="Times New Roman" w:cs="Times New Roman" w:eastAsia="Times New Roman" w:hAnsi="Times New Roman"/>
          <w:b/>
          <w:bCs/>
          <w:color w:val="1F2937"/>
          <w:sz w:val="26"/>
          <w:szCs w:val="26"/>
        </w:rPr>
        <w:t xml:space="preserve">3. Kadag — La pureté primordiale</w:t>
      </w:r>
    </w:p>
    <w:p>
      <w:pPr>
        <w:spacing w:after="120"/>
      </w:pPr>
      <w:r>
        <w:rPr>
          <w:rFonts w:ascii="Times New Roman" w:cs="Times New Roman" w:eastAsia="Times New Roman" w:hAnsi="Times New Roman"/>
          <w:color w:val="1F2937"/>
          <w:sz w:val="22"/>
          <w:szCs w:val="22"/>
        </w:rPr>
        <w:t xml:space="preserve">Kadag (ka dag, littéralement « pureté depuis la lettre ka [= depuis le début] ») affirme que la nature de l'esprit est primordiale­ment et intrinsèquement pure de tout voile. Aucun karma, aucune émotion afflictive, aucune pensée conceptuelle ne peuvent vraiment la « toucher » ou la « contaminer ».</w:t>
      </w:r>
    </w:p>
    <w:p>
      <w:pPr>
        <w:spacing w:after="120"/>
      </w:pPr>
      <w:r>
        <w:rPr>
          <w:rFonts w:ascii="Times New Roman" w:cs="Times New Roman" w:eastAsia="Times New Roman" w:hAnsi="Times New Roman"/>
          <w:color w:val="1F2937"/>
          <w:sz w:val="22"/>
          <w:szCs w:val="22"/>
        </w:rPr>
        <w:t xml:space="preserve">Do-Ngak Chökyi Gyatso (traduit par Vincent Thibault, 2024) distingue deux plans de kadag :</w:t>
      </w:r>
    </w:p>
    <w:p>
      <w:pPr>
        <w:pStyle w:val="ListParagraph"/>
        <w:numPr>
          <w:ilvl w:val="1"/>
          <w:numId w:val="1"/>
        </w:numPr>
        <w:spacing w:after="60"/>
      </w:pPr>
      <w:r>
        <w:rPr>
          <w:rFonts w:ascii="Times New Roman" w:cs="Times New Roman" w:eastAsia="Times New Roman" w:hAnsi="Times New Roman"/>
          <w:color w:val="1F2937"/>
          <w:sz w:val="22"/>
          <w:szCs w:val="22"/>
        </w:rPr>
        <w:t xml:space="preserve">L'absence de souillures réelles dans l'esprit-énergie extrêmement subtil qui sert de fondement.</w:t>
      </w:r>
    </w:p>
    <w:p>
      <w:pPr>
        <w:pStyle w:val="ListParagraph"/>
        <w:numPr>
          <w:ilvl w:val="1"/>
          <w:numId w:val="1"/>
        </w:numPr>
        <w:spacing w:after="60"/>
      </w:pPr>
      <w:r>
        <w:rPr>
          <w:rFonts w:ascii="Times New Roman" w:cs="Times New Roman" w:eastAsia="Times New Roman" w:hAnsi="Times New Roman"/>
          <w:color w:val="1F2937"/>
          <w:sz w:val="22"/>
          <w:szCs w:val="22"/>
        </w:rPr>
        <w:t xml:space="preserve">Le fait que les processus de pensée émergeant de l'ignorance sont, par leur nature même, totalement purs — ils ne sont pas intrinsèques à notre nature fondamentale.</w:t>
      </w:r>
    </w:p>
    <w:p>
      <w:pPr>
        <w:shd w:fill="F3F4F6" w:val="clear"/>
        <w:spacing w:after="100" w:before="80"/>
        <w:ind w:left="576" w:right="576"/>
      </w:pPr>
      <w:r>
        <w:rPr>
          <w:rFonts w:ascii="Times New Roman" w:cs="Times New Roman" w:eastAsia="Times New Roman" w:hAnsi="Times New Roman"/>
          <w:i/>
          <w:iCs/>
          <w:color w:val="1B3A6B"/>
          <w:sz w:val="22"/>
          <w:szCs w:val="22"/>
        </w:rPr>
        <w:t xml:space="preserve">« Par nature, les processus conceptuels issus de l'ignorance sont totalement purs : ils ne sont pas intrinsèques à notre nature fondamentale. » — Do-Ngak Chökyi Gyatso, Commentary on Some Dzogchen Terms, Lotsawa House</w:t>
      </w:r>
    </w:p>
    <w:p>
      <w:pPr>
        <w:spacing w:after="120"/>
      </w:pPr>
      <w:r>
        <w:rPr>
          <w:rFonts w:ascii="Times New Roman" w:cs="Times New Roman" w:eastAsia="Times New Roman" w:hAnsi="Times New Roman"/>
          <w:color w:val="1F2937"/>
          <w:sz w:val="22"/>
          <w:szCs w:val="22"/>
        </w:rPr>
        <w:t xml:space="preserve">Kadag est donc ce qui fait que l'éveil n'est pas une « acquisition » mais une « révélation » : il était là depuis toujours, recouvert mais jamais détruit.</w:t>
      </w:r>
    </w:p>
    <w:p>
      <w:pPr>
        <w:spacing w:after="120"/>
      </w:pPr>
      <w:r>
        <w:rPr>
          <w:rFonts w:ascii="Times New Roman" w:cs="Times New Roman" w:eastAsia="Times New Roman" w:hAnsi="Times New Roman"/>
          <w:color w:val="1F2937"/>
          <w:sz w:val="22"/>
          <w:szCs w:val="22"/>
        </w:rPr>
        <w:t xml:space="preserve">Ne pas confondre kadag avec la vacuité au sens Madhyamaka (analyse de l'absence d'existence inhérente) : ici, la pureté est une qualité positive de l'esprit de rigpa, non un simple négatif logique.</w:t>
      </w:r>
    </w:p>
    <w:p>
      <w:pPr>
        <w:pStyle w:val="Heading3"/>
        <w:spacing w:after="80" w:before="200"/>
      </w:pPr>
      <w:r>
        <w:rPr>
          <w:rFonts w:ascii="Times New Roman" w:cs="Times New Roman" w:eastAsia="Times New Roman" w:hAnsi="Times New Roman"/>
          <w:b/>
          <w:bCs/>
          <w:color w:val="1F2937"/>
          <w:sz w:val="26"/>
          <w:szCs w:val="26"/>
        </w:rPr>
        <w:t xml:space="preserve">4. Lhundrub — La présence spontanée</w:t>
      </w:r>
    </w:p>
    <w:p>
      <w:pPr>
        <w:spacing w:after="120"/>
      </w:pPr>
      <w:r>
        <w:rPr>
          <w:rFonts w:ascii="Times New Roman" w:cs="Times New Roman" w:eastAsia="Times New Roman" w:hAnsi="Times New Roman"/>
          <w:color w:val="1F2937"/>
          <w:sz w:val="22"/>
          <w:szCs w:val="22"/>
        </w:rPr>
        <w:t xml:space="preserve">Lhundrub (lhun grub, « accompli spontanément ») désigne la capacité naturelle de la Base à manifester toutes les qualités d'éveil et toutes les apparences sans effort, sans cause externe, sans fabrication délibérée.</w:t>
      </w:r>
    </w:p>
    <w:p>
      <w:pPr>
        <w:spacing w:after="120"/>
      </w:pPr>
      <w:r>
        <w:rPr>
          <w:rFonts w:ascii="Times New Roman" w:cs="Times New Roman" w:eastAsia="Times New Roman" w:hAnsi="Times New Roman"/>
          <w:color w:val="1F2937"/>
          <w:sz w:val="22"/>
          <w:szCs w:val="22"/>
        </w:rPr>
        <w:t xml:space="preserve">Selon Alexander Berzin (Study Buddhism / Berzin Archives) :</w:t>
      </w:r>
    </w:p>
    <w:p>
      <w:pPr>
        <w:shd w:fill="F3F4F6" w:val="clear"/>
        <w:spacing w:after="100" w:before="80"/>
        <w:ind w:left="576" w:right="576"/>
      </w:pPr>
      <w:r>
        <w:rPr>
          <w:rFonts w:ascii="Times New Roman" w:cs="Times New Roman" w:eastAsia="Times New Roman" w:hAnsi="Times New Roman"/>
          <w:i/>
          <w:iCs/>
          <w:color w:val="1B3A6B"/>
          <w:sz w:val="22"/>
          <w:szCs w:val="22"/>
        </w:rPr>
        <w:t xml:space="preserve">« Rigpa est doté de toutes les qualités d'un Bouddha... présentes simultanément avec chaque instant de rigpa. La nature de rigpa établit les apparences de façon spontanée et sans effort. »</w:t>
      </w:r>
    </w:p>
    <w:p>
      <w:pPr>
        <w:spacing w:after="120"/>
      </w:pPr>
      <w:r>
        <w:rPr>
          <w:rFonts w:ascii="Times New Roman" w:cs="Times New Roman" w:eastAsia="Times New Roman" w:hAnsi="Times New Roman"/>
          <w:color w:val="1F2937"/>
          <w:sz w:val="22"/>
          <w:szCs w:val="22"/>
        </w:rPr>
        <w:t xml:space="preserve">Lhundrub répond ainsi à la question : « Si la Base est vide, comment peuvent exister les apparences et les qualités d'éveil ? » — Elles surgissent spontanément, comme le reflet de la lune dans l'eau : sans que l'eau vise à refléter, sans que la lune vise à se refléter, le reflet est là.</w:t>
      </w:r>
    </w:p>
    <w:p>
      <w:pPr>
        <w:spacing w:after="120"/>
      </w:pPr>
      <w:r>
        <w:rPr>
          <w:rFonts w:ascii="Times New Roman" w:cs="Times New Roman" w:eastAsia="Times New Roman" w:hAnsi="Times New Roman"/>
          <w:color w:val="1F2937"/>
          <w:sz w:val="22"/>
          <w:szCs w:val="22"/>
        </w:rPr>
        <w:t xml:space="preserve">La pratique du Tögal (franchissement direct, leçon n°7 de ce parcours) s'ancre directement dans lhundrub : elle travaille avec la lumière et les visions spontanées comme manifestations de la présence spontanée de la Base.</w:t>
      </w:r>
    </w:p>
    <w:p>
      <w:pPr>
        <w:pStyle w:val="Heading3"/>
        <w:spacing w:after="80" w:before="200"/>
      </w:pPr>
      <w:r>
        <w:rPr>
          <w:rFonts w:ascii="Times New Roman" w:cs="Times New Roman" w:eastAsia="Times New Roman" w:hAnsi="Times New Roman"/>
          <w:b/>
          <w:bCs/>
          <w:color w:val="1F2937"/>
          <w:sz w:val="26"/>
          <w:szCs w:val="26"/>
        </w:rPr>
        <w:t xml:space="preserve">5. La Base n'est pas un point de départ causal</w:t>
      </w:r>
    </w:p>
    <w:p>
      <w:pPr>
        <w:spacing w:after="120"/>
      </w:pPr>
      <w:r>
        <w:rPr>
          <w:rFonts w:ascii="Times New Roman" w:cs="Times New Roman" w:eastAsia="Times New Roman" w:hAnsi="Times New Roman"/>
          <w:color w:val="1F2937"/>
          <w:sz w:val="22"/>
          <w:szCs w:val="22"/>
        </w:rPr>
        <w:t xml:space="preserve">Point capital : contrairement à une cosmogonie, la Base n'est pas une cause qui « produit » les phénomènes dans le temps ou dans l'espace. Elle est la condition non-temporelle, non-causale, depuis laquelle samsara et nirvana se déploient comme des expressions de la non-reconnaissance (ma-rigpa) ou de la reconnaissance (rigpa) de cette même Base.</w:t>
      </w:r>
    </w:p>
    <w:p>
      <w:pPr>
        <w:spacing w:after="120"/>
      </w:pPr>
      <w:r>
        <w:rPr>
          <w:rFonts w:ascii="Times New Roman" w:cs="Times New Roman" w:eastAsia="Times New Roman" w:hAnsi="Times New Roman"/>
          <w:color w:val="1F2937"/>
          <w:sz w:val="22"/>
          <w:szCs w:val="22"/>
        </w:rPr>
        <w:t xml:space="preserve">Maîtres de référence sur la Base : Longchenpa (Longchen Rabjam, 1308–1364), auteur du Trésor de la Dharmadatu et des Sept Trésors ; Jigmé Lingpa (1730–1798) dans ses Vajra Verses sur l'état naturel ; Patrul Rinpoche (1808–1887) dans Les Mots de mon Maître Parfait (Kunzang Lama'i Shelung).</w:t>
      </w:r>
    </w:p>
    <w:p>
      <w:pPr>
        <w:spacing w:after="6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Pratique (80 %)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conceptuelle (compréhension active)</w:t>
      </w:r>
    </w:p>
    <w:p>
      <w:pPr>
        <w:spacing w:after="120"/>
      </w:pPr>
      <w:r>
        <w:rPr>
          <w:rFonts w:ascii="Times New Roman" w:cs="Times New Roman" w:eastAsia="Times New Roman" w:hAnsi="Times New Roman"/>
          <w:color w:val="1F2937"/>
          <w:sz w:val="22"/>
          <w:szCs w:val="22"/>
        </w:rPr>
        <w:t xml:space="preserve">Durée estimée : 20 minutes</w:t>
      </w:r>
    </w:p>
    <w:p>
      <w:pPr>
        <w:spacing w:after="120"/>
      </w:pPr>
      <w:r>
        <w:rPr>
          <w:rFonts w:ascii="Times New Roman" w:cs="Times New Roman" w:eastAsia="Times New Roman" w:hAnsi="Times New Roman"/>
          <w:color w:val="1F2937"/>
          <w:sz w:val="22"/>
          <w:szCs w:val="22"/>
        </w:rPr>
        <w:t xml:space="preserve">Objectif : ancrer la triade Base–gzhi, kadag, lhundrub dans une représentation visuelle personnelle.</w:t>
      </w:r>
    </w:p>
    <w:p>
      <w:pPr>
        <w:spacing w:after="120"/>
      </w:pPr>
      <w:r>
        <w:rPr>
          <w:rFonts w:ascii="Times New Roman" w:cs="Times New Roman" w:eastAsia="Times New Roman" w:hAnsi="Times New Roman"/>
          <w:color w:val="1F2937"/>
          <w:sz w:val="22"/>
          <w:szCs w:val="22"/>
        </w:rPr>
        <w:t xml:space="preserve">Mode opératoire :</w:t>
      </w:r>
    </w:p>
    <w:p>
      <w:pPr>
        <w:pStyle w:val="ListParagraph"/>
        <w:numPr>
          <w:ilvl w:val="0"/>
          <w:numId w:val="1"/>
        </w:numPr>
        <w:spacing w:after="80"/>
      </w:pPr>
      <w:r>
        <w:rPr>
          <w:rFonts w:ascii="Times New Roman" w:cs="Times New Roman" w:eastAsia="Times New Roman" w:hAnsi="Times New Roman"/>
          <w:color w:val="1F2937"/>
          <w:sz w:val="22"/>
          <w:szCs w:val="22"/>
        </w:rPr>
        <w:t xml:space="preserve">Prends une feuille blanche. Dessine un grand cercle au centre : c'est la Base (gzhi).</w:t>
      </w:r>
    </w:p>
    <w:p>
      <w:pPr>
        <w:pStyle w:val="ListParagraph"/>
        <w:numPr>
          <w:ilvl w:val="0"/>
          <w:numId w:val="1"/>
        </w:numPr>
        <w:spacing w:after="80"/>
      </w:pPr>
      <w:r>
        <w:rPr>
          <w:rFonts w:ascii="Times New Roman" w:cs="Times New Roman" w:eastAsia="Times New Roman" w:hAnsi="Times New Roman"/>
          <w:color w:val="1F2937"/>
          <w:sz w:val="22"/>
          <w:szCs w:val="22"/>
        </w:rPr>
        <w:t xml:space="preserve">À l'intérieur, inscris ses trois qualités : ngo bo (essence/vacuité), rang bzhin (nature/luminosité), thugs rje (énergie/compassion).</w:t>
      </w:r>
    </w:p>
    <w:p>
      <w:pPr>
        <w:pStyle w:val="ListParagraph"/>
        <w:numPr>
          <w:ilvl w:val="0"/>
          <w:numId w:val="1"/>
        </w:numPr>
        <w:spacing w:after="80"/>
      </w:pPr>
      <w:r>
        <w:rPr>
          <w:rFonts w:ascii="Times New Roman" w:cs="Times New Roman" w:eastAsia="Times New Roman" w:hAnsi="Times New Roman"/>
          <w:color w:val="1F2937"/>
          <w:sz w:val="22"/>
          <w:szCs w:val="22"/>
        </w:rPr>
        <w:t xml:space="preserve">À gauche du cercle, note en rouge tout ce que la Base N'EST PAS : une cause, un état à atteindre, un résultat de pratique, quelque chose de créé, quelque chose de souillé.</w:t>
      </w:r>
    </w:p>
    <w:p>
      <w:pPr>
        <w:pStyle w:val="ListParagraph"/>
        <w:numPr>
          <w:ilvl w:val="0"/>
          <w:numId w:val="1"/>
        </w:numPr>
        <w:spacing w:after="80"/>
      </w:pPr>
      <w:r>
        <w:rPr>
          <w:rFonts w:ascii="Times New Roman" w:cs="Times New Roman" w:eastAsia="Times New Roman" w:hAnsi="Times New Roman"/>
          <w:color w:val="1F2937"/>
          <w:sz w:val="22"/>
          <w:szCs w:val="22"/>
        </w:rPr>
        <w:t xml:space="preserve">À droite, note en vert tout ce que la Base EST : originelle, inchangeable, pure depuis l'origine (kadag), spontanément présente (lhundrub), source non-causale des apparences.</w:t>
      </w:r>
    </w:p>
    <w:p>
      <w:pPr>
        <w:pStyle w:val="ListParagraph"/>
        <w:numPr>
          <w:ilvl w:val="0"/>
          <w:numId w:val="1"/>
        </w:numPr>
        <w:spacing w:after="80"/>
      </w:pPr>
      <w:r>
        <w:rPr>
          <w:rFonts w:ascii="Times New Roman" w:cs="Times New Roman" w:eastAsia="Times New Roman" w:hAnsi="Times New Roman"/>
          <w:color w:val="1F2937"/>
          <w:sz w:val="22"/>
          <w:szCs w:val="22"/>
        </w:rPr>
        <w:t xml:space="preserve">En bas du cercle, dessine deux flèches divergentes depuis un même point : l'une vers « samsara (ma-rigpa / non-reconnaissance) », l'autre vers « nirvana (rigpa / reconnaissance) ». Ces deux flèches partent de la même Base.</w:t>
      </w:r>
    </w:p>
    <w:p>
      <w:pPr>
        <w:spacing w:after="120"/>
      </w:pPr>
      <w:r>
        <w:rPr>
          <w:rFonts w:ascii="Times New Roman" w:cs="Times New Roman" w:eastAsia="Times New Roman" w:hAnsi="Times New Roman"/>
          <w:color w:val="1F2937"/>
          <w:sz w:val="22"/>
          <w:szCs w:val="22"/>
        </w:rPr>
        <w:t xml:space="preserve">Après le dessin : ferme les yeux 3 minutes. Laisse l'image se stabiliser. Ouvre les yeux. Pouvais-tu ressentir, même fugacement, que l'observateur de ce schéma et la Base décrite sont peut-être la même chose ?</w:t>
      </w:r>
    </w:p>
    <w:p>
      <w:pPr>
        <w:spacing w:after="120"/>
      </w:pPr>
      <w:r>
        <w:rPr>
          <w:rFonts w:ascii="Times New Roman" w:cs="Times New Roman" w:eastAsia="Times New Roman" w:hAnsi="Times New Roman"/>
          <w:color w:val="1F2937"/>
          <w:sz w:val="22"/>
          <w:szCs w:val="22"/>
        </w:rPr>
        <w:t xml:space="preserve">Note dans un carnet de pratique : quelle distinction t'a semblé la plus difficile à saisir ? (ex. kadag vs vacuité Madhyamaka, lhundrub vs créativité intentionnelle)</w:t>
      </w:r>
    </w:p>
    <w:p>
      <w:pPr>
        <w:pStyle w:val="Heading3"/>
        <w:spacing w:after="80" w:before="200"/>
      </w:pPr>
      <w:r>
        <w:rPr>
          <w:rFonts w:ascii="Times New Roman" w:cs="Times New Roman" w:eastAsia="Times New Roman" w:hAnsi="Times New Roman"/>
          <w:b/>
          <w:bCs/>
          <w:color w:val="1F2937"/>
          <w:sz w:val="26"/>
          <w:szCs w:val="26"/>
        </w:rPr>
        <w:t xml:space="preserve">Exercice 2 — Contemplation guidée de la pureté primordiale (kadag)</w:t>
      </w:r>
    </w:p>
    <w:p>
      <w:pPr>
        <w:spacing w:after="120"/>
      </w:pPr>
      <w:r>
        <w:rPr>
          <w:rFonts w:ascii="Times New Roman" w:cs="Times New Roman" w:eastAsia="Times New Roman" w:hAnsi="Times New Roman"/>
          <w:color w:val="1F2937"/>
          <w:sz w:val="22"/>
          <w:szCs w:val="22"/>
        </w:rPr>
        <w:t xml:space="preserve">Durée estimée : 15–20 minutes. À faire dans un endroit calme, assis confortablement.</w:t>
      </w:r>
    </w:p>
    <w:p>
      <w:pPr>
        <w:spacing w:after="120"/>
      </w:pPr>
      <w:r>
        <w:rPr>
          <w:rFonts w:ascii="Times New Roman" w:cs="Times New Roman" w:eastAsia="Times New Roman" w:hAnsi="Times New Roman"/>
          <w:color w:val="1F2937"/>
          <w:sz w:val="22"/>
          <w:szCs w:val="22"/>
        </w:rPr>
        <w:t xml:space="preserve">Induction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Assieds-toi, dos droit, yeux mi-clos. Trois respirations lentes et profondes.</w:t>
      </w:r>
    </w:p>
    <w:p>
      <w:pPr>
        <w:pStyle w:val="ListParagraph"/>
        <w:numPr>
          <w:ilvl w:val="0"/>
          <w:numId w:val="1"/>
        </w:numPr>
        <w:spacing w:after="80"/>
      </w:pPr>
      <w:r>
        <w:rPr>
          <w:rFonts w:ascii="Times New Roman" w:cs="Times New Roman" w:eastAsia="Times New Roman" w:hAnsi="Times New Roman"/>
          <w:color w:val="1F2937"/>
          <w:sz w:val="22"/>
          <w:szCs w:val="22"/>
        </w:rPr>
        <w:t xml:space="preserve">Laisse les pensées se déposer sans les chasser. Observe simplement le flux mental comme on observe des nuages dans le ciel.</w:t>
      </w:r>
    </w:p>
    <w:p>
      <w:pPr>
        <w:spacing w:after="120"/>
      </w:pPr>
      <w:r>
        <w:rPr>
          <w:rFonts w:ascii="Times New Roman" w:cs="Times New Roman" w:eastAsia="Times New Roman" w:hAnsi="Times New Roman"/>
          <w:color w:val="1F2937"/>
          <w:sz w:val="22"/>
          <w:szCs w:val="22"/>
        </w:rPr>
        <w:t xml:space="preserve">Contemplation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Pose-toi cette question, sans chercher de réponse conceptuelle : « Avant la première pensée de ce matin, qu'est-ce qui était là ? »</w:t>
      </w:r>
    </w:p>
    <w:p>
      <w:pPr>
        <w:pStyle w:val="ListParagraph"/>
        <w:numPr>
          <w:ilvl w:val="0"/>
          <w:numId w:val="1"/>
        </w:numPr>
        <w:spacing w:after="80"/>
      </w:pPr>
      <w:r>
        <w:rPr>
          <w:rFonts w:ascii="Times New Roman" w:cs="Times New Roman" w:eastAsia="Times New Roman" w:hAnsi="Times New Roman"/>
          <w:color w:val="1F2937"/>
          <w:sz w:val="22"/>
          <w:szCs w:val="22"/>
        </w:rPr>
        <w:t xml:space="preserve">Ne réponds pas en mots. Reste simplement dans cette question, comme dans une porte ouverte.</w:t>
      </w:r>
    </w:p>
    <w:p>
      <w:pPr>
        <w:pStyle w:val="ListParagraph"/>
        <w:numPr>
          <w:ilvl w:val="0"/>
          <w:numId w:val="1"/>
        </w:numPr>
        <w:spacing w:after="80"/>
      </w:pPr>
      <w:r>
        <w:rPr>
          <w:rFonts w:ascii="Times New Roman" w:cs="Times New Roman" w:eastAsia="Times New Roman" w:hAnsi="Times New Roman"/>
          <w:color w:val="1F2937"/>
          <w:sz w:val="22"/>
          <w:szCs w:val="22"/>
        </w:rPr>
        <w:t xml:space="preserve">Si une pensée surgit (jugement, planification, souvenir), observe : cette pensée est-elle venue « salir » quelque chose ? Ou a-t-elle surgi et se dissout-elle dans un espace qui, lui, reste intact ?</w:t>
      </w:r>
    </w:p>
    <w:p>
      <w:pPr>
        <w:pStyle w:val="ListParagraph"/>
        <w:numPr>
          <w:ilvl w:val="0"/>
          <w:numId w:val="1"/>
        </w:numPr>
        <w:spacing w:after="80"/>
      </w:pPr>
      <w:r>
        <w:rPr>
          <w:rFonts w:ascii="Times New Roman" w:cs="Times New Roman" w:eastAsia="Times New Roman" w:hAnsi="Times New Roman"/>
          <w:color w:val="1F2937"/>
          <w:sz w:val="22"/>
          <w:szCs w:val="22"/>
        </w:rPr>
        <w:t xml:space="preserve">Reste 10–12 minutes dans cette observation silencieuse.</w:t>
      </w:r>
    </w:p>
    <w:p>
      <w:pPr>
        <w:spacing w:after="120"/>
      </w:pPr>
      <w:r>
        <w:rPr>
          <w:rFonts w:ascii="Times New Roman" w:cs="Times New Roman" w:eastAsia="Times New Roman" w:hAnsi="Times New Roman"/>
          <w:color w:val="1F2937"/>
          <w:sz w:val="22"/>
          <w:szCs w:val="22"/>
        </w:rPr>
        <w:t xml:space="preserve">À la sortie : note immédiatement dans ton carnet de pratique une seule phrase décrivant ce que tu as observé — sans chercher à le systématiser.</w:t>
      </w:r>
    </w:p>
    <w:p>
      <w:pPr>
        <w:spacing w:after="120"/>
      </w:pPr>
      <w:r>
        <w:rPr>
          <w:rFonts w:ascii="Times New Roman" w:cs="Times New Roman" w:eastAsia="Times New Roman" w:hAnsi="Times New Roman"/>
          <w:color w:val="1F2937"/>
          <w:sz w:val="22"/>
          <w:szCs w:val="22"/>
        </w:rPr>
        <w:t xml:space="preserve">Connexion avec kadag : ce que tu observes n'est pas un vide triste ou une absence. C'est précisément ce que les maîtres Dzogchen nomment « pureté primordiale » — l'espace dans lequel tout arrive sans en être affecté.</w:t>
      </w:r>
    </w:p>
    <w:p>
      <w:pPr>
        <w:pStyle w:val="Heading3"/>
        <w:spacing w:after="80" w:before="200"/>
      </w:pPr>
      <w:r>
        <w:rPr>
          <w:rFonts w:ascii="Times New Roman" w:cs="Times New Roman" w:eastAsia="Times New Roman" w:hAnsi="Times New Roman"/>
          <w:b/>
          <w:bCs/>
          <w:color w:val="1F2937"/>
          <w:sz w:val="26"/>
          <w:szCs w:val="26"/>
        </w:rPr>
        <w:t xml:space="preserve">Exercice 3 — Méditation sur lhundrub : observer la spontanéité</w:t>
      </w:r>
    </w:p>
    <w:p>
      <w:pPr>
        <w:spacing w:after="120"/>
      </w:pPr>
      <w:r>
        <w:rPr>
          <w:rFonts w:ascii="Times New Roman" w:cs="Times New Roman" w:eastAsia="Times New Roman" w:hAnsi="Times New Roman"/>
          <w:color w:val="1F2937"/>
          <w:sz w:val="22"/>
          <w:szCs w:val="22"/>
        </w:rPr>
        <w:t xml:space="preserve">Durée estimée : 15 minutes. Peut se faire après l'exercice 2 ou séparément.</w:t>
      </w:r>
    </w:p>
    <w:p>
      <w:pPr>
        <w:spacing w:after="120"/>
      </w:pPr>
      <w:r>
        <w:rPr>
          <w:rFonts w:ascii="Times New Roman" w:cs="Times New Roman" w:eastAsia="Times New Roman" w:hAnsi="Times New Roman"/>
          <w:color w:val="1F2937"/>
          <w:sz w:val="22"/>
          <w:szCs w:val="22"/>
        </w:rPr>
        <w:t xml:space="preserve">Préparation : regarde 2 minutes une bougie allumée, un reflet sur de l'eau, ou les nuages qui se déplacent dans le ciel (ou une fenêtre).</w:t>
      </w:r>
    </w:p>
    <w:p>
      <w:pPr>
        <w:spacing w:after="120"/>
      </w:pPr>
      <w:r>
        <w:rPr>
          <w:rFonts w:ascii="Times New Roman" w:cs="Times New Roman" w:eastAsia="Times New Roman" w:hAnsi="Times New Roman"/>
          <w:color w:val="1F2937"/>
          <w:sz w:val="22"/>
          <w:szCs w:val="22"/>
        </w:rPr>
        <w:t xml:space="preserve">Méditation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Remarque : le reflet de la lumière dans l'eau n'a pas été « décidé » par l'eau. Il surgit spontanément. Ni l'eau ni la lumière n'ont eu d'intention.</w:t>
      </w:r>
    </w:p>
    <w:p>
      <w:pPr>
        <w:pStyle w:val="ListParagraph"/>
        <w:numPr>
          <w:ilvl w:val="0"/>
          <w:numId w:val="1"/>
        </w:numPr>
        <w:spacing w:after="80"/>
      </w:pPr>
      <w:r>
        <w:rPr>
          <w:rFonts w:ascii="Times New Roman" w:cs="Times New Roman" w:eastAsia="Times New Roman" w:hAnsi="Times New Roman"/>
          <w:color w:val="1F2937"/>
          <w:sz w:val="22"/>
          <w:szCs w:val="22"/>
        </w:rPr>
        <w:t xml:space="preserve">Ferme les yeux. Dans ton espace mental, observe les images, sons ou sensations qui surgissent spontanément. Ne les provoques pas. Ne les arrêtes pas.</w:t>
      </w:r>
    </w:p>
    <w:p>
      <w:pPr>
        <w:pStyle w:val="ListParagraph"/>
        <w:numPr>
          <w:ilvl w:val="0"/>
          <w:numId w:val="1"/>
        </w:numPr>
        <w:spacing w:after="80"/>
      </w:pPr>
      <w:r>
        <w:rPr>
          <w:rFonts w:ascii="Times New Roman" w:cs="Times New Roman" w:eastAsia="Times New Roman" w:hAnsi="Times New Roman"/>
          <w:color w:val="1F2937"/>
          <w:sz w:val="22"/>
          <w:szCs w:val="22"/>
        </w:rPr>
        <w:t xml:space="preserve">Remarque qu'ils surgissent d'eux-mêmes — comme des expressions de la présence spontanée.</w:t>
      </w:r>
    </w:p>
    <w:p>
      <w:pPr>
        <w:pStyle w:val="ListParagraph"/>
        <w:numPr>
          <w:ilvl w:val="0"/>
          <w:numId w:val="1"/>
        </w:numPr>
        <w:spacing w:after="80"/>
      </w:pPr>
      <w:r>
        <w:rPr>
          <w:rFonts w:ascii="Times New Roman" w:cs="Times New Roman" w:eastAsia="Times New Roman" w:hAnsi="Times New Roman"/>
          <w:color w:val="1F2937"/>
          <w:sz w:val="22"/>
          <w:szCs w:val="22"/>
        </w:rPr>
        <w:t xml:space="preserve">Maintenant remarque : y a-t-il un « fabricant » ? Quelqu'un qui produit délibérément ces surgissements ? Ou surgissent-ils depuis un espace que tu n'as pas construit ?</w:t>
      </w:r>
    </w:p>
    <w:p>
      <w:pPr>
        <w:spacing w:after="120"/>
      </w:pPr>
      <w:r>
        <w:rPr>
          <w:rFonts w:ascii="Times New Roman" w:cs="Times New Roman" w:eastAsia="Times New Roman" w:hAnsi="Times New Roman"/>
          <w:color w:val="1F2937"/>
          <w:sz w:val="22"/>
          <w:szCs w:val="22"/>
        </w:rPr>
        <w:t xml:space="preserve">Ce jeu de l'observation est une introduction directe à lhundrub — la spontanéité naturelle que Longchenpa décrit comme « la manifestation naturelle de ce qui a toujours été là ».</w:t>
      </w:r>
    </w:p>
    <w:p>
      <w:pPr>
        <w:spacing w:after="120"/>
      </w:pPr>
      <w:r>
        <w:rPr>
          <w:rFonts w:ascii="Times New Roman" w:cs="Times New Roman" w:eastAsia="Times New Roman" w:hAnsi="Times New Roman"/>
          <w:color w:val="1F2937"/>
          <w:sz w:val="22"/>
          <w:szCs w:val="22"/>
        </w:rPr>
        <w:t xml:space="preserve">Note dans ton carnet : quelle est la différence entre ce que tu as observé aujourd'hui (surgissement non-intentionnel) et la pensée intentionnelle ordinaire ?</w:t>
      </w:r>
    </w:p>
    <w:p>
      <w:pPr>
        <w:spacing w:after="6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Challenge — Synthèse exigeante</w:t>
      </w:r>
    </w:p>
    <w:p>
      <w:pPr>
        <w:spacing w:after="120"/>
      </w:pPr>
      <w:r>
        <w:rPr>
          <w:rFonts w:ascii="Times New Roman" w:cs="Times New Roman" w:eastAsia="Times New Roman" w:hAnsi="Times New Roman"/>
          <w:color w:val="1F2937"/>
          <w:sz w:val="22"/>
          <w:szCs w:val="22"/>
        </w:rPr>
        <w:t xml:space="preserve">Durée estimée : 30–40 minutes</w:t>
      </w:r>
    </w:p>
    <w:p>
      <w:pPr>
        <w:spacing w:after="120"/>
      </w:pPr>
      <w:r>
        <w:rPr>
          <w:rFonts w:ascii="Times New Roman" w:cs="Times New Roman" w:eastAsia="Times New Roman" w:hAnsi="Times New Roman"/>
          <w:color w:val="1F2937"/>
          <w:sz w:val="22"/>
          <w:szCs w:val="22"/>
        </w:rPr>
        <w:t xml:space="preserve">Rédige un texte de 200 à 300 mots répondant à la question suivante :</w:t>
      </w:r>
    </w:p>
    <w:p>
      <w:pPr>
        <w:shd w:fill="F3F4F6" w:val="clear"/>
        <w:spacing w:after="100" w:before="80"/>
        <w:ind w:left="576" w:right="576"/>
      </w:pPr>
      <w:r>
        <w:rPr>
          <w:rFonts w:ascii="Times New Roman" w:cs="Times New Roman" w:eastAsia="Times New Roman" w:hAnsi="Times New Roman"/>
          <w:i/>
          <w:iCs/>
          <w:color w:val="1B3A6B"/>
          <w:sz w:val="22"/>
          <w:szCs w:val="22"/>
        </w:rPr>
        <w:t xml:space="preserve">« Un ami te demande : dans le Dzogchen, si la Base est primordiale­ment pure (kadag), pourquoi ai-je besoin de pratiquer ? Si tout est déjà spontanément présent (lhundrub), à quoi sert la méditation ? »</w:t>
      </w:r>
    </w:p>
    <w:p>
      <w:pPr>
        <w:spacing w:after="120"/>
      </w:pPr>
      <w:r>
        <w:rPr>
          <w:rFonts w:ascii="Times New Roman" w:cs="Times New Roman" w:eastAsia="Times New Roman" w:hAnsi="Times New Roman"/>
          <w:color w:val="1F2937"/>
          <w:sz w:val="22"/>
          <w:szCs w:val="22"/>
        </w:rPr>
        <w:t xml:space="preserve">Consignes :</w:t>
      </w:r>
    </w:p>
    <w:p>
      <w:pPr>
        <w:pStyle w:val="ListParagraph"/>
        <w:numPr>
          <w:ilvl w:val="0"/>
          <w:numId w:val="1"/>
        </w:numPr>
        <w:spacing w:after="80"/>
      </w:pPr>
      <w:r>
        <w:rPr>
          <w:rFonts w:ascii="Times New Roman" w:cs="Times New Roman" w:eastAsia="Times New Roman" w:hAnsi="Times New Roman"/>
          <w:color w:val="1F2937"/>
          <w:sz w:val="22"/>
          <w:szCs w:val="22"/>
        </w:rPr>
        <w:t xml:space="preserve">Réponds en utilisant EXACTEMENT les termes kadag, lhundrub et gzhi.</w:t>
      </w:r>
    </w:p>
    <w:p>
      <w:pPr>
        <w:pStyle w:val="ListParagraph"/>
        <w:numPr>
          <w:ilvl w:val="0"/>
          <w:numId w:val="1"/>
        </w:numPr>
        <w:spacing w:after="80"/>
      </w:pPr>
      <w:r>
        <w:rPr>
          <w:rFonts w:ascii="Times New Roman" w:cs="Times New Roman" w:eastAsia="Times New Roman" w:hAnsi="Times New Roman"/>
          <w:color w:val="1F2937"/>
          <w:sz w:val="22"/>
          <w:szCs w:val="22"/>
        </w:rPr>
        <w:t xml:space="preserve">Articule la distinction entre la Base (nature de ce qui est) et la reconnaissance / non-reconnaissance de cette Base (rigpa / ma-rigpa).</w:t>
      </w:r>
    </w:p>
    <w:p>
      <w:pPr>
        <w:pStyle w:val="ListParagraph"/>
        <w:numPr>
          <w:ilvl w:val="0"/>
          <w:numId w:val="1"/>
        </w:numPr>
        <w:spacing w:after="80"/>
      </w:pPr>
      <w:r>
        <w:rPr>
          <w:rFonts w:ascii="Times New Roman" w:cs="Times New Roman" w:eastAsia="Times New Roman" w:hAnsi="Times New Roman"/>
          <w:color w:val="1F2937"/>
          <w:sz w:val="22"/>
          <w:szCs w:val="22"/>
        </w:rPr>
        <w:t xml:space="preserve">Évite les métaphores faciles. Utilise au moins une analogie Dzogchen authentique (reflet, soleil et nuages, miroir, espace/ciel — mais explique pourquoi cette analogie est imparfaite).</w:t>
      </w:r>
    </w:p>
    <w:p>
      <w:pPr>
        <w:pStyle w:val="ListParagraph"/>
        <w:numPr>
          <w:ilvl w:val="0"/>
          <w:numId w:val="1"/>
        </w:numPr>
        <w:spacing w:after="80"/>
      </w:pPr>
      <w:r>
        <w:rPr>
          <w:rFonts w:ascii="Times New Roman" w:cs="Times New Roman" w:eastAsia="Times New Roman" w:hAnsi="Times New Roman"/>
          <w:color w:val="1F2937"/>
          <w:sz w:val="22"/>
          <w:szCs w:val="22"/>
        </w:rPr>
        <w:t xml:space="preserve">Réfère-toi à au moins un maître cité dans la leçon (Longchenpa, Jigmé Lingpa, Patrul Rinpoche, Do-Ngak Chökyi Gyatso).</w:t>
      </w:r>
    </w:p>
    <w:p>
      <w:pPr>
        <w:spacing w:after="120"/>
      </w:pPr>
      <w:r>
        <w:rPr>
          <w:rFonts w:ascii="Times New Roman" w:cs="Times New Roman" w:eastAsia="Times New Roman" w:hAnsi="Times New Roman"/>
          <w:color w:val="1F2937"/>
          <w:sz w:val="22"/>
          <w:szCs w:val="22"/>
        </w:rPr>
        <w:t xml:space="preserve">Critère de réussite : à la lecture de ton texte, une personne qui n'a jamais entendu parler du Dzogchen comprend pourquoi la pratique est nécessaire même si la Base est déjà pure — et ne confond pas lhundrub avec la « magie » ou la passivité.</w:t>
      </w:r>
    </w:p>
    <w:p>
      <w:pPr>
        <w:spacing w:after="6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Pont pro (chef de service en ESSMS)</w:t>
      </w:r>
    </w:p>
    <w:p>
      <w:pPr>
        <w:spacing w:after="120"/>
      </w:pPr>
      <w:r>
        <w:rPr>
          <w:rFonts w:ascii="Times New Roman" w:cs="Times New Roman" w:eastAsia="Times New Roman" w:hAnsi="Times New Roman"/>
          <w:color w:val="1F2937"/>
          <w:sz w:val="22"/>
          <w:szCs w:val="22"/>
        </w:rPr>
        <w:t xml:space="preserve">La notion de kadag — nature fondamentalement intacte malgré les apparences de désordre — peut résonner dans la posture du cadre face aux situations de crise ou de maltraitance. Elle invite à distinguer la personne (sa dignité fondamentale, inaltérable) des comportements ou des affects qui la traversent, sans les confondre.</w:t>
      </w:r>
    </w:p>
    <w:p>
      <w:pPr>
        <w:spacing w:after="120"/>
      </w:pPr>
      <w:r>
        <w:rPr>
          <w:rFonts w:ascii="Times New Roman" w:cs="Times New Roman" w:eastAsia="Times New Roman" w:hAnsi="Times New Roman"/>
          <w:color w:val="1F2937"/>
          <w:sz w:val="22"/>
          <w:szCs w:val="22"/>
        </w:rPr>
        <w:t xml:space="preserve">Ce n'est pas une technique d'intervention, mais une posture intérieure qui peut nourrir la bientraitance : regarder chaque personne accompagnée — quelle que soit la gravité de ses troubles du comportement — depuis ce présupposé d'une dignité primordiale non détruite. Rejoindre ainsi, par un autre chemin, la posture recommandée par les RBPP HAS sur l'autodétermination et la reconnaissance de la personne dans sa globalité.</w:t>
      </w:r>
    </w:p>
    <w:p>
      <w:pPr>
        <w:spacing w:after="6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Ressources cliquables — Pour approfondir la Base (gzhi)</w:t>
      </w:r>
    </w:p>
    <w:p>
      <w:pPr>
        <w:spacing w:after="120"/>
      </w:pPr>
      <w:r>
        <w:rPr>
          <w:rFonts w:ascii="Times New Roman" w:cs="Times New Roman" w:eastAsia="Times New Roman" w:hAnsi="Times New Roman"/>
          <w:color w:val="1F2937"/>
          <w:sz w:val="22"/>
          <w:szCs w:val="22"/>
        </w:rPr>
        <w:t xml:space="preserve">1. Wikipedia — Dzogchen (Base, qualités fondamentales, histoire)</w:t>
      </w:r>
    </w:p>
    <w:p>
      <w:pPr>
        <w:spacing w:after="80"/>
      </w:pPr>
      <w:hyperlink w:history="1" r:id="rIdamoftkcgl_tvmqb2uza1v">
        <w:r>
          <w:rPr>
            <w:rStyle w:val="Hyperlink"/>
            <w:rFonts w:ascii="Times New Roman" w:cs="Times New Roman" w:eastAsia="Times New Roman" w:hAnsi="Times New Roman"/>
            <w:color w:val="1155CC"/>
            <w:sz w:val="22"/>
            <w:szCs w:val="22"/>
            <w:u w:val="single" w:color="1155CC"/>
          </w:rPr>
          <w:t xml:space="preserve">   → Dzogchen — Wikipedia EN</w:t>
        </w:r>
      </w:hyperlink>
    </w:p>
    <w:p>
      <w:pPr>
        <w:spacing w:after="120"/>
      </w:pPr>
      <w:r>
        <w:rPr>
          <w:rFonts w:ascii="Times New Roman" w:cs="Times New Roman" w:eastAsia="Times New Roman" w:hAnsi="Times New Roman"/>
          <w:color w:val="1F2937"/>
          <w:sz w:val="22"/>
          <w:szCs w:val="22"/>
        </w:rPr>
        <w:t xml:space="preserve">2. Lotsawa House — Dzogchen : textes tibétains traduits (Jigmé Lingpa, Patrul Rinpoche, Mipham)</w:t>
      </w:r>
    </w:p>
    <w:p>
      <w:pPr>
        <w:spacing w:after="80"/>
      </w:pPr>
      <w:hyperlink w:history="1" r:id="rIde8rwlejgvn87ysqr0nn_n">
        <w:r>
          <w:rPr>
            <w:rStyle w:val="Hyperlink"/>
            <w:rFonts w:ascii="Times New Roman" w:cs="Times New Roman" w:eastAsia="Times New Roman" w:hAnsi="Times New Roman"/>
            <w:color w:val="1155CC"/>
            <w:sz w:val="22"/>
            <w:szCs w:val="22"/>
            <w:u w:val="single" w:color="1155CC"/>
          </w:rPr>
          <w:t xml:space="preserve">   → Lotsawa House — Dzogchen (FR)</w:t>
        </w:r>
      </w:hyperlink>
    </w:p>
    <w:p>
      <w:pPr>
        <w:spacing w:after="120"/>
      </w:pPr>
      <w:r>
        <w:rPr>
          <w:rFonts w:ascii="Times New Roman" w:cs="Times New Roman" w:eastAsia="Times New Roman" w:hAnsi="Times New Roman"/>
          <w:color w:val="1F2937"/>
          <w:sz w:val="22"/>
          <w:szCs w:val="22"/>
        </w:rPr>
        <w:t xml:space="preserve">3. Study Buddhism (Berzin Archives) — Les principales facettes du Dzogchen : kadag, lhundrub, rigpa</w:t>
      </w:r>
    </w:p>
    <w:p>
      <w:pPr>
        <w:spacing w:after="80"/>
      </w:pPr>
      <w:hyperlink w:history="1" r:id="rIdttsmnjbej8pdeihawelqz">
        <w:r>
          <w:rPr>
            <w:rStyle w:val="Hyperlink"/>
            <w:rFonts w:ascii="Times New Roman" w:cs="Times New Roman" w:eastAsia="Times New Roman" w:hAnsi="Times New Roman"/>
            <w:color w:val="1155CC"/>
            <w:sz w:val="22"/>
            <w:szCs w:val="22"/>
            <w:u w:val="single" w:color="1155CC"/>
          </w:rPr>
          <w:t xml:space="preserve">   → Study Buddhism — Dzogchen (FR)</w:t>
        </w:r>
      </w:hyperlink>
    </w:p>
    <w:p>
      <w:pPr>
        <w:spacing w:after="120"/>
      </w:pPr>
      <w:r>
        <w:rPr>
          <w:rFonts w:ascii="Times New Roman" w:cs="Times New Roman" w:eastAsia="Times New Roman" w:hAnsi="Times New Roman"/>
          <w:color w:val="1F2937"/>
          <w:sz w:val="22"/>
          <w:szCs w:val="22"/>
        </w:rPr>
        <w:t xml:space="preserve">4. Do-Ngak Chökyi Gyatso / Lotsawa House — Commentaire sur quelques termes Dzogchen (kadag, lhundrub) — trad. Vincent Thibault 2024</w:t>
      </w:r>
    </w:p>
    <w:p>
      <w:pPr>
        <w:spacing w:after="80"/>
      </w:pPr>
      <w:hyperlink w:history="1" r:id="rIddvt2skyafv6uf-gwyqjeg">
        <w:r>
          <w:rPr>
            <w:rStyle w:val="Hyperlink"/>
            <w:rFonts w:ascii="Times New Roman" w:cs="Times New Roman" w:eastAsia="Times New Roman" w:hAnsi="Times New Roman"/>
            <w:color w:val="1155CC"/>
            <w:sz w:val="22"/>
            <w:szCs w:val="22"/>
            <w:u w:val="single" w:color="1155CC"/>
          </w:rPr>
          <w:t xml:space="preserve">   → Commentary on Some Dzogchen Terms — Lotsawa House (FR)</w:t>
        </w:r>
      </w:hyperlink>
    </w:p>
    <w:p>
      <w:pPr>
        <w:spacing w:after="120"/>
      </w:pPr>
      <w:r>
        <w:rPr>
          <w:rFonts w:ascii="Times New Roman" w:cs="Times New Roman" w:eastAsia="Times New Roman" w:hAnsi="Times New Roman"/>
          <w:color w:val="1F2937"/>
          <w:sz w:val="22"/>
          <w:szCs w:val="22"/>
        </w:rPr>
        <w:t xml:space="preserve">5. ⛔ Rigpa Wiki (gzhi) — non accessible (403) lors de cette session</w:t>
      </w:r>
    </w:p>
    <w:p>
      <w:pPr>
        <w:spacing w:after="6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Prochaine leçon — Leçon n°04</w:t>
      </w:r>
    </w:p>
    <w:p>
      <w:pPr>
        <w:spacing w:after="120"/>
      </w:pPr>
      <w:r>
        <w:rPr>
          <w:rFonts w:ascii="Times New Roman" w:cs="Times New Roman" w:eastAsia="Times New Roman" w:hAnsi="Times New Roman"/>
          <w:color w:val="1F2937"/>
          <w:sz w:val="22"/>
          <w:szCs w:val="22"/>
        </w:rPr>
        <w:t xml:space="preserve">Thème : Les trois préceptes de Garab Dorje — « Les trois phrases qui frappent le point essentiel »</w:t>
      </w:r>
    </w:p>
    <w:p>
      <w:pPr>
        <w:spacing w:after="120"/>
      </w:pPr>
      <w:r>
        <w:rPr>
          <w:rFonts w:ascii="Times New Roman" w:cs="Times New Roman" w:eastAsia="Times New Roman" w:hAnsi="Times New Roman"/>
          <w:color w:val="1F2937"/>
          <w:sz w:val="22"/>
          <w:szCs w:val="22"/>
        </w:rPr>
        <w:t xml:space="preserve">(Feuille de route : thème 4 — après avoir couvert les thèmes 1, 2 et 3)</w:t>
      </w:r>
    </w:p>
    <w:p>
      <w:pPr>
        <w:spacing w:after="120"/>
      </w:pPr>
      <w:r>
        <w:rPr>
          <w:rFonts w:ascii="Times New Roman" w:cs="Times New Roman" w:eastAsia="Times New Roman" w:hAnsi="Times New Roman"/>
          <w:color w:val="1F2937"/>
          <w:sz w:val="22"/>
          <w:szCs w:val="22"/>
        </w:rPr>
        <w:t xml:space="preserve">Tu découvriras le cœur de la transmission Dzogchen : l'introduction directe, la décision sans doute et la continuité sans séparation — les trois instructions fondatrices de tout le Dzogchen Mengagdé.</w:t>
      </w:r>
    </w:p>
    <w:p>
      <w:pPr>
        <w:spacing w:after="60"/>
      </w:pPr>
      <w:r>
        <w:rPr>
          <w:color w:val="CCCCCC"/>
          <w:sz w:val="18"/>
          <w:szCs w:val="18"/>
        </w:rPr>
        <w:t xml:space="preserve">────────────────────────────────────────────────────────────</w:t>
      </w:r>
    </w:p>
    <w:p>
      <w:pPr>
        <w:spacing w:before="120"/>
        <w:jc w:val="center"/>
      </w:pPr>
      <w:r>
        <w:rPr>
          <w:rFonts w:ascii="Times New Roman" w:cs="Times New Roman" w:eastAsia="Times New Roman" w:hAnsi="Times New Roman"/>
          <w:i/>
          <w:iCs/>
          <w:color w:val="9CA3AF"/>
          <w:sz w:val="18"/>
          <w:szCs w:val="18"/>
        </w:rPr>
        <w:t xml:space="preserve">Leçon générée le 23 juin 2026  —  Parcours Dzogchen, leçon 3/12</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moftkcgl_tvmqb2uza1v" Type="http://schemas.openxmlformats.org/officeDocument/2006/relationships/hyperlink" Target="https://en.wikipedia.org/wiki/Dzogchen" TargetMode="External"/><Relationship Id="rIde8rwlejgvn87ysqr0nn_n" Type="http://schemas.openxmlformats.org/officeDocument/2006/relationships/hyperlink" Target="https://www.lotsawahouse.org/fr/topics/dzogchen/" TargetMode="External"/><Relationship Id="rIdttsmnjbej8pdeihawelqz" Type="http://schemas.openxmlformats.org/officeDocument/2006/relationships/hyperlink" Target="https://studybuddhism.com/fr/etudes-avancees/le-vajrayana/dzogchen-niveau-avance/les-principales-facettes-du-dzogchen" TargetMode="External"/><Relationship Id="rIddvt2skyafv6uf-gwyqjeg" Type="http://schemas.openxmlformats.org/officeDocument/2006/relationships/hyperlink" Target="https://www.lotsawahouse.org/fr/tibetan-masters/dongak-chokyi-gyatso/commentary-on-some-dzogchen-term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2026-06-23T06:08:05.889Z</dcterms:created>
  <dcterms:modified xsi:type="dcterms:W3CDTF">2026-06-23T06:08:05.902Z</dcterms:modified>
</cp:coreProperties>
</file>

<file path=docProps/custom.xml><?xml version="1.0" encoding="utf-8"?>
<Properties xmlns="http://schemas.openxmlformats.org/officeDocument/2006/custom-properties" xmlns:vt="http://schemas.openxmlformats.org/officeDocument/2006/docPropsVTypes"/>
</file>