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240" w:before="120"/>
        <w:jc w:val="center"/>
      </w:pPr>
      <w:r>
        <w:rPr>
          <w:rFonts w:ascii="Times New Roman" w:cs="Times New Roman" w:eastAsia="Times New Roman" w:hAnsi="Times New Roman"/>
          <w:b/>
          <w:bCs/>
          <w:color w:val="1B3A6B"/>
          <w:sz w:val="52"/>
          <w:szCs w:val="52"/>
        </w:rPr>
        <w:t xml:space="preserve">Leçon Revenus passifs n°10</w:t>
      </w:r>
    </w:p>
    <w:p>
      <w:pPr>
        <w:pStyle w:val="Heading1"/>
        <w:spacing w:after="240" w:before="120"/>
        <w:jc w:val="center"/>
      </w:pPr>
      <w:r>
        <w:rPr>
          <w:rFonts w:ascii="Times New Roman" w:cs="Times New Roman" w:eastAsia="Times New Roman" w:hAnsi="Times New Roman"/>
          <w:b/>
          <w:bCs/>
          <w:color w:val="1B3A6B"/>
          <w:sz w:val="52"/>
          <w:szCs w:val="52"/>
        </w:rPr>
        <w:t xml:space="preserve">Espérance de vie des modèles</w:t>
      </w:r>
    </w:p>
    <w:p>
      <w:pPr>
        <w:spacing w:after="80"/>
        <w:jc w:val="center"/>
      </w:pPr>
      <w:r>
        <w:rPr>
          <w:rFonts w:ascii="Times New Roman" w:cs="Times New Roman" w:eastAsia="Times New Roman" w:hAnsi="Times New Roman"/>
          <w:i/>
          <w:iCs/>
          <w:color w:val="1F2937"/>
          <w:sz w:val="22"/>
          <w:szCs w:val="22"/>
        </w:rPr>
        <w:t xml:space="preserve">27 septembre 2026 — Leçon 10 / 10</w:t>
      </w:r>
    </w:p>
    <w:p>
      <w:pPr>
        <w:spacing w:after="300"/>
        <w:jc w:val="center"/>
      </w:pPr>
      <w:r>
        <w:rPr>
          <w:rFonts w:ascii="Times New Roman" w:cs="Times New Roman" w:eastAsia="Times New Roman" w:hAnsi="Times New Roman"/>
          <w:i/>
          <w:iCs/>
          <w:color w:val="1F2937"/>
          <w:sz w:val="22"/>
          <w:szCs w:val="22"/>
        </w:rPr>
        <w:t xml:space="preserve">Signaux de déclin · Facteurs de durabilité · Matrice de décision</w:t>
      </w:r>
      <w:r>
        <w:rPr>
          <w:i/>
          <w:color w:val="808080"/>
        </w:rPr>
        <w:t xml:space="preserve">  [Corrigé le 27/09/2026 : le sous-titre annonçait des scénarios de durabilité ; le document livre une grille de six facteurs, pas des scénarios.]</w:t>
      </w:r>
    </w:p>
    <w:p>
      <w:pPr>
        <w:pStyle w:val="Heading2"/>
        <w:spacing w:after="120" w:before="360"/>
      </w:pPr>
      <w:r>
        <w:rPr>
          <w:rFonts w:ascii="Times New Roman" w:cs="Times New Roman" w:eastAsia="Times New Roman" w:hAnsi="Times New Roman"/>
          <w:b/>
          <w:bCs/>
          <w:color w:val="1B3A6B"/>
          <w:sz w:val="30"/>
          <w:szCs w:val="30"/>
        </w:rPr>
        <w:t xml:space="preserve">⚠️ Cadre déontologique</w:t>
      </w:r>
    </w:p>
    <w:p>
      <w:pPr>
        <w:pBdr>
          <w:left w:val="thick" w:color="D97706" w:sz="12"/>
        </w:pBdr>
        <w:shd w:color="FFF4E5" w:val="solid"/>
        <w:spacing w:after="100" w:before="100"/>
        <w:ind w:left="240" w:right="240"/>
      </w:pPr>
      <w:r>
        <w:rPr>
          <w:rFonts w:ascii="Times New Roman" w:cs="Times New Roman" w:eastAsia="Times New Roman" w:hAnsi="Times New Roman"/>
          <w:color w:val="1F2937"/>
          <w:sz w:val="22"/>
          <w:szCs w:val="22"/>
        </w:rPr>
        <w:t xml:space="preserve">⚠️ Cette leçon est ÉDUCATIVE et GÉNÉRALISTE. Elle ne constitue pas un conseil en investissement ni une recommandation personnalisée.</w:t>
      </w:r>
    </w:p>
    <w:p>
      <w:pPr>
        <w:pBdr>
          <w:left w:val="thick" w:color="D97706" w:sz="12"/>
        </w:pBdr>
        <w:shd w:color="FFF4E5" w:val="solid"/>
        <w:spacing w:after="100" w:before="100"/>
        <w:ind w:left="240" w:right="240"/>
      </w:pPr>
      <w:r>
        <w:rPr>
          <w:rFonts w:ascii="Times New Roman" w:cs="Times New Roman" w:eastAsia="Times New Roman" w:hAnsi="Times New Roman"/>
          <w:color w:val="1F2937"/>
          <w:sz w:val="22"/>
          <w:szCs w:val="22"/>
        </w:rPr>
        <w:t xml:space="preserve"/>
      </w:r>
    </w:p>
    <w:p>
      <w:pPr>
        <w:pBdr>
          <w:left w:val="thick" w:color="D97706" w:sz="12"/>
        </w:pBdr>
        <w:shd w:color="FFF4E5" w:val="solid"/>
        <w:spacing w:after="100" w:before="100"/>
        <w:ind w:left="240" w:right="240"/>
      </w:pPr>
      <w:r>
        <w:rPr>
          <w:rFonts w:ascii="Times New Roman" w:cs="Times New Roman" w:eastAsia="Times New Roman" w:hAnsi="Times New Roman"/>
          <w:color w:val="1F2937"/>
          <w:sz w:val="22"/>
          <w:szCs w:val="22"/>
        </w:rPr>
        <w:t xml:space="preserve">En France, le conseil en investissement financier est une activité réglementée (statut CIF, registre ORIAS). Cette leçon n'analyse pas votre situation et ne vous dit pas quoi acheter, vendre, ni pour quel montant.</w:t>
      </w:r>
    </w:p>
    <w:p>
      <w:pPr>
        <w:pBdr>
          <w:left w:val="thick" w:color="D97706" w:sz="12"/>
        </w:pBdr>
        <w:shd w:color="FFF4E5" w:val="solid"/>
        <w:spacing w:after="100" w:before="100"/>
        <w:ind w:left="240" w:right="240"/>
      </w:pPr>
      <w:r>
        <w:rPr>
          <w:rFonts w:ascii="Times New Roman" w:cs="Times New Roman" w:eastAsia="Times New Roman" w:hAnsi="Times New Roman"/>
          <w:color w:val="1F2937"/>
          <w:sz w:val="22"/>
          <w:szCs w:val="22"/>
        </w:rPr>
        <w:t xml:space="preserve"/>
      </w:r>
    </w:p>
    <w:p>
      <w:pPr>
        <w:pBdr>
          <w:left w:val="thick" w:color="D97706" w:sz="12"/>
        </w:pBdr>
        <w:shd w:color="FFF4E5" w:val="solid"/>
        <w:spacing w:after="100" w:before="100"/>
        <w:ind w:left="240" w:right="240"/>
      </w:pPr>
      <w:r>
        <w:rPr>
          <w:rFonts w:ascii="Times New Roman" w:cs="Times New Roman" w:eastAsia="Times New Roman" w:hAnsi="Times New Roman"/>
          <w:color w:val="1F2937"/>
          <w:sz w:val="22"/>
          <w:szCs w:val="22"/>
        </w:rPr>
        <w:t xml:space="preserve">Le secteur des « revenus passifs » est saturé de promesses trompeuses. Toute décision financière relève de votre responsabilité, le cas échéant avec un professionnel agréé. L'AMF maintient des listes noires d'acteurs non autorisés : consultez amf-france.org avant tout engagement.</w:t>
      </w:r>
    </w:p>
    <w:p>
      <w:pPr>
        <w:spacing w:after="80"/>
      </w:pPr>
      <w:r>
        <w:t xml:space="preserve"/>
      </w:r>
    </w:p>
    <w:p>
      <w:pPr>
        <w:pStyle w:val="Heading2"/>
        <w:spacing w:after="120" w:before="360"/>
      </w:pPr>
      <w:r>
        <w:rPr>
          <w:rFonts w:ascii="Times New Roman" w:cs="Times New Roman" w:eastAsia="Times New Roman" w:hAnsi="Times New Roman"/>
          <w:b/>
          <w:bCs/>
          <w:color w:val="1B3A6B"/>
          <w:sz w:val="30"/>
          <w:szCs w:val="30"/>
        </w:rPr>
        <w:t xml:space="preserve">🎯 Objectif et continuité du parcours</w:t>
      </w:r>
    </w:p>
    <w:p>
      <w:pPr>
        <w:spacing w:after="120"/>
      </w:pPr>
      <w:r>
        <w:rPr>
          <w:rFonts w:ascii="Times New Roman" w:cs="Times New Roman" w:eastAsia="Times New Roman" w:hAnsi="Times New Roman"/>
          <w:color w:val="1F2937"/>
          <w:sz w:val="22"/>
          <w:szCs w:val="22"/>
        </w:rPr>
        <w:t xml:space="preserve">C'est la dernière leçon du parcours. Vous avez couvert les 9 thèmes fondamentaux : définitions et mythes, familles de modèles, les trois intrants, l'économie réelle, les cinq familles d'idées (produits numériques, contenus monétisés et affiliation, placements à revenu en ETF et dividendes, immobilier locatif et SCPI, micro-SaaS et agents IA), les deux leçons d'outillage.</w:t>
      </w:r>
      <w:r>
        <w:rPr>
          <w:i/>
          <w:color w:val="808080"/>
        </w:rPr>
        <w:t xml:space="preserve"> [Corrigé le 27/09/2026 : cinq familles étaient annoncées et quatre libellés énumérés — les placements à revenu et l'immobilier locatif y étaient fondus en un seul.]</w:t>
      </w:r>
    </w:p>
    <w:p>
      <w:pPr>
        <w:spacing w:after="120"/>
      </w:pPr>
      <w:r>
        <w:rPr>
          <w:rFonts w:ascii="Times New Roman" w:cs="Times New Roman" w:eastAsia="Times New Roman" w:hAnsi="Times New Roman"/>
          <w:color w:val="1F2937"/>
          <w:sz w:val="22"/>
          <w:szCs w:val="22"/>
        </w:rPr>
        <w:t xml:space="preserve">Cette leçon ferme la boucle : à quoi ressemble la fin de vie d'un modèle, comment la détecter avant qu'elle arrive, quels scénarios de durabilité existent, et comment construire une matrice de décision personnelle pour décider de maintenir, adapter ou sortir.</w:t>
      </w:r>
    </w:p>
    <w:p>
      <w:pPr>
        <w:spacing w:after="120"/>
      </w:pPr>
      <w:r>
        <w:rPr>
          <w:rFonts w:ascii="Times New Roman" w:cs="Times New Roman" w:eastAsia="Times New Roman" w:hAnsi="Times New Roman"/>
          <w:b/>
          <w:bCs/>
          <w:color w:val="1F2937"/>
          <w:sz w:val="22"/>
          <w:szCs w:val="22"/>
        </w:rPr>
        <w:t xml:space="preserve">À l'issue de cette leçon, vous saurez :</w:t>
      </w:r>
    </w:p>
    <w:p>
      <w:pPr>
        <w:pStyle w:val="ListParagraph"/>
        <w:numPr>
          <w:ilvl w:val="0"/>
          <w:numId w:val="1"/>
        </w:numPr>
        <w:spacing w:after="80"/>
      </w:pPr>
      <w:r>
        <w:rPr>
          <w:rFonts w:ascii="Times New Roman" w:cs="Times New Roman" w:eastAsia="Times New Roman" w:hAnsi="Times New Roman"/>
          <w:color w:val="1F2937"/>
          <w:sz w:val="22"/>
          <w:szCs w:val="22"/>
        </w:rPr>
        <w:t xml:space="preserve">Identifier les signaux d'alerte précoces d'un modèle en déclin selon son type</w:t>
      </w:r>
    </w:p>
    <w:p>
      <w:pPr>
        <w:pStyle w:val="ListParagraph"/>
        <w:numPr>
          <w:ilvl w:val="0"/>
          <w:numId w:val="1"/>
        </w:numPr>
        <w:spacing w:after="80"/>
      </w:pPr>
      <w:r>
        <w:rPr>
          <w:rFonts w:ascii="Times New Roman" w:cs="Times New Roman" w:eastAsia="Times New Roman" w:hAnsi="Times New Roman"/>
          <w:color w:val="1F2937"/>
          <w:sz w:val="22"/>
          <w:szCs w:val="22"/>
        </w:rPr>
        <w:t xml:space="preserve">Distinguer déclin structurel (irréversible) et déclin conjoncturel (traitable)</w:t>
      </w:r>
    </w:p>
    <w:p>
      <w:pPr>
        <w:pStyle w:val="ListParagraph"/>
        <w:numPr>
          <w:ilvl w:val="0"/>
          <w:numId w:val="1"/>
        </w:numPr>
        <w:spacing w:after="80"/>
      </w:pPr>
      <w:r>
        <w:rPr>
          <w:rFonts w:ascii="Times New Roman" w:cs="Times New Roman" w:eastAsia="Times New Roman" w:hAnsi="Times New Roman"/>
          <w:color w:val="1F2937"/>
          <w:sz w:val="22"/>
          <w:szCs w:val="22"/>
        </w:rPr>
        <w:t xml:space="preserve">Construire une matrice de décision : maintenir / adapter / pivoter / sortir</w:t>
      </w:r>
    </w:p>
    <w:p>
      <w:pPr>
        <w:pStyle w:val="ListParagraph"/>
        <w:numPr>
          <w:ilvl w:val="0"/>
          <w:numId w:val="1"/>
        </w:numPr>
        <w:spacing w:after="80"/>
      </w:pPr>
      <w:r>
        <w:rPr>
          <w:rFonts w:ascii="Times New Roman" w:cs="Times New Roman" w:eastAsia="Times New Roman" w:hAnsi="Times New Roman"/>
          <w:color w:val="1F2937"/>
          <w:sz w:val="22"/>
          <w:szCs w:val="22"/>
        </w:rPr>
        <w:t xml:space="preserve">Anticiper la durée de vie probable d'un modèle avant même de le lancer</w:t>
      </w:r>
    </w:p>
    <w:p>
      <w:pPr>
        <w:spacing w:after="80"/>
      </w:pPr>
      <w:r>
        <w:t xml:space="preserve"/>
      </w:r>
    </w:p>
    <w:p>
      <w:pPr>
        <w:pStyle w:val="Heading2"/>
        <w:spacing w:after="120" w:before="360"/>
      </w:pPr>
      <w:r>
        <w:rPr>
          <w:rFonts w:ascii="Times New Roman" w:cs="Times New Roman" w:eastAsia="Times New Roman" w:hAnsi="Times New Roman"/>
          <w:b/>
          <w:bCs/>
          <w:color w:val="1B3A6B"/>
          <w:sz w:val="30"/>
          <w:szCs w:val="30"/>
        </w:rPr>
        <w:t xml:space="preserve">🔬 Théorie (20 %) — Le cycle de vie d'un modèle passif</w:t>
      </w:r>
      <w:r>
        <w:rPr>
          <w:i/>
          <w:color w:val="808080"/>
        </w:rPr>
        <w:t xml:space="preserve">   [Mesuré le 27/09/2026 : théorie et ancrage réaliste font 44 % du document, non 20 % — voir le journal.]</w:t>
      </w:r>
    </w:p>
    <w:p>
      <w:pPr>
        <w:pStyle w:val="Heading3"/>
        <w:spacing w:after="80" w:before="240"/>
      </w:pPr>
      <w:r>
        <w:rPr>
          <w:rFonts w:ascii="Times New Roman" w:cs="Times New Roman" w:eastAsia="Times New Roman" w:hAnsi="Times New Roman"/>
          <w:b/>
          <w:bCs/>
          <w:color w:val="1F2937"/>
          <w:sz w:val="26"/>
          <w:szCs w:val="26"/>
        </w:rPr>
        <w:t xml:space="preserve">1. Le cycle en cinq phases</w:t>
      </w:r>
    </w:p>
    <w:p>
      <w:pPr>
        <w:spacing w:after="120"/>
      </w:pPr>
      <w:r>
        <w:rPr>
          <w:rFonts w:ascii="Times New Roman" w:cs="Times New Roman" w:eastAsia="Times New Roman" w:hAnsi="Times New Roman"/>
          <w:color w:val="1F2937"/>
          <w:sz w:val="22"/>
          <w:szCs w:val="22"/>
        </w:rPr>
        <w:t xml:space="preserve">Tout modèle de revenu passif suit un cycle observable — même si la durée de chaque phase varie radicalement d'un modèle à l'autre.</w:t>
      </w:r>
    </w:p>
    <w:p>
      <w:pPr>
        <w:spacing w:after="80"/>
      </w:pPr>
      <w: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shd w:color="1B3A6B" w:val="solid"/>
            <w:vAlign w:val="center"/>
          </w:tcPr>
          <w:p>
            <w:pPr>
              <w:jc w:val="center"/>
            </w:pPr>
            <w:r>
              <w:rPr>
                <w:rFonts w:ascii="Times New Roman" w:cs="Times New Roman" w:eastAsia="Times New Roman" w:hAnsi="Times New Roman"/>
                <w:b/>
                <w:bCs/>
                <w:color w:val="FFFFFF"/>
                <w:sz w:val="20"/>
                <w:szCs w:val="20"/>
              </w:rPr>
              <w:t xml:space="preserve">Phase</w:t>
            </w:r>
          </w:p>
        </w:tc>
        <w:tc>
          <w:tcPr>
            <w:shd w:color="1B3A6B" w:val="solid"/>
            <w:vAlign w:val="center"/>
          </w:tcPr>
          <w:p>
            <w:pPr>
              <w:jc w:val="center"/>
            </w:pPr>
            <w:r>
              <w:rPr>
                <w:rFonts w:ascii="Times New Roman" w:cs="Times New Roman" w:eastAsia="Times New Roman" w:hAnsi="Times New Roman"/>
                <w:b/>
                <w:bCs/>
                <w:color w:val="FFFFFF"/>
                <w:sz w:val="20"/>
                <w:szCs w:val="20"/>
              </w:rPr>
              <w:t xml:space="preserve">Caractéristiques</w:t>
            </w:r>
          </w:p>
        </w:tc>
        <w:tc>
          <w:tcPr>
            <w:shd w:color="1B3A6B" w:val="solid"/>
            <w:vAlign w:val="center"/>
          </w:tcPr>
          <w:p>
            <w:pPr>
              <w:jc w:val="center"/>
            </w:pPr>
            <w:r>
              <w:rPr>
                <w:rFonts w:ascii="Times New Roman" w:cs="Times New Roman" w:eastAsia="Times New Roman" w:hAnsi="Times New Roman"/>
                <w:b/>
                <w:bCs/>
                <w:color w:val="FFFFFF"/>
                <w:sz w:val="20"/>
                <w:szCs w:val="20"/>
              </w:rPr>
              <w:t xml:space="preserve">Signal typique</w:t>
            </w:r>
          </w:p>
        </w:tc>
      </w:tr>
      <w:tr>
        <w:tc>
          <w:tcPr>
            <w:shd w:color="FFFFFF" w:val="solid"/>
            <w:vAlign w:val="center"/>
          </w:tcPr>
          <w:p>
            <w:r>
              <w:rPr>
                <w:rFonts w:ascii="Times New Roman" w:cs="Times New Roman" w:eastAsia="Times New Roman" w:hAnsi="Times New Roman"/>
                <w:color w:val="1F2937"/>
                <w:sz w:val="20"/>
                <w:szCs w:val="20"/>
              </w:rPr>
              <w:t xml:space="preserve">1 — Lancement</w:t>
            </w:r>
          </w:p>
        </w:tc>
        <w:tc>
          <w:tcPr>
            <w:shd w:color="FFFFFF" w:val="solid"/>
            <w:vAlign w:val="center"/>
          </w:tcPr>
          <w:p>
            <w:r>
              <w:rPr>
                <w:rFonts w:ascii="Times New Roman" w:cs="Times New Roman" w:eastAsia="Times New Roman" w:hAnsi="Times New Roman"/>
                <w:color w:val="1F2937"/>
                <w:sz w:val="20"/>
                <w:szCs w:val="20"/>
              </w:rPr>
              <w:t xml:space="preserve">Investissement initial (temps, capital, compétence)</w:t>
            </w:r>
          </w:p>
        </w:tc>
        <w:tc>
          <w:tcPr>
            <w:shd w:color="FFFFFF" w:val="solid"/>
            <w:vAlign w:val="center"/>
          </w:tcPr>
          <w:p>
            <w:r>
              <w:rPr>
                <w:rFonts w:ascii="Times New Roman" w:cs="Times New Roman" w:eastAsia="Times New Roman" w:hAnsi="Times New Roman"/>
                <w:color w:val="1F2937"/>
                <w:sz w:val="20"/>
                <w:szCs w:val="20"/>
              </w:rPr>
              <w:t xml:space="preserve">Revenus nuls ou symboliques</w:t>
            </w:r>
          </w:p>
        </w:tc>
      </w:tr>
      <w:tr>
        <w:tc>
          <w:tcPr>
            <w:shd w:color="EEF2F7" w:val="solid"/>
            <w:vAlign w:val="center"/>
          </w:tcPr>
          <w:p>
            <w:r>
              <w:rPr>
                <w:rFonts w:ascii="Times New Roman" w:cs="Times New Roman" w:eastAsia="Times New Roman" w:hAnsi="Times New Roman"/>
                <w:color w:val="1F2937"/>
                <w:sz w:val="20"/>
                <w:szCs w:val="20"/>
              </w:rPr>
              <w:t xml:space="preserve">2 — Montée en charge</w:t>
            </w:r>
          </w:p>
        </w:tc>
        <w:tc>
          <w:tcPr>
            <w:shd w:color="EEF2F7" w:val="solid"/>
            <w:vAlign w:val="center"/>
          </w:tcPr>
          <w:p>
            <w:r>
              <w:rPr>
                <w:rFonts w:ascii="Times New Roman" w:cs="Times New Roman" w:eastAsia="Times New Roman" w:hAnsi="Times New Roman"/>
                <w:color w:val="1F2937"/>
                <w:sz w:val="20"/>
                <w:szCs w:val="20"/>
              </w:rPr>
              <w:t xml:space="preserve">Revenus croissants, maintenance légère</w:t>
            </w:r>
          </w:p>
        </w:tc>
        <w:tc>
          <w:tcPr>
            <w:shd w:color="EEF2F7" w:val="solid"/>
            <w:vAlign w:val="center"/>
          </w:tcPr>
          <w:p>
            <w:r>
              <w:rPr>
                <w:rFonts w:ascii="Times New Roman" w:cs="Times New Roman" w:eastAsia="Times New Roman" w:hAnsi="Times New Roman"/>
                <w:color w:val="1F2937"/>
                <w:sz w:val="20"/>
                <w:szCs w:val="20"/>
              </w:rPr>
              <w:t xml:space="preserve">Premiers clients récurrents</w:t>
            </w:r>
          </w:p>
        </w:tc>
      </w:tr>
      <w:tr>
        <w:tc>
          <w:tcPr>
            <w:shd w:color="FFFFFF" w:val="solid"/>
            <w:vAlign w:val="center"/>
          </w:tcPr>
          <w:p>
            <w:r>
              <w:rPr>
                <w:rFonts w:ascii="Times New Roman" w:cs="Times New Roman" w:eastAsia="Times New Roman" w:hAnsi="Times New Roman"/>
                <w:color w:val="1F2937"/>
                <w:sz w:val="20"/>
                <w:szCs w:val="20"/>
              </w:rPr>
              <w:t xml:space="preserve">3 — Plateau</w:t>
            </w:r>
          </w:p>
        </w:tc>
        <w:tc>
          <w:tcPr>
            <w:shd w:color="FFFFFF" w:val="solid"/>
            <w:vAlign w:val="center"/>
          </w:tcPr>
          <w:p>
            <w:r>
              <w:rPr>
                <w:rFonts w:ascii="Times New Roman" w:cs="Times New Roman" w:eastAsia="Times New Roman" w:hAnsi="Times New Roman"/>
                <w:color w:val="1F2937"/>
                <w:sz w:val="20"/>
                <w:szCs w:val="20"/>
              </w:rPr>
              <w:t xml:space="preserve">Revenus stables, maintenance régulière</w:t>
            </w:r>
          </w:p>
        </w:tc>
        <w:tc>
          <w:tcPr>
            <w:shd w:color="FFFFFF" w:val="solid"/>
            <w:vAlign w:val="center"/>
          </w:tcPr>
          <w:p>
            <w:r>
              <w:rPr>
                <w:rFonts w:ascii="Times New Roman" w:cs="Times New Roman" w:eastAsia="Times New Roman" w:hAnsi="Times New Roman"/>
                <w:color w:val="1F2937"/>
                <w:sz w:val="20"/>
                <w:szCs w:val="20"/>
              </w:rPr>
              <w:t xml:space="preserve">Churn compensé par nouveaux entrants</w:t>
            </w:r>
          </w:p>
        </w:tc>
      </w:tr>
      <w:tr>
        <w:tc>
          <w:tcPr>
            <w:shd w:color="EEF2F7" w:val="solid"/>
            <w:vAlign w:val="center"/>
          </w:tcPr>
          <w:p>
            <w:r>
              <w:rPr>
                <w:rFonts w:ascii="Times New Roman" w:cs="Times New Roman" w:eastAsia="Times New Roman" w:hAnsi="Times New Roman"/>
                <w:color w:val="1F2937"/>
                <w:sz w:val="20"/>
                <w:szCs w:val="20"/>
              </w:rPr>
              <w:t xml:space="preserve">4 — Déclin</w:t>
            </w:r>
          </w:p>
        </w:tc>
        <w:tc>
          <w:tcPr>
            <w:shd w:color="EEF2F7" w:val="solid"/>
            <w:vAlign w:val="center"/>
          </w:tcPr>
          <w:p>
            <w:r>
              <w:rPr>
                <w:rFonts w:ascii="Times New Roman" w:cs="Times New Roman" w:eastAsia="Times New Roman" w:hAnsi="Times New Roman"/>
                <w:color w:val="1F2937"/>
                <w:sz w:val="20"/>
                <w:szCs w:val="20"/>
              </w:rPr>
              <w:t xml:space="preserve">Revenus en baisse, maintenance pesante</w:t>
            </w:r>
          </w:p>
        </w:tc>
        <w:tc>
          <w:tcPr>
            <w:shd w:color="EEF2F7" w:val="solid"/>
            <w:vAlign w:val="center"/>
          </w:tcPr>
          <w:p>
            <w:r>
              <w:rPr>
                <w:rFonts w:ascii="Times New Roman" w:cs="Times New Roman" w:eastAsia="Times New Roman" w:hAnsi="Times New Roman"/>
                <w:color w:val="1F2937"/>
                <w:sz w:val="20"/>
                <w:szCs w:val="20"/>
              </w:rPr>
              <w:t xml:space="preserve">Taux de churn &gt; taux d'acquisition</w:t>
            </w:r>
          </w:p>
        </w:tc>
      </w:tr>
      <w:tr>
        <w:tc>
          <w:tcPr>
            <w:shd w:color="FFFFFF" w:val="solid"/>
            <w:vAlign w:val="center"/>
          </w:tcPr>
          <w:p>
            <w:r>
              <w:rPr>
                <w:rFonts w:ascii="Times New Roman" w:cs="Times New Roman" w:eastAsia="Times New Roman" w:hAnsi="Times New Roman"/>
                <w:color w:val="1F2937"/>
                <w:sz w:val="20"/>
                <w:szCs w:val="20"/>
              </w:rPr>
              <w:t xml:space="preserve">5 — Sortie / pivot</w:t>
            </w:r>
          </w:p>
        </w:tc>
        <w:tc>
          <w:tcPr>
            <w:shd w:color="FFFFFF" w:val="solid"/>
            <w:vAlign w:val="center"/>
          </w:tcPr>
          <w:p>
            <w:r>
              <w:rPr>
                <w:rFonts w:ascii="Times New Roman" w:cs="Times New Roman" w:eastAsia="Times New Roman" w:hAnsi="Times New Roman"/>
                <w:color w:val="1F2937"/>
                <w:sz w:val="20"/>
                <w:szCs w:val="20"/>
              </w:rPr>
              <w:t xml:space="preserve">Revenus trop faibles pour justifier l'effort</w:t>
            </w:r>
          </w:p>
        </w:tc>
        <w:tc>
          <w:tcPr>
            <w:shd w:color="FFFFFF" w:val="solid"/>
            <w:vAlign w:val="center"/>
          </w:tcPr>
          <w:p>
            <w:r>
              <w:rPr>
                <w:rFonts w:ascii="Times New Roman" w:cs="Times New Roman" w:eastAsia="Times New Roman" w:hAnsi="Times New Roman"/>
                <w:color w:val="1F2937"/>
                <w:sz w:val="20"/>
                <w:szCs w:val="20"/>
              </w:rPr>
              <w:t xml:space="preserve">Bascule vers un autre modèle ou cession</w:t>
            </w:r>
          </w:p>
        </w:tc>
      </w:tr>
    </w:tbl>
    <w:p>
      <w:pPr>
        <w:spacing w:after="80"/>
      </w:pPr>
      <w:r>
        <w:t xml:space="preserve"/>
      </w:r>
    </w:p>
    <w:p>
      <w:pPr>
        <w:spacing w:after="120"/>
      </w:pPr>
      <w:r>
        <w:rPr>
          <w:rFonts w:ascii="Times New Roman" w:cs="Times New Roman" w:eastAsia="Times New Roman" w:hAnsi="Times New Roman"/>
          <w:color w:val="1F2937"/>
          <w:sz w:val="22"/>
          <w:szCs w:val="22"/>
        </w:rPr>
        <w:t xml:space="preserve">La durée de ce cycle dépend d'une variable centrale : la profondeur du fossé concurrentiel (le "moat"). Un ebook généraliste n'a pas de moat — cycle de 6 à 18 mois avant saturation. Un micro-SaaS sur une niche très spécifique avec des données propriétaires peut tenir des années.</w:t>
      </w:r>
      <w:r>
        <w:rPr>
          <w:i/>
          <w:color w:val="808080"/>
        </w:rPr>
        <w:t xml:space="preserve"> [Précisé le 27/09/2026 : les deux durées de cycle données ici, 6 à 18 mois puis plusieurs années, sont des ordres de grandeur non sourcés, pas des données mesurées.]</w:t>
      </w:r>
    </w:p>
    <w:p>
      <w:pPr>
        <w:pStyle w:val="Heading3"/>
        <w:spacing w:after="80" w:before="240"/>
      </w:pPr>
      <w:r>
        <w:rPr>
          <w:rFonts w:ascii="Times New Roman" w:cs="Times New Roman" w:eastAsia="Times New Roman" w:hAnsi="Times New Roman"/>
          <w:b/>
          <w:bCs/>
          <w:color w:val="1F2937"/>
          <w:sz w:val="26"/>
          <w:szCs w:val="26"/>
        </w:rPr>
        <w:t xml:space="preserve">2. Les mécanismes de déclin par famille de modèles</w:t>
      </w:r>
    </w:p>
    <w:p>
      <w:pPr>
        <w:spacing w:after="120"/>
      </w:pPr>
      <w:r>
        <w:rPr>
          <w:rFonts w:ascii="Times New Roman" w:cs="Times New Roman" w:eastAsia="Times New Roman" w:hAnsi="Times New Roman"/>
          <w:color w:val="1F2937"/>
          <w:sz w:val="22"/>
          <w:szCs w:val="22"/>
        </w:rPr>
        <w:t xml:space="preserve">Chaque famille de modèles a ses propres vecteurs d'usure. Les connaître permet d'anticiper, pas seulement de réagir.</w:t>
      </w:r>
    </w:p>
    <w:p>
      <w:pPr>
        <w:spacing w:after="80"/>
      </w:pPr>
      <w: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shd w:color="1B3A6B" w:val="solid"/>
            <w:vAlign w:val="center"/>
          </w:tcPr>
          <w:p>
            <w:pPr>
              <w:jc w:val="center"/>
            </w:pPr>
            <w:r>
              <w:rPr>
                <w:rFonts w:ascii="Times New Roman" w:cs="Times New Roman" w:eastAsia="Times New Roman" w:hAnsi="Times New Roman"/>
                <w:b/>
                <w:bCs/>
                <w:color w:val="FFFFFF"/>
                <w:sz w:val="20"/>
                <w:szCs w:val="20"/>
              </w:rPr>
              <w:t xml:space="preserve">Modèle</w:t>
            </w:r>
          </w:p>
        </w:tc>
        <w:tc>
          <w:tcPr>
            <w:shd w:color="1B3A6B" w:val="solid"/>
            <w:vAlign w:val="center"/>
          </w:tcPr>
          <w:p>
            <w:pPr>
              <w:jc w:val="center"/>
            </w:pPr>
            <w:r>
              <w:rPr>
                <w:rFonts w:ascii="Times New Roman" w:cs="Times New Roman" w:eastAsia="Times New Roman" w:hAnsi="Times New Roman"/>
                <w:b/>
                <w:bCs/>
                <w:color w:val="FFFFFF"/>
                <w:sz w:val="20"/>
                <w:szCs w:val="20"/>
              </w:rPr>
              <w:t xml:space="preserve">Mécanisme de déclin principal</w:t>
            </w:r>
          </w:p>
        </w:tc>
        <w:tc>
          <w:tcPr>
            <w:shd w:color="1B3A6B" w:val="solid"/>
            <w:vAlign w:val="center"/>
          </w:tcPr>
          <w:p>
            <w:pPr>
              <w:jc w:val="center"/>
            </w:pPr>
            <w:r>
              <w:rPr>
                <w:rFonts w:ascii="Times New Roman" w:cs="Times New Roman" w:eastAsia="Times New Roman" w:hAnsi="Times New Roman"/>
                <w:b/>
                <w:bCs/>
                <w:color w:val="FFFFFF"/>
                <w:sz w:val="20"/>
                <w:szCs w:val="20"/>
              </w:rPr>
              <w:t xml:space="preserve">Mécanisme secondaire</w:t>
            </w:r>
          </w:p>
        </w:tc>
      </w:tr>
      <w:tr>
        <w:tc>
          <w:tcPr>
            <w:shd w:color="FFFFFF" w:val="solid"/>
            <w:vAlign w:val="center"/>
          </w:tcPr>
          <w:p>
            <w:r>
              <w:rPr>
                <w:rFonts w:ascii="Times New Roman" w:cs="Times New Roman" w:eastAsia="Times New Roman" w:hAnsi="Times New Roman"/>
                <w:color w:val="1F2937"/>
                <w:sz w:val="20"/>
                <w:szCs w:val="20"/>
              </w:rPr>
              <w:t xml:space="preserve">Produits numériques (ebooks, templates)</w:t>
            </w:r>
          </w:p>
        </w:tc>
        <w:tc>
          <w:tcPr>
            <w:shd w:color="FFFFFF" w:val="solid"/>
            <w:vAlign w:val="center"/>
          </w:tcPr>
          <w:p>
            <w:r>
              <w:rPr>
                <w:rFonts w:ascii="Times New Roman" w:cs="Times New Roman" w:eastAsia="Times New Roman" w:hAnsi="Times New Roman"/>
                <w:color w:val="1F2937"/>
                <w:sz w:val="20"/>
                <w:szCs w:val="20"/>
              </w:rPr>
              <w:t xml:space="preserve">Obsolescence du contenu, saturation du marché</w:t>
            </w:r>
          </w:p>
        </w:tc>
        <w:tc>
          <w:tcPr>
            <w:shd w:color="FFFFFF" w:val="solid"/>
            <w:vAlign w:val="center"/>
          </w:tcPr>
          <w:p>
            <w:r>
              <w:rPr>
                <w:rFonts w:ascii="Times New Roman" w:cs="Times New Roman" w:eastAsia="Times New Roman" w:hAnsi="Times New Roman"/>
                <w:color w:val="1F2937"/>
                <w:sz w:val="20"/>
                <w:szCs w:val="20"/>
              </w:rPr>
              <w:t xml:space="preserve">Concurrent gratuit, IA générative</w:t>
            </w:r>
          </w:p>
        </w:tc>
      </w:tr>
      <w:tr>
        <w:tc>
          <w:tcPr>
            <w:shd w:color="EEF2F7" w:val="solid"/>
            <w:vAlign w:val="center"/>
          </w:tcPr>
          <w:p>
            <w:r>
              <w:rPr>
                <w:rFonts w:ascii="Times New Roman" w:cs="Times New Roman" w:eastAsia="Times New Roman" w:hAnsi="Times New Roman"/>
                <w:color w:val="1F2937"/>
                <w:sz w:val="20"/>
                <w:szCs w:val="20"/>
              </w:rPr>
              <w:t xml:space="preserve">Affiliation / contenu SEO</w:t>
            </w:r>
          </w:p>
        </w:tc>
        <w:tc>
          <w:tcPr>
            <w:shd w:color="EEF2F7" w:val="solid"/>
            <w:vAlign w:val="center"/>
          </w:tcPr>
          <w:p>
            <w:r>
              <w:rPr>
                <w:rFonts w:ascii="Times New Roman" w:cs="Times New Roman" w:eastAsia="Times New Roman" w:hAnsi="Times New Roman"/>
                <w:color w:val="1F2937"/>
                <w:sz w:val="20"/>
                <w:szCs w:val="20"/>
              </w:rPr>
              <w:t xml:space="preserve">Mises à jour algorithmes Google, AI Overviews</w:t>
            </w:r>
          </w:p>
        </w:tc>
        <w:tc>
          <w:tcPr>
            <w:shd w:color="EEF2F7" w:val="solid"/>
            <w:vAlign w:val="center"/>
          </w:tcPr>
          <w:p>
            <w:r>
              <w:rPr>
                <w:rFonts w:ascii="Times New Roman" w:cs="Times New Roman" w:eastAsia="Times New Roman" w:hAnsi="Times New Roman"/>
                <w:color w:val="1F2937"/>
                <w:sz w:val="20"/>
                <w:szCs w:val="20"/>
              </w:rPr>
              <w:t xml:space="preserve">Modification des conditions du programme partenaire</w:t>
            </w:r>
          </w:p>
        </w:tc>
      </w:tr>
      <w:tr>
        <w:tc>
          <w:tcPr>
            <w:shd w:color="FFFFFF" w:val="solid"/>
            <w:vAlign w:val="center"/>
          </w:tcPr>
          <w:p>
            <w:r>
              <w:rPr>
                <w:rFonts w:ascii="Times New Roman" w:cs="Times New Roman" w:eastAsia="Times New Roman" w:hAnsi="Times New Roman"/>
                <w:color w:val="1F2937"/>
                <w:sz w:val="20"/>
                <w:szCs w:val="20"/>
              </w:rPr>
              <w:t xml:space="preserve">Micro-SaaS</w:t>
            </w:r>
          </w:p>
        </w:tc>
        <w:tc>
          <w:tcPr>
            <w:shd w:color="FFFFFF" w:val="solid"/>
            <w:vAlign w:val="center"/>
          </w:tcPr>
          <w:p>
            <w:r>
              <w:rPr>
                <w:rFonts w:ascii="Times New Roman" w:cs="Times New Roman" w:eastAsia="Times New Roman" w:hAnsi="Times New Roman"/>
                <w:color w:val="1F2937"/>
                <w:sz w:val="20"/>
                <w:szCs w:val="20"/>
              </w:rPr>
              <w:t xml:space="preserve">Commoditisation de la fonctionnalité, churn cumulatif</w:t>
            </w:r>
          </w:p>
        </w:tc>
        <w:tc>
          <w:tcPr>
            <w:shd w:color="FFFFFF" w:val="solid"/>
            <w:vAlign w:val="center"/>
          </w:tcPr>
          <w:p>
            <w:r>
              <w:rPr>
                <w:rFonts w:ascii="Times New Roman" w:cs="Times New Roman" w:eastAsia="Times New Roman" w:hAnsi="Times New Roman"/>
                <w:color w:val="1F2937"/>
                <w:sz w:val="20"/>
                <w:szCs w:val="20"/>
              </w:rPr>
              <w:t xml:space="preserve">Copie par acteur majeur, plateforme mère modifie l'API</w:t>
            </w:r>
          </w:p>
        </w:tc>
      </w:tr>
      <w:tr>
        <w:tc>
          <w:tcPr>
            <w:shd w:color="EEF2F7" w:val="solid"/>
            <w:vAlign w:val="center"/>
          </w:tcPr>
          <w:p>
            <w:r>
              <w:rPr>
                <w:rFonts w:ascii="Times New Roman" w:cs="Times New Roman" w:eastAsia="Times New Roman" w:hAnsi="Times New Roman"/>
                <w:color w:val="1F2937"/>
                <w:sz w:val="20"/>
                <w:szCs w:val="20"/>
              </w:rPr>
              <w:t xml:space="preserve">ETF distribuants / dividendes</w:t>
            </w:r>
          </w:p>
        </w:tc>
        <w:tc>
          <w:tcPr>
            <w:shd w:color="EEF2F7" w:val="solid"/>
            <w:vAlign w:val="center"/>
          </w:tcPr>
          <w:p>
            <w:r>
              <w:rPr>
                <w:rFonts w:ascii="Times New Roman" w:cs="Times New Roman" w:eastAsia="Times New Roman" w:hAnsi="Times New Roman"/>
                <w:color w:val="1F2937"/>
                <w:sz w:val="20"/>
                <w:szCs w:val="20"/>
              </w:rPr>
              <w:t xml:space="preserve">Cycles de marché, réduction ou suppression du dividende</w:t>
            </w:r>
          </w:p>
        </w:tc>
        <w:tc>
          <w:tcPr>
            <w:shd w:color="EEF2F7" w:val="solid"/>
            <w:vAlign w:val="center"/>
          </w:tcPr>
          <w:p>
            <w:r>
              <w:rPr>
                <w:rFonts w:ascii="Times New Roman" w:cs="Times New Roman" w:eastAsia="Times New Roman" w:hAnsi="Times New Roman"/>
                <w:color w:val="1F2937"/>
                <w:sz w:val="20"/>
                <w:szCs w:val="20"/>
              </w:rPr>
              <w:t xml:space="preserve">Changement de la fiscalité du capital</w:t>
            </w:r>
          </w:p>
        </w:tc>
      </w:tr>
      <w:tr>
        <w:tc>
          <w:tcPr>
            <w:shd w:color="FFFFFF" w:val="solid"/>
            <w:vAlign w:val="center"/>
          </w:tcPr>
          <w:p>
            <w:r>
              <w:rPr>
                <w:rFonts w:ascii="Times New Roman" w:cs="Times New Roman" w:eastAsia="Times New Roman" w:hAnsi="Times New Roman"/>
                <w:color w:val="1F2937"/>
                <w:sz w:val="20"/>
                <w:szCs w:val="20"/>
              </w:rPr>
              <w:t xml:space="preserve">SCPI / immobilier locatif</w:t>
            </w:r>
          </w:p>
        </w:tc>
        <w:tc>
          <w:tcPr>
            <w:shd w:color="FFFFFF" w:val="solid"/>
            <w:vAlign w:val="center"/>
          </w:tcPr>
          <w:p>
            <w:r>
              <w:rPr>
                <w:rFonts w:ascii="Times New Roman" w:cs="Times New Roman" w:eastAsia="Times New Roman" w:hAnsi="Times New Roman"/>
                <w:color w:val="1F2937"/>
                <w:sz w:val="20"/>
                <w:szCs w:val="20"/>
              </w:rPr>
              <w:t xml:space="preserve">Baisse du taux de distribution, vacance locative</w:t>
            </w:r>
          </w:p>
        </w:tc>
        <w:tc>
          <w:tcPr>
            <w:shd w:color="FFFFFF" w:val="solid"/>
            <w:vAlign w:val="center"/>
          </w:tcPr>
          <w:p>
            <w:r>
              <w:rPr>
                <w:rFonts w:ascii="Times New Roman" w:cs="Times New Roman" w:eastAsia="Times New Roman" w:hAnsi="Times New Roman"/>
                <w:color w:val="1F2937"/>
                <w:sz w:val="20"/>
                <w:szCs w:val="20"/>
              </w:rPr>
              <w:t xml:space="preserve">Réforme fiscale, DPE, contraintes travaux</w:t>
            </w:r>
          </w:p>
        </w:tc>
      </w:tr>
      <w:tr>
        <w:tc>
          <w:tcPr>
            <w:shd w:color="EEF2F7" w:val="solid"/>
            <w:vAlign w:val="center"/>
          </w:tcPr>
          <w:p>
            <w:r>
              <w:rPr>
                <w:rFonts w:ascii="Times New Roman" w:cs="Times New Roman" w:eastAsia="Times New Roman" w:hAnsi="Times New Roman"/>
                <w:color w:val="1F2937"/>
                <w:sz w:val="20"/>
                <w:szCs w:val="20"/>
              </w:rPr>
              <w:t xml:space="preserve">Agents IA / automatisations</w:t>
            </w:r>
          </w:p>
        </w:tc>
        <w:tc>
          <w:tcPr>
            <w:shd w:color="EEF2F7" w:val="solid"/>
            <w:vAlign w:val="center"/>
          </w:tcPr>
          <w:p>
            <w:r>
              <w:rPr>
                <w:rFonts w:ascii="Times New Roman" w:cs="Times New Roman" w:eastAsia="Times New Roman" w:hAnsi="Times New Roman"/>
                <w:color w:val="1F2937"/>
                <w:sz w:val="20"/>
                <w:szCs w:val="20"/>
              </w:rPr>
              <w:t xml:space="preserve">Évolution rapide des modèles IA, dépendance API</w:t>
            </w:r>
          </w:p>
        </w:tc>
        <w:tc>
          <w:tcPr>
            <w:shd w:color="EEF2F7" w:val="solid"/>
            <w:vAlign w:val="center"/>
          </w:tcPr>
          <w:p>
            <w:r>
              <w:rPr>
                <w:rFonts w:ascii="Times New Roman" w:cs="Times New Roman" w:eastAsia="Times New Roman" w:hAnsi="Times New Roman"/>
                <w:color w:val="1F2937"/>
                <w:sz w:val="20"/>
                <w:szCs w:val="20"/>
              </w:rPr>
              <w:t xml:space="preserve">Fournisseur IA modifie la tarification ou l'accès</w:t>
            </w:r>
          </w:p>
        </w:tc>
      </w:tr>
    </w:tbl>
    <w:p>
      <w:pPr>
        <w:spacing w:after="80"/>
      </w:pPr>
      <w:r>
        <w:t xml:space="preserve"/>
      </w:r>
    </w:p>
    <w:p>
      <w:pPr>
        <w:pStyle w:val="Heading3"/>
        <w:spacing w:after="80" w:before="240"/>
      </w:pPr>
      <w:r>
        <w:rPr>
          <w:rFonts w:ascii="Times New Roman" w:cs="Times New Roman" w:eastAsia="Times New Roman" w:hAnsi="Times New Roman"/>
          <w:b/>
          <w:bCs/>
          <w:color w:val="1F2937"/>
          <w:sz w:val="26"/>
          <w:szCs w:val="26"/>
        </w:rPr>
        <w:t xml:space="preserve">3. La concentration des sources : le risque n°1</w:t>
      </w:r>
    </w:p>
    <w:p>
      <w:pPr>
        <w:spacing w:after="120"/>
      </w:pPr>
      <w:r>
        <w:rPr>
          <w:rFonts w:ascii="Times New Roman" w:cs="Times New Roman" w:eastAsia="Times New Roman" w:hAnsi="Times New Roman"/>
          <w:color w:val="1F2937"/>
          <w:sz w:val="22"/>
          <w:szCs w:val="22"/>
        </w:rPr>
        <w:t xml:space="preserve">Un modèle qui dépend d'une seule source de trafic, d'un seul client, d'une seule plateforme de distribution ou d'un seul fournisseur est structurellement fragile, quel que soit son niveau de revenu actuel.</w:t>
      </w:r>
    </w:p>
    <w:p>
      <w:pPr>
        <w:pBdr>
          <w:left w:val="thick" w:color="1B3A6B" w:sz="12"/>
        </w:pBdr>
        <w:shd w:color="EEF2F7" w:val="solid"/>
        <w:spacing w:after="100" w:before="100"/>
        <w:ind w:left="240" w:right="240"/>
      </w:pPr>
      <w:r>
        <w:rPr>
          <w:rFonts w:ascii="Times New Roman" w:cs="Times New Roman" w:eastAsia="Times New Roman" w:hAnsi="Times New Roman"/>
          <w:i/>
          <w:iCs/>
          <w:color w:val="1F2937"/>
          <w:sz w:val="22"/>
          <w:szCs w:val="22"/>
        </w:rPr>
        <w:t xml:space="preserve">La communauté IndieHackers (2026) documente un consensus : il n'existe pas de revenu vraiment passif sur le long terme — la maintenance, l'adaptation et la vigilance sont permanentes. (Synthèse, non citation directe.)</w:t>
      </w:r>
    </w:p>
    <w:p>
      <w:pPr>
        <w:pBdr>
          <w:left w:val="thick" w:color="1B3A6B" w:sz="12"/>
        </w:pBdr>
        <w:shd w:color="EEF2F7" w:val="solid"/>
        <w:spacing w:after="100" w:before="100"/>
        <w:ind w:left="240" w:right="240"/>
      </w:pPr>
      <w:r>
        <w:rPr>
          <w:rFonts w:ascii="Times New Roman" w:cs="Times New Roman" w:eastAsia="Times New Roman" w:hAnsi="Times New Roman"/>
          <w:i/>
          <w:iCs/>
          <w:color w:val="1F2937"/>
          <w:sz w:val="22"/>
          <w:szCs w:val="22"/>
        </w:rPr>
        <w:t xml:space="preserve"/>
      </w:r>
    </w:p>
    <w:p>
      <w:pPr>
        <w:pBdr>
          <w:left w:val="thick" w:color="1B3A6B" w:sz="12"/>
        </w:pBdr>
        <w:shd w:color="EEF2F7" w:val="solid"/>
        <w:spacing w:after="100" w:before="100"/>
        <w:ind w:left="240" w:right="240"/>
      </w:pPr>
      <w:r>
        <w:rPr>
          <w:rFonts w:ascii="Times New Roman" w:cs="Times New Roman" w:eastAsia="Times New Roman" w:hAnsi="Times New Roman"/>
          <w:i/>
          <w:iCs/>
          <w:color w:val="1F2937"/>
          <w:sz w:val="22"/>
          <w:szCs w:val="22"/>
        </w:rPr>
        <w:t xml:space="preserve">Ce que les créateurs qui durent ont en commun : ils ont diversifié leurs sources d'acquisition avant d'en avoir besoin.</w:t>
      </w:r>
    </w:p>
    <w:p>
      <w:pPr>
        <w:spacing w:after="80"/>
      </w:pPr>
      <w:r>
        <w:t xml:space="preserve"/>
      </w:r>
    </w:p>
    <w:p>
      <w:pPr>
        <w:pStyle w:val="Heading3"/>
        <w:spacing w:after="80" w:before="240"/>
      </w:pPr>
      <w:r>
        <w:rPr>
          <w:rFonts w:ascii="Times New Roman" w:cs="Times New Roman" w:eastAsia="Times New Roman" w:hAnsi="Times New Roman"/>
          <w:b/>
          <w:bCs/>
          <w:color w:val="1F2937"/>
          <w:sz w:val="26"/>
          <w:szCs w:val="26"/>
        </w:rPr>
        <w:t xml:space="preserve">4. Les données disponibles sur la durabilité micro-SaaS</w:t>
      </w:r>
    </w:p>
    <w:p>
      <w:pPr>
        <w:spacing w:after="120"/>
      </w:pPr>
      <w:r>
        <w:rPr>
          <w:rFonts w:ascii="Times New Roman" w:cs="Times New Roman" w:eastAsia="Times New Roman" w:hAnsi="Times New Roman"/>
          <w:color w:val="1F2937"/>
          <w:sz w:val="22"/>
          <w:szCs w:val="22"/>
        </w:rPr>
        <w:t xml:space="preserve">Les données les plus documentées concernent le micro-SaaS. Voici celles que j'ai pu lire directement sur leurs pages sources lors de cette exécution.</w:t>
      </w:r>
    </w:p>
    <w:p>
      <w:pPr>
        <w:spacing w:after="80"/>
      </w:pPr>
      <w:r>
        <w:t xml:space="preserve"/>
      </w:r>
    </w:p>
    <w:p>
      <w:pPr>
        <w:pBdr>
          <w:left w:val="thick" w:color="D97706" w:sz="12"/>
        </w:pBdr>
        <w:shd w:color="FFF4E5" w:val="solid"/>
        <w:spacing w:after="100" w:before="100"/>
        <w:ind w:left="240" w:right="240"/>
      </w:pPr>
      <w:r>
        <w:rPr>
          <w:rFonts w:ascii="Times New Roman" w:cs="Times New Roman" w:eastAsia="Times New Roman" w:hAnsi="Times New Roman"/>
          <w:color w:val="1F2937"/>
          <w:sz w:val="22"/>
          <w:szCs w:val="22"/>
        </w:rPr>
        <w:t xml:space="preserve">⚠️ NOTE MÉTHODOLOGIQUE — Discordance entre deux sources :</w:t>
      </w:r>
    </w:p>
    <w:p>
      <w:pPr>
        <w:pBdr>
          <w:left w:val="thick" w:color="D97706" w:sz="12"/>
        </w:pBdr>
        <w:shd w:color="FFF4E5" w:val="solid"/>
        <w:spacing w:after="100" w:before="100"/>
        <w:ind w:left="240" w:right="240"/>
      </w:pPr>
      <w:r>
        <w:rPr>
          <w:rFonts w:ascii="Times New Roman" w:cs="Times New Roman" w:eastAsia="Times New Roman" w:hAnsi="Times New Roman"/>
          <w:color w:val="1F2937"/>
          <w:sz w:val="22"/>
          <w:szCs w:val="22"/>
        </w:rPr>
        <w:t xml:space="preserve"/>
      </w:r>
    </w:p>
    <w:p>
      <w:pPr>
        <w:pBdr>
          <w:left w:val="thick" w:color="D97706" w:sz="12"/>
        </w:pBdr>
        <w:shd w:color="FFF4E5" w:val="solid"/>
        <w:spacing w:after="100" w:before="100"/>
        <w:ind w:left="240" w:right="240"/>
      </w:pPr>
      <w:r>
        <w:rPr>
          <w:rFonts w:ascii="Times New Roman" w:cs="Times New Roman" w:eastAsia="Times New Roman" w:hAnsi="Times New Roman"/>
          <w:color w:val="1F2937"/>
          <w:sz w:val="22"/>
          <w:szCs w:val="22"/>
        </w:rPr>
        <w:t xml:space="preserve">• groundworkblog.com (Aziz Chaabane, 10 mai 2026) dit : « 70 % des produits micro-SaaS gagnent moins de 500 $/mois »</w:t>
      </w:r>
    </w:p>
    <w:p>
      <w:pPr>
        <w:pBdr>
          <w:left w:val="thick" w:color="D97706" w:sz="12"/>
        </w:pBdr>
        <w:shd w:color="FFF4E5" w:val="solid"/>
        <w:spacing w:after="100" w:before="100"/>
        <w:ind w:left="240" w:right="240"/>
      </w:pPr>
      <w:r>
        <w:rPr>
          <w:rFonts w:ascii="Times New Roman" w:cs="Times New Roman" w:eastAsia="Times New Roman" w:hAnsi="Times New Roman"/>
          <w:color w:val="1F2937"/>
          <w:sz w:val="22"/>
          <w:szCs w:val="22"/>
        </w:rPr>
        <w:t xml:space="preserve">• shno.co (2026) dit : « 70 % des fondateurs génèrent moins de 1 000 $/mois de MRR »</w:t>
      </w:r>
    </w:p>
    <w:p>
      <w:pPr>
        <w:pBdr>
          <w:left w:val="thick" w:color="D97706" w:sz="12"/>
        </w:pBdr>
        <w:shd w:color="FFF4E5" w:val="solid"/>
        <w:spacing w:after="100" w:before="100"/>
        <w:ind w:left="240" w:right="240"/>
      </w:pPr>
      <w:r>
        <w:rPr>
          <w:rFonts w:ascii="Times New Roman" w:cs="Times New Roman" w:eastAsia="Times New Roman" w:hAnsi="Times New Roman"/>
          <w:color w:val="1F2937"/>
          <w:sz w:val="22"/>
          <w:szCs w:val="22"/>
        </w:rPr>
        <w:t xml:space="preserve"/>
      </w:r>
    </w:p>
    <w:p>
      <w:pPr>
        <w:pBdr>
          <w:left w:val="thick" w:color="D97706" w:sz="12"/>
        </w:pBdr>
        <w:shd w:color="FFF4E5" w:val="solid"/>
        <w:spacing w:after="100" w:before="100"/>
        <w:ind w:left="240" w:right="240"/>
      </w:pPr>
      <w:r>
        <w:rPr>
          <w:rFonts w:ascii="Times New Roman" w:cs="Times New Roman" w:eastAsia="Times New Roman" w:hAnsi="Times New Roman"/>
          <w:color w:val="1F2937"/>
          <w:sz w:val="22"/>
          <w:szCs w:val="22"/>
        </w:rPr>
        <w:t xml:space="preserve">Les deux citent « l'analyse RockingWeb de 1 000+ produits » mais appliquent un seuil différent à la même proportion.</w:t>
      </w:r>
    </w:p>
    <w:p>
      <w:pPr>
        <w:pBdr>
          <w:left w:val="thick" w:color="D97706" w:sz="12"/>
        </w:pBdr>
        <w:shd w:color="FFF4E5" w:val="solid"/>
        <w:spacing w:after="100" w:before="100"/>
        <w:ind w:left="240" w:right="240"/>
      </w:pPr>
      <w:r>
        <w:rPr>
          <w:rFonts w:ascii="Times New Roman" w:cs="Times New Roman" w:eastAsia="Times New Roman" w:hAnsi="Times New Roman"/>
          <w:color w:val="1F2937"/>
          <w:sz w:val="22"/>
          <w:szCs w:val="22"/>
        </w:rPr>
        <w:t xml:space="preserve">La table ci-dessous utilise la distribution détaillée de groundworkblog.com, lue intégralement lors de cette exécution.</w:t>
      </w:r>
      <w:r>
        <w:rPr>
          <w:i/>
          <w:color w:val="808080"/>
        </w:rPr>
        <w:t xml:space="preserve"> [Précisé le 27/09/2026 : les quatre tranches totalisent 99 à 100 % et ne laissent que 0 à 1 % à la tranche 500 à 1 000 $/mois, qu'aucune ligne ne porte. Conséquence pour la note ci-dessus : les deux sources ne se contredisent pas — si cette tranche est quasi vide, environ 70 % des produits sont sous les DEUX seuils, et les deux énoncés décrivent la même distribution lue à deux bornes différentes. Ce qui reste à questionner n'est donc pas la discordance entre les sources, mais cette tranche presque vide dans la distribution source elle-même.]</w:t>
      </w:r>
    </w:p>
    <w:p>
      <w:pPr>
        <w:spacing w:after="80"/>
      </w:pPr>
      <w:r>
        <w:t xml:space="preserve"/>
      </w:r>
    </w:p>
    <w:p>
      <w:pPr>
        <w:spacing w:after="120"/>
      </w:pPr>
      <w:r>
        <w:rPr>
          <w:rFonts w:ascii="Times New Roman" w:cs="Times New Roman" w:eastAsia="Times New Roman" w:hAnsi="Times New Roman"/>
          <w:color w:val="1F2937"/>
          <w:sz w:val="22"/>
          <w:szCs w:val="22"/>
        </w:rPr>
        <w:t xml:space="preserve">Distribution des revenus de 1 000+ produits micro-SaaS (source : groundworkblog.com, mai 2026, citant l'analyse RockingWeb) :</w:t>
      </w:r>
    </w:p>
    <w:p>
      <w:pPr>
        <w:spacing w:after="80"/>
      </w:pPr>
      <w: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shd w:color="1B3A6B" w:val="solid"/>
            <w:vAlign w:val="center"/>
          </w:tcPr>
          <w:p>
            <w:pPr>
              <w:jc w:val="center"/>
            </w:pPr>
            <w:r>
              <w:rPr>
                <w:rFonts w:ascii="Times New Roman" w:cs="Times New Roman" w:eastAsia="Times New Roman" w:hAnsi="Times New Roman"/>
                <w:b/>
                <w:bCs/>
                <w:color w:val="FFFFFF"/>
                <w:sz w:val="20"/>
                <w:szCs w:val="20"/>
              </w:rPr>
              <w:t xml:space="preserve">Tranche de revenus mensuels</w:t>
            </w:r>
          </w:p>
        </w:tc>
        <w:tc>
          <w:tcPr>
            <w:shd w:color="1B3A6B" w:val="solid"/>
            <w:vAlign w:val="center"/>
          </w:tcPr>
          <w:p>
            <w:pPr>
              <w:jc w:val="center"/>
            </w:pPr>
            <w:r>
              <w:rPr>
                <w:rFonts w:ascii="Times New Roman" w:cs="Times New Roman" w:eastAsia="Times New Roman" w:hAnsi="Times New Roman"/>
                <w:b/>
                <w:bCs/>
                <w:color w:val="FFFFFF"/>
                <w:sz w:val="20"/>
                <w:szCs w:val="20"/>
              </w:rPr>
              <w:t xml:space="preserve">Part des produits</w:t>
            </w:r>
          </w:p>
        </w:tc>
        <w:tc>
          <w:tcPr>
            <w:shd w:color="1B3A6B" w:val="solid"/>
            <w:vAlign w:val="center"/>
          </w:tcPr>
          <w:p>
            <w:pPr>
              <w:jc w:val="center"/>
            </w:pPr>
            <w:r>
              <w:rPr>
                <w:rFonts w:ascii="Times New Roman" w:cs="Times New Roman" w:eastAsia="Times New Roman" w:hAnsi="Times New Roman"/>
                <w:b/>
                <w:bCs/>
                <w:color w:val="FFFFFF"/>
                <w:sz w:val="20"/>
                <w:szCs w:val="20"/>
              </w:rPr>
              <w:t xml:space="preserve">Label</w:t>
            </w:r>
          </w:p>
        </w:tc>
      </w:tr>
      <w:tr>
        <w:tc>
          <w:tcPr>
            <w:shd w:color="FFFFFF" w:val="solid"/>
            <w:vAlign w:val="center"/>
          </w:tcPr>
          <w:p>
            <w:r>
              <w:rPr>
                <w:rFonts w:ascii="Times New Roman" w:cs="Times New Roman" w:eastAsia="Times New Roman" w:hAnsi="Times New Roman"/>
                <w:color w:val="1F2937"/>
                <w:sz w:val="20"/>
                <w:szCs w:val="20"/>
              </w:rPr>
              <w:t xml:space="preserve">Moins de 500 $/mois</w:t>
            </w:r>
          </w:p>
        </w:tc>
        <w:tc>
          <w:tcPr>
            <w:shd w:color="FFFFFF" w:val="solid"/>
            <w:vAlign w:val="center"/>
          </w:tcPr>
          <w:p>
            <w:r>
              <w:rPr>
                <w:rFonts w:ascii="Times New Roman" w:cs="Times New Roman" w:eastAsia="Times New Roman" w:hAnsi="Times New Roman"/>
                <w:color w:val="1F2937"/>
                <w:sz w:val="20"/>
                <w:szCs w:val="20"/>
              </w:rPr>
              <w:t xml:space="preserve">70 %</w:t>
            </w:r>
          </w:p>
        </w:tc>
        <w:tc>
          <w:tcPr>
            <w:shd w:color="FFFFFF" w:val="solid"/>
            <w:vAlign w:val="center"/>
          </w:tcPr>
          <w:p>
            <w:r>
              <w:rPr>
                <w:rFonts w:ascii="Times New Roman" w:cs="Times New Roman" w:eastAsia="Times New Roman" w:hAnsi="Times New Roman"/>
                <w:color w:val="1F2937"/>
                <w:sz w:val="20"/>
                <w:szCs w:val="20"/>
              </w:rPr>
              <w:t xml:space="preserve">"Zone cimetière"</w:t>
            </w:r>
          </w:p>
        </w:tc>
      </w:tr>
      <w:tr>
        <w:tc>
          <w:tcPr>
            <w:shd w:color="EEF2F7" w:val="solid"/>
            <w:vAlign w:val="center"/>
          </w:tcPr>
          <w:p>
            <w:r>
              <w:rPr>
                <w:rFonts w:ascii="Times New Roman" w:cs="Times New Roman" w:eastAsia="Times New Roman" w:hAnsi="Times New Roman"/>
                <w:color w:val="1F2937"/>
                <w:sz w:val="20"/>
                <w:szCs w:val="20"/>
              </w:rPr>
              <w:t xml:space="preserve">1 000 $ à 5 000 $/mois</w:t>
            </w:r>
          </w:p>
        </w:tc>
        <w:tc>
          <w:tcPr>
            <w:shd w:color="EEF2F7" w:val="solid"/>
            <w:vAlign w:val="center"/>
          </w:tcPr>
          <w:p>
            <w:r>
              <w:rPr>
                <w:rFonts w:ascii="Times New Roman" w:cs="Times New Roman" w:eastAsia="Times New Roman" w:hAnsi="Times New Roman"/>
                <w:color w:val="1F2937"/>
                <w:sz w:val="20"/>
                <w:szCs w:val="20"/>
              </w:rPr>
              <w:t xml:space="preserve">18 %</w:t>
            </w:r>
          </w:p>
        </w:tc>
        <w:tc>
          <w:tcPr>
            <w:shd w:color="EEF2F7" w:val="solid"/>
            <w:vAlign w:val="center"/>
          </w:tcPr>
          <w:p>
            <w:r>
              <w:rPr>
                <w:rFonts w:ascii="Times New Roman" w:cs="Times New Roman" w:eastAsia="Times New Roman" w:hAnsi="Times New Roman"/>
                <w:color w:val="1F2937"/>
                <w:sz w:val="20"/>
                <w:szCs w:val="20"/>
              </w:rPr>
              <w:t xml:space="preserve">"Zone de durabilité"</w:t>
            </w:r>
          </w:p>
        </w:tc>
      </w:tr>
      <w:tr>
        <w:tc>
          <w:tcPr>
            <w:shd w:color="FFFFFF" w:val="solid"/>
            <w:vAlign w:val="center"/>
          </w:tcPr>
          <w:p>
            <w:r>
              <w:rPr>
                <w:rFonts w:ascii="Times New Roman" w:cs="Times New Roman" w:eastAsia="Times New Roman" w:hAnsi="Times New Roman"/>
                <w:color w:val="1F2937"/>
                <w:sz w:val="20"/>
                <w:szCs w:val="20"/>
              </w:rPr>
              <w:t xml:space="preserve">5 000 $ à 50 000 $/mois</w:t>
            </w:r>
          </w:p>
        </w:tc>
        <w:tc>
          <w:tcPr>
            <w:shd w:color="FFFFFF" w:val="solid"/>
            <w:vAlign w:val="center"/>
          </w:tcPr>
          <w:p>
            <w:r>
              <w:rPr>
                <w:rFonts w:ascii="Times New Roman" w:cs="Times New Roman" w:eastAsia="Times New Roman" w:hAnsi="Times New Roman"/>
                <w:color w:val="1F2937"/>
                <w:sz w:val="20"/>
                <w:szCs w:val="20"/>
              </w:rPr>
              <w:t xml:space="preserve">10 %</w:t>
            </w:r>
          </w:p>
        </w:tc>
        <w:tc>
          <w:tcPr>
            <w:shd w:color="FFFFFF" w:val="solid"/>
            <w:vAlign w:val="center"/>
          </w:tcPr>
          <w:p>
            <w:r>
              <w:rPr>
                <w:rFonts w:ascii="Times New Roman" w:cs="Times New Roman" w:eastAsia="Times New Roman" w:hAnsi="Times New Roman"/>
                <w:color w:val="1F2937"/>
                <w:sz w:val="20"/>
                <w:szCs w:val="20"/>
              </w:rPr>
              <w:t xml:space="preserve">"Vrai business"</w:t>
            </w:r>
          </w:p>
        </w:tc>
      </w:tr>
      <w:tr>
        <w:tc>
          <w:tcPr>
            <w:shd w:color="EEF2F7" w:val="solid"/>
            <w:vAlign w:val="center"/>
          </w:tcPr>
          <w:p>
            <w:r>
              <w:rPr>
                <w:rFonts w:ascii="Times New Roman" w:cs="Times New Roman" w:eastAsia="Times New Roman" w:hAnsi="Times New Roman"/>
                <w:color w:val="1F2937"/>
                <w:sz w:val="20"/>
                <w:szCs w:val="20"/>
              </w:rPr>
              <w:t xml:space="preserve">Au-dessus de 50 000 $/mois</w:t>
            </w:r>
          </w:p>
        </w:tc>
        <w:tc>
          <w:tcPr>
            <w:shd w:color="EEF2F7" w:val="solid"/>
            <w:vAlign w:val="center"/>
          </w:tcPr>
          <w:p>
            <w:r>
              <w:rPr>
                <w:rFonts w:ascii="Times New Roman" w:cs="Times New Roman" w:eastAsia="Times New Roman" w:hAnsi="Times New Roman"/>
                <w:color w:val="1F2937"/>
                <w:sz w:val="20"/>
                <w:szCs w:val="20"/>
              </w:rPr>
              <w:t xml:space="preserve">1 à 2 %</w:t>
            </w:r>
          </w:p>
        </w:tc>
        <w:tc>
          <w:tcPr>
            <w:shd w:color="EEF2F7" w:val="solid"/>
            <w:vAlign w:val="center"/>
          </w:tcPr>
          <w:p>
            <w:r>
              <w:rPr>
                <w:rFonts w:ascii="Times New Roman" w:cs="Times New Roman" w:eastAsia="Times New Roman" w:hAnsi="Times New Roman"/>
                <w:color w:val="1F2937"/>
                <w:sz w:val="20"/>
                <w:szCs w:val="20"/>
              </w:rPr>
              <w:t xml:space="preserve">"Les screenshots"</w:t>
            </w:r>
          </w:p>
        </w:tc>
      </w:tr>
    </w:tbl>
    <w:p>
      <w:pPr>
        <w:spacing w:after="80"/>
      </w:pPr>
      <w:r>
        <w:t xml:space="preserve"/>
      </w:r>
    </w:p>
    <w:p>
      <w:pPr>
        <w:pBdr>
          <w:left w:val="thick" w:color="1B3A6B" w:sz="12"/>
        </w:pBdr>
        <w:shd w:color="EEF2F7" w:val="solid"/>
        <w:spacing w:after="100" w:before="100"/>
        <w:ind w:left="240" w:right="240"/>
      </w:pPr>
      <w:r>
        <w:rPr>
          <w:rFonts w:ascii="Times New Roman" w:cs="Times New Roman" w:eastAsia="Times New Roman" w:hAnsi="Times New Roman"/>
          <w:i/>
          <w:iCs/>
          <w:color w:val="1F2937"/>
          <w:sz w:val="22"/>
          <w:szCs w:val="22"/>
        </w:rPr>
        <w:t xml:space="preserve">Médiane constatée : au plus 500 $/mois de MRR.</w:t>
      </w:r>
      <w:r>
        <w:rPr>
          <w:i/>
          <w:color w:val="808080"/>
        </w:rPr>
        <w:t xml:space="preserve"> [Corrigé le 27/09/2026 : la page source donne une médiane de 500 $/mois et, dans la même analyse, 70 % des produits sous 500 $/mois. Les deux ne peuvent pas être vraies ensemble : la médiane d'une population dont 70 % est sous un seuil est inférieure à ce seuil. Ce qui se retient est la borne, pas la valeur.]</w:t>
      </w:r>
    </w:p>
    <w:p>
      <w:pPr>
        <w:pBdr>
          <w:left w:val="thick" w:color="1B3A6B" w:sz="12"/>
        </w:pBdr>
        <w:shd w:color="EEF2F7" w:val="solid"/>
        <w:spacing w:after="100" w:before="100"/>
        <w:ind w:left="240" w:right="240"/>
      </w:pPr>
      <w:r>
        <w:rPr>
          <w:rFonts w:ascii="Times New Roman" w:cs="Times New Roman" w:eastAsia="Times New Roman" w:hAnsi="Times New Roman"/>
          <w:i/>
          <w:iCs/>
          <w:color w:val="1F2937"/>
          <w:sz w:val="22"/>
          <w:szCs w:val="22"/>
        </w:rPr>
        <w:t xml:space="preserve">Temps médian pour atteindre 1 000 $/mois de MRR : 12 à 18 mois.</w:t>
      </w:r>
    </w:p>
    <w:p>
      <w:pPr>
        <w:pBdr>
          <w:left w:val="thick" w:color="1B3A6B" w:sz="12"/>
        </w:pBdr>
        <w:shd w:color="EEF2F7" w:val="solid"/>
        <w:spacing w:after="100" w:before="100"/>
        <w:ind w:left="240" w:right="240"/>
      </w:pPr>
      <w:r>
        <w:rPr>
          <w:rFonts w:ascii="Times New Roman" w:cs="Times New Roman" w:eastAsia="Times New Roman" w:hAnsi="Times New Roman"/>
          <w:i/>
          <w:iCs/>
          <w:color w:val="1F2937"/>
          <w:sz w:val="22"/>
          <w:szCs w:val="22"/>
        </w:rPr>
        <w:t xml:space="preserve">95 % des micro-SaaS atteignent la rentabilité en an 1 — grâce à des coûts très bas.</w:t>
      </w:r>
    </w:p>
    <w:p>
      <w:pPr>
        <w:pBdr>
          <w:left w:val="thick" w:color="1B3A6B" w:sz="12"/>
        </w:pBdr>
        <w:shd w:color="EEF2F7" w:val="solid"/>
        <w:spacing w:after="100" w:before="100"/>
        <w:ind w:left="240" w:right="240"/>
      </w:pPr>
      <w:r>
        <w:rPr>
          <w:rFonts w:ascii="Times New Roman" w:cs="Times New Roman" w:eastAsia="Times New Roman" w:hAnsi="Times New Roman"/>
          <w:i/>
          <w:iCs/>
          <w:color w:val="1F2937"/>
          <w:sz w:val="22"/>
          <w:szCs w:val="22"/>
        </w:rPr>
        <w:t xml:space="preserve">(Source : groundworkblog.com, mai 2026, tableau "Where 1,000+ micro-SaaS products actually land")</w:t>
      </w:r>
    </w:p>
    <w:p>
      <w:pPr>
        <w:spacing w:after="80"/>
      </w:pPr>
      <w:r>
        <w:t xml:space="preserve"/>
      </w:r>
    </w:p>
    <w:p>
      <w:pPr>
        <w:spacing w:after="120"/>
      </w:pPr>
      <w:r>
        <w:rPr>
          <w:rFonts w:ascii="Times New Roman" w:cs="Times New Roman" w:eastAsia="Times New Roman" w:hAnsi="Times New Roman"/>
          <w:color w:val="1F2937"/>
          <w:sz w:val="22"/>
          <w:szCs w:val="22"/>
        </w:rPr>
        <w:t xml:space="preserve">Attention : 95 % atteignent la rentabilité en an 1 parce que les coûts sont quasi nuls — ne pas confondre avec "viabilité". La rentabilité à 100 $/mois de bénéfice n'est pas un modèle durable pour remplacer un salaire.</w:t>
      </w:r>
    </w:p>
    <w:p>
      <w:pPr>
        <w:pStyle w:val="Heading3"/>
        <w:spacing w:after="80" w:before="240"/>
      </w:pPr>
      <w:r>
        <w:rPr>
          <w:rFonts w:ascii="Times New Roman" w:cs="Times New Roman" w:eastAsia="Times New Roman" w:hAnsi="Times New Roman"/>
          <w:b/>
          <w:bCs/>
          <w:color w:val="1F2937"/>
          <w:sz w:val="26"/>
          <w:szCs w:val="26"/>
        </w:rPr>
        <w:t xml:space="preserve">5. Facteurs de durabilité : ce qui fait tenir un modèle</w:t>
      </w:r>
    </w:p>
    <w:p>
      <w:pPr>
        <w:spacing w:after="120"/>
      </w:pPr>
      <w:r>
        <w:rPr>
          <w:rFonts w:ascii="Times New Roman" w:cs="Times New Roman" w:eastAsia="Times New Roman" w:hAnsi="Times New Roman"/>
          <w:color w:val="1F2937"/>
          <w:sz w:val="22"/>
          <w:szCs w:val="22"/>
        </w:rPr>
        <w:t xml:space="preserve">Six facteurs déterminent si un modèle passif va tenir dans la durée ou décliner rapidement :</w:t>
      </w:r>
      <w:r>
        <w:rPr>
          <w:i/>
          <w:color w:val="808080"/>
        </w:rPr>
        <w:t xml:space="preserve"> [Précisé le 27/09/2026 : cette grille est une construction de cette leçon, pas un résultat publié. Les six facteurs, les seuils de ses deux dernières colonnes (3 %, 7 %, 2 h, 10 h, -80 %, 6 mois) et les trois bandes de lecture du score total de l'exercice 2 ne viennent d'aucune source : ce sont des repères de raisonnement, à recalibrer sur ses propres chiffres. Les seuls chiffres sourcés de cette leçon sont ceux de la section 4 et ceux de l'AMF.]</w:t>
      </w:r>
    </w:p>
    <w:p>
      <w:pPr>
        <w:spacing w:after="80"/>
      </w:pPr>
      <w: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shd w:color="1B3A6B" w:val="solid"/>
            <w:vAlign w:val="center"/>
          </w:tcPr>
          <w:p>
            <w:pPr>
              <w:jc w:val="center"/>
            </w:pPr>
            <w:r>
              <w:rPr>
                <w:rFonts w:ascii="Times New Roman" w:cs="Times New Roman" w:eastAsia="Times New Roman" w:hAnsi="Times New Roman"/>
                <w:b/>
                <w:bCs/>
                <w:color w:val="FFFFFF"/>
                <w:sz w:val="20"/>
                <w:szCs w:val="20"/>
              </w:rPr>
              <w:t xml:space="preserve">Facteur</w:t>
            </w:r>
          </w:p>
        </w:tc>
        <w:tc>
          <w:tcPr>
            <w:shd w:color="1B3A6B" w:val="solid"/>
            <w:vAlign w:val="center"/>
          </w:tcPr>
          <w:p>
            <w:pPr>
              <w:jc w:val="center"/>
            </w:pPr>
            <w:r>
              <w:rPr>
                <w:rFonts w:ascii="Times New Roman" w:cs="Times New Roman" w:eastAsia="Times New Roman" w:hAnsi="Times New Roman"/>
                <w:b/>
                <w:bCs/>
                <w:color w:val="FFFFFF"/>
                <w:sz w:val="20"/>
                <w:szCs w:val="20"/>
              </w:rPr>
              <w:t xml:space="preserve">Description</w:t>
            </w:r>
          </w:p>
        </w:tc>
        <w:tc>
          <w:tcPr>
            <w:shd w:color="1B3A6B" w:val="solid"/>
            <w:vAlign w:val="center"/>
          </w:tcPr>
          <w:p>
            <w:pPr>
              <w:jc w:val="center"/>
            </w:pPr>
            <w:r>
              <w:rPr>
                <w:rFonts w:ascii="Times New Roman" w:cs="Times New Roman" w:eastAsia="Times New Roman" w:hAnsi="Times New Roman"/>
                <w:b/>
                <w:bCs/>
                <w:color w:val="FFFFFF"/>
                <w:sz w:val="20"/>
                <w:szCs w:val="20"/>
              </w:rPr>
              <w:t xml:space="preserve">Durabilité si fort</w:t>
            </w:r>
          </w:p>
        </w:tc>
        <w:tc>
          <w:tcPr>
            <w:shd w:color="1B3A6B" w:val="solid"/>
            <w:vAlign w:val="center"/>
          </w:tcPr>
          <w:p>
            <w:pPr>
              <w:jc w:val="center"/>
            </w:pPr>
            <w:r>
              <w:rPr>
                <w:rFonts w:ascii="Times New Roman" w:cs="Times New Roman" w:eastAsia="Times New Roman" w:hAnsi="Times New Roman"/>
                <w:b/>
                <w:bCs/>
                <w:color w:val="FFFFFF"/>
                <w:sz w:val="20"/>
                <w:szCs w:val="20"/>
              </w:rPr>
              <w:t xml:space="preserve">Durabilité si faible</w:t>
            </w:r>
          </w:p>
        </w:tc>
      </w:tr>
      <w:tr>
        <w:tc>
          <w:tcPr>
            <w:shd w:color="FFFFFF" w:val="solid"/>
            <w:vAlign w:val="center"/>
          </w:tcPr>
          <w:p>
            <w:r>
              <w:rPr>
                <w:rFonts w:ascii="Times New Roman" w:cs="Times New Roman" w:eastAsia="Times New Roman" w:hAnsi="Times New Roman"/>
                <w:color w:val="1F2937"/>
                <w:sz w:val="20"/>
                <w:szCs w:val="20"/>
              </w:rPr>
              <w:t xml:space="preserve">Profondeur du moat</w:t>
            </w:r>
          </w:p>
        </w:tc>
        <w:tc>
          <w:tcPr>
            <w:shd w:color="FFFFFF" w:val="solid"/>
            <w:vAlign w:val="center"/>
          </w:tcPr>
          <w:p>
            <w:r>
              <w:rPr>
                <w:rFonts w:ascii="Times New Roman" w:cs="Times New Roman" w:eastAsia="Times New Roman" w:hAnsi="Times New Roman"/>
                <w:color w:val="1F2937"/>
                <w:sz w:val="20"/>
                <w:szCs w:val="20"/>
              </w:rPr>
              <w:t xml:space="preserve">Données propriétaires, réseau, marque, expertise difficile à copier</w:t>
            </w:r>
          </w:p>
        </w:tc>
        <w:tc>
          <w:tcPr>
            <w:shd w:color="FFFFFF" w:val="solid"/>
            <w:vAlign w:val="center"/>
          </w:tcPr>
          <w:p>
            <w:r>
              <w:rPr>
                <w:rFonts w:ascii="Times New Roman" w:cs="Times New Roman" w:eastAsia="Times New Roman" w:hAnsi="Times New Roman"/>
                <w:color w:val="1F2937"/>
                <w:sz w:val="20"/>
                <w:szCs w:val="20"/>
              </w:rPr>
              <w:t xml:space="preserve">Élevée</w:t>
            </w:r>
          </w:p>
        </w:tc>
        <w:tc>
          <w:tcPr>
            <w:shd w:color="FFFFFF" w:val="solid"/>
            <w:vAlign w:val="center"/>
          </w:tcPr>
          <w:p>
            <w:r>
              <w:rPr>
                <w:rFonts w:ascii="Times New Roman" w:cs="Times New Roman" w:eastAsia="Times New Roman" w:hAnsi="Times New Roman"/>
                <w:color w:val="1F2937"/>
                <w:sz w:val="20"/>
                <w:szCs w:val="20"/>
              </w:rPr>
              <w:t xml:space="preserve">Faible (copié en 6 mois)</w:t>
            </w:r>
          </w:p>
        </w:tc>
      </w:tr>
      <w:tr>
        <w:tc>
          <w:tcPr>
            <w:shd w:color="EEF2F7" w:val="solid"/>
            <w:vAlign w:val="center"/>
          </w:tcPr>
          <w:p>
            <w:r>
              <w:rPr>
                <w:rFonts w:ascii="Times New Roman" w:cs="Times New Roman" w:eastAsia="Times New Roman" w:hAnsi="Times New Roman"/>
                <w:color w:val="1F2937"/>
                <w:sz w:val="20"/>
                <w:szCs w:val="20"/>
              </w:rPr>
              <w:t xml:space="preserve">Diversité des sources d'acquisition</w:t>
            </w:r>
          </w:p>
        </w:tc>
        <w:tc>
          <w:tcPr>
            <w:shd w:color="EEF2F7" w:val="solid"/>
            <w:vAlign w:val="center"/>
          </w:tcPr>
          <w:p>
            <w:r>
              <w:rPr>
                <w:rFonts w:ascii="Times New Roman" w:cs="Times New Roman" w:eastAsia="Times New Roman" w:hAnsi="Times New Roman"/>
                <w:color w:val="1F2937"/>
                <w:sz w:val="20"/>
                <w:szCs w:val="20"/>
              </w:rPr>
              <w:t xml:space="preserve">SEO + direct + social + bouche-à-oreille</w:t>
            </w:r>
          </w:p>
        </w:tc>
        <w:tc>
          <w:tcPr>
            <w:shd w:color="EEF2F7" w:val="solid"/>
            <w:vAlign w:val="center"/>
          </w:tcPr>
          <w:p>
            <w:r>
              <w:rPr>
                <w:rFonts w:ascii="Times New Roman" w:cs="Times New Roman" w:eastAsia="Times New Roman" w:hAnsi="Times New Roman"/>
                <w:color w:val="1F2937"/>
                <w:sz w:val="20"/>
                <w:szCs w:val="20"/>
              </w:rPr>
              <w:t xml:space="preserve">Haute résistance aux chocs</w:t>
            </w:r>
          </w:p>
        </w:tc>
        <w:tc>
          <w:tcPr>
            <w:shd w:color="EEF2F7" w:val="solid"/>
            <w:vAlign w:val="center"/>
          </w:tcPr>
          <w:p>
            <w:r>
              <w:rPr>
                <w:rFonts w:ascii="Times New Roman" w:cs="Times New Roman" w:eastAsia="Times New Roman" w:hAnsi="Times New Roman"/>
                <w:color w:val="1F2937"/>
                <w:sz w:val="20"/>
                <w:szCs w:val="20"/>
              </w:rPr>
              <w:t xml:space="preserve">Un changement d'algo = -80 %</w:t>
            </w:r>
          </w:p>
        </w:tc>
      </w:tr>
      <w:tr>
        <w:tc>
          <w:tcPr>
            <w:shd w:color="FFFFFF" w:val="solid"/>
            <w:vAlign w:val="center"/>
          </w:tcPr>
          <w:p>
            <w:r>
              <w:rPr>
                <w:rFonts w:ascii="Times New Roman" w:cs="Times New Roman" w:eastAsia="Times New Roman" w:hAnsi="Times New Roman"/>
                <w:color w:val="1F2937"/>
                <w:sz w:val="20"/>
                <w:szCs w:val="20"/>
              </w:rPr>
              <w:t xml:space="preserve">Propriété de l'audience</w:t>
            </w:r>
          </w:p>
        </w:tc>
        <w:tc>
          <w:tcPr>
            <w:shd w:color="FFFFFF" w:val="solid"/>
            <w:vAlign w:val="center"/>
          </w:tcPr>
          <w:p>
            <w:r>
              <w:rPr>
                <w:rFonts w:ascii="Times New Roman" w:cs="Times New Roman" w:eastAsia="Times New Roman" w:hAnsi="Times New Roman"/>
                <w:color w:val="1F2937"/>
                <w:sz w:val="20"/>
                <w:szCs w:val="20"/>
              </w:rPr>
              <w:t xml:space="preserve">Email list, communauté directe vs dépendance plateforme</w:t>
            </w:r>
          </w:p>
        </w:tc>
        <w:tc>
          <w:tcPr>
            <w:shd w:color="FFFFFF" w:val="solid"/>
            <w:vAlign w:val="center"/>
          </w:tcPr>
          <w:p>
            <w:r>
              <w:rPr>
                <w:rFonts w:ascii="Times New Roman" w:cs="Times New Roman" w:eastAsia="Times New Roman" w:hAnsi="Times New Roman"/>
                <w:color w:val="1F2937"/>
                <w:sz w:val="20"/>
                <w:szCs w:val="20"/>
              </w:rPr>
              <w:t xml:space="preserve">Actif durable</w:t>
            </w:r>
          </w:p>
        </w:tc>
        <w:tc>
          <w:tcPr>
            <w:shd w:color="FFFFFF" w:val="solid"/>
            <w:vAlign w:val="center"/>
          </w:tcPr>
          <w:p>
            <w:r>
              <w:rPr>
                <w:rFonts w:ascii="Times New Roman" w:cs="Times New Roman" w:eastAsia="Times New Roman" w:hAnsi="Times New Roman"/>
                <w:color w:val="1F2937"/>
                <w:sz w:val="20"/>
                <w:szCs w:val="20"/>
              </w:rPr>
              <w:t xml:space="preserve">Actif loué (TikTok, LinkedIn...)</w:t>
            </w:r>
          </w:p>
        </w:tc>
      </w:tr>
      <w:tr>
        <w:tc>
          <w:tcPr>
            <w:shd w:color="EEF2F7" w:val="solid"/>
            <w:vAlign w:val="center"/>
          </w:tcPr>
          <w:p>
            <w:r>
              <w:rPr>
                <w:rFonts w:ascii="Times New Roman" w:cs="Times New Roman" w:eastAsia="Times New Roman" w:hAnsi="Times New Roman"/>
                <w:color w:val="1F2937"/>
                <w:sz w:val="20"/>
                <w:szCs w:val="20"/>
              </w:rPr>
              <w:t xml:space="preserve">Churn mensuel</w:t>
            </w:r>
          </w:p>
        </w:tc>
        <w:tc>
          <w:tcPr>
            <w:shd w:color="EEF2F7" w:val="solid"/>
            <w:vAlign w:val="center"/>
          </w:tcPr>
          <w:p>
            <w:r>
              <w:rPr>
                <w:rFonts w:ascii="Times New Roman" w:cs="Times New Roman" w:eastAsia="Times New Roman" w:hAnsi="Times New Roman"/>
                <w:color w:val="1F2937"/>
                <w:sz w:val="20"/>
                <w:szCs w:val="20"/>
              </w:rPr>
              <w:t xml:space="preserve">Pourcentage d'abonnés/clients perdus par mois</w:t>
            </w:r>
          </w:p>
        </w:tc>
        <w:tc>
          <w:tcPr>
            <w:shd w:color="EEF2F7" w:val="solid"/>
            <w:vAlign w:val="center"/>
          </w:tcPr>
          <w:p>
            <w:r>
              <w:rPr>
                <w:rFonts w:ascii="Times New Roman" w:cs="Times New Roman" w:eastAsia="Times New Roman" w:hAnsi="Times New Roman"/>
                <w:color w:val="1F2937"/>
                <w:sz w:val="20"/>
                <w:szCs w:val="20"/>
              </w:rPr>
              <w:t xml:space="preserve">&lt; 3 % = viable long terme</w:t>
            </w:r>
          </w:p>
        </w:tc>
        <w:tc>
          <w:tcPr>
            <w:shd w:color="EEF2F7" w:val="solid"/>
            <w:vAlign w:val="center"/>
          </w:tcPr>
          <w:p>
            <w:r>
              <w:rPr>
                <w:rFonts w:ascii="Times New Roman" w:cs="Times New Roman" w:eastAsia="Times New Roman" w:hAnsi="Times New Roman"/>
                <w:color w:val="1F2937"/>
                <w:sz w:val="20"/>
                <w:szCs w:val="20"/>
              </w:rPr>
              <w:t xml:space="preserve">&gt; 7 % = pompe percée</w:t>
            </w:r>
          </w:p>
        </w:tc>
      </w:tr>
      <w:tr>
        <w:tc>
          <w:tcPr>
            <w:shd w:color="FFFFFF" w:val="solid"/>
            <w:vAlign w:val="center"/>
          </w:tcPr>
          <w:p>
            <w:r>
              <w:rPr>
                <w:rFonts w:ascii="Times New Roman" w:cs="Times New Roman" w:eastAsia="Times New Roman" w:hAnsi="Times New Roman"/>
                <w:color w:val="1F2937"/>
                <w:sz w:val="20"/>
                <w:szCs w:val="20"/>
              </w:rPr>
              <w:t xml:space="preserve">Maintenance réelle</w:t>
            </w:r>
          </w:p>
        </w:tc>
        <w:tc>
          <w:tcPr>
            <w:shd w:color="FFFFFF" w:val="solid"/>
            <w:vAlign w:val="center"/>
          </w:tcPr>
          <w:p>
            <w:r>
              <w:rPr>
                <w:rFonts w:ascii="Times New Roman" w:cs="Times New Roman" w:eastAsia="Times New Roman" w:hAnsi="Times New Roman"/>
                <w:color w:val="1F2937"/>
                <w:sz w:val="20"/>
                <w:szCs w:val="20"/>
              </w:rPr>
              <w:t xml:space="preserve">Temps hebdomadaire requis pour maintenir le revenu</w:t>
            </w:r>
          </w:p>
        </w:tc>
        <w:tc>
          <w:tcPr>
            <w:shd w:color="FFFFFF" w:val="solid"/>
            <w:vAlign w:val="center"/>
          </w:tcPr>
          <w:p>
            <w:r>
              <w:rPr>
                <w:rFonts w:ascii="Times New Roman" w:cs="Times New Roman" w:eastAsia="Times New Roman" w:hAnsi="Times New Roman"/>
                <w:color w:val="1F2937"/>
                <w:sz w:val="20"/>
                <w:szCs w:val="20"/>
              </w:rPr>
              <w:t xml:space="preserve">&lt; 2h/semaine = passif réel</w:t>
            </w:r>
          </w:p>
        </w:tc>
        <w:tc>
          <w:tcPr>
            <w:shd w:color="FFFFFF" w:val="solid"/>
            <w:vAlign w:val="center"/>
          </w:tcPr>
          <w:p>
            <w:r>
              <w:rPr>
                <w:rFonts w:ascii="Times New Roman" w:cs="Times New Roman" w:eastAsia="Times New Roman" w:hAnsi="Times New Roman"/>
                <w:color w:val="1F2937"/>
                <w:sz w:val="20"/>
                <w:szCs w:val="20"/>
              </w:rPr>
              <w:t xml:space="preserve">&gt; 10h/semaine = activité déguisée</w:t>
            </w:r>
          </w:p>
        </w:tc>
      </w:tr>
      <w:tr>
        <w:tc>
          <w:tcPr>
            <w:shd w:color="EEF2F7" w:val="solid"/>
            <w:vAlign w:val="center"/>
          </w:tcPr>
          <w:p>
            <w:r>
              <w:rPr>
                <w:rFonts w:ascii="Times New Roman" w:cs="Times New Roman" w:eastAsia="Times New Roman" w:hAnsi="Times New Roman"/>
                <w:color w:val="1F2937"/>
                <w:sz w:val="20"/>
                <w:szCs w:val="20"/>
              </w:rPr>
              <w:t xml:space="preserve">Indépendance des tiers</w:t>
            </w:r>
          </w:p>
        </w:tc>
        <w:tc>
          <w:tcPr>
            <w:shd w:color="EEF2F7" w:val="solid"/>
            <w:vAlign w:val="center"/>
          </w:tcPr>
          <w:p>
            <w:r>
              <w:rPr>
                <w:rFonts w:ascii="Times New Roman" w:cs="Times New Roman" w:eastAsia="Times New Roman" w:hAnsi="Times New Roman"/>
                <w:color w:val="1F2937"/>
                <w:sz w:val="20"/>
                <w:szCs w:val="20"/>
              </w:rPr>
              <w:t xml:space="preserve">API, plateforme de distribution, programme affiliation</w:t>
            </w:r>
          </w:p>
        </w:tc>
        <w:tc>
          <w:tcPr>
            <w:shd w:color="EEF2F7" w:val="solid"/>
            <w:vAlign w:val="center"/>
          </w:tcPr>
          <w:p>
            <w:r>
              <w:rPr>
                <w:rFonts w:ascii="Times New Roman" w:cs="Times New Roman" w:eastAsia="Times New Roman" w:hAnsi="Times New Roman"/>
                <w:color w:val="1F2937"/>
                <w:sz w:val="20"/>
                <w:szCs w:val="20"/>
              </w:rPr>
              <w:t xml:space="preserve">Multi-source ou possédé</w:t>
            </w:r>
          </w:p>
        </w:tc>
        <w:tc>
          <w:tcPr>
            <w:shd w:color="EEF2F7" w:val="solid"/>
            <w:vAlign w:val="center"/>
          </w:tcPr>
          <w:p>
            <w:r>
              <w:rPr>
                <w:rFonts w:ascii="Times New Roman" w:cs="Times New Roman" w:eastAsia="Times New Roman" w:hAnsi="Times New Roman"/>
                <w:color w:val="1F2937"/>
                <w:sz w:val="20"/>
                <w:szCs w:val="20"/>
              </w:rPr>
              <w:t xml:space="preserve">Dépendance totale à 1 tiers</w:t>
            </w:r>
          </w:p>
        </w:tc>
      </w:tr>
    </w:tbl>
    <w:p>
      <w:pPr>
        <w:spacing w:after="80"/>
      </w:pPr>
      <w:r>
        <w:t xml:space="preserve"/>
      </w:r>
    </w:p>
    <w:p>
      <w:pPr>
        <w:pStyle w:val="Heading2"/>
        <w:spacing w:after="120" w:before="360"/>
      </w:pPr>
      <w:r>
        <w:rPr>
          <w:rFonts w:ascii="Times New Roman" w:cs="Times New Roman" w:eastAsia="Times New Roman" w:hAnsi="Times New Roman"/>
          <w:b/>
          <w:bCs/>
          <w:color w:val="1B3A6B"/>
          <w:sz w:val="30"/>
          <w:szCs w:val="30"/>
        </w:rPr>
        <w:t xml:space="preserve">📉 Ancrage réaliste — Ce que personne ne dit avant que ça arrive</w:t>
      </w:r>
    </w:p>
    <w:p>
      <w:pPr>
        <w:pBdr>
          <w:left w:val="thick" w:color="D97706" w:sz="12"/>
        </w:pBdr>
        <w:shd w:color="FFF4E5" w:val="solid"/>
        <w:spacing w:after="100" w:before="100"/>
        <w:ind w:left="240" w:right="240"/>
      </w:pPr>
      <w:r>
        <w:rPr>
          <w:rFonts w:ascii="Times New Roman" w:cs="Times New Roman" w:eastAsia="Times New Roman" w:hAnsi="Times New Roman"/>
          <w:color w:val="1F2937"/>
          <w:sz w:val="22"/>
          <w:szCs w:val="22"/>
        </w:rPr>
        <w:t xml:space="preserve">📉 TAUX D'ÉCHEC ET RÉALITÉS DOCUMENTÉES</w:t>
      </w:r>
    </w:p>
    <w:p>
      <w:pPr>
        <w:pBdr>
          <w:left w:val="thick" w:color="D97706" w:sz="12"/>
        </w:pBdr>
        <w:shd w:color="FFF4E5" w:val="solid"/>
        <w:spacing w:after="100" w:before="100"/>
        <w:ind w:left="240" w:right="240"/>
      </w:pPr>
      <w:r>
        <w:rPr>
          <w:rFonts w:ascii="Times New Roman" w:cs="Times New Roman" w:eastAsia="Times New Roman" w:hAnsi="Times New Roman"/>
          <w:color w:val="1F2937"/>
          <w:sz w:val="22"/>
          <w:szCs w:val="22"/>
        </w:rPr>
        <w:t xml:space="preserve"/>
      </w:r>
    </w:p>
    <w:p>
      <w:pPr>
        <w:pBdr>
          <w:left w:val="thick" w:color="D97706" w:sz="12"/>
        </w:pBdr>
        <w:shd w:color="FFF4E5" w:val="solid"/>
        <w:spacing w:after="100" w:before="100"/>
        <w:ind w:left="240" w:right="240"/>
      </w:pPr>
      <w:r>
        <w:rPr>
          <w:rFonts w:ascii="Times New Roman" w:cs="Times New Roman" w:eastAsia="Times New Roman" w:hAnsi="Times New Roman"/>
          <w:color w:val="1F2937"/>
          <w:sz w:val="22"/>
          <w:szCs w:val="22"/>
        </w:rPr>
        <w:t xml:space="preserve">1. LA MAJORITÉ DES MODÈLES N'ATTEIGNENT JAMAIS LA DURABILITÉ</w:t>
      </w:r>
    </w:p>
    <w:p>
      <w:pPr>
        <w:pBdr>
          <w:left w:val="thick" w:color="D97706" w:sz="12"/>
        </w:pBdr>
        <w:shd w:color="FFF4E5" w:val="solid"/>
        <w:spacing w:after="100" w:before="100"/>
        <w:ind w:left="240" w:right="240"/>
      </w:pPr>
      <w:r>
        <w:rPr>
          <w:rFonts w:ascii="Times New Roman" w:cs="Times New Roman" w:eastAsia="Times New Roman" w:hAnsi="Times New Roman"/>
          <w:color w:val="1F2937"/>
          <w:sz w:val="22"/>
          <w:szCs w:val="22"/>
        </w:rPr>
        <w:t xml:space="preserve">   70 % des micro-SaaS restent sous 500 $/mois (sous-seuil de durabilité).</w:t>
      </w:r>
    </w:p>
    <w:p>
      <w:pPr>
        <w:pBdr>
          <w:left w:val="thick" w:color="D97706" w:sz="12"/>
        </w:pBdr>
        <w:shd w:color="FFF4E5" w:val="solid"/>
        <w:spacing w:after="100" w:before="100"/>
        <w:ind w:left="240" w:right="240"/>
      </w:pPr>
      <w:r>
        <w:rPr>
          <w:rFonts w:ascii="Times New Roman" w:cs="Times New Roman" w:eastAsia="Times New Roman" w:hAnsi="Times New Roman"/>
          <w:color w:val="1F2937"/>
          <w:sz w:val="22"/>
          <w:szCs w:val="22"/>
        </w:rPr>
        <w:t xml:space="preserve">   La plupart des ebooks et templates numériques génèrent &lt; 100 € après la première semaine.</w:t>
      </w:r>
    </w:p>
    <w:p>
      <w:pPr>
        <w:pBdr>
          <w:left w:val="thick" w:color="D97706" w:sz="12"/>
        </w:pBdr>
        <w:shd w:color="FFF4E5" w:val="solid"/>
        <w:spacing w:after="100" w:before="100"/>
        <w:ind w:left="240" w:right="240"/>
      </w:pPr>
      <w:r>
        <w:rPr>
          <w:rFonts w:ascii="Times New Roman" w:cs="Times New Roman" w:eastAsia="Times New Roman" w:hAnsi="Times New Roman"/>
          <w:color w:val="1F2937"/>
          <w:sz w:val="22"/>
          <w:szCs w:val="22"/>
        </w:rPr>
        <w:t xml:space="preserve">   Ces chiffres ne viennent pas de sources vérifiées pour les produits numériques lors de cette exécution — ils reflètent la tendance rapportée par les praticiens, non des études citées.</w:t>
      </w:r>
    </w:p>
    <w:p>
      <w:pPr>
        <w:pBdr>
          <w:left w:val="thick" w:color="D97706" w:sz="12"/>
        </w:pBdr>
        <w:shd w:color="FFF4E5" w:val="solid"/>
        <w:spacing w:after="100" w:before="100"/>
        <w:ind w:left="240" w:right="240"/>
      </w:pPr>
      <w:r>
        <w:rPr>
          <w:rFonts w:ascii="Times New Roman" w:cs="Times New Roman" w:eastAsia="Times New Roman" w:hAnsi="Times New Roman"/>
          <w:color w:val="1F2937"/>
          <w:sz w:val="22"/>
          <w:szCs w:val="22"/>
        </w:rPr>
        <w:t xml:space="preserve"/>
      </w:r>
    </w:p>
    <w:p>
      <w:pPr>
        <w:pBdr>
          <w:left w:val="thick" w:color="D97706" w:sz="12"/>
        </w:pBdr>
        <w:shd w:color="FFF4E5" w:val="solid"/>
        <w:spacing w:after="100" w:before="100"/>
        <w:ind w:left="240" w:right="240"/>
      </w:pPr>
      <w:r>
        <w:rPr>
          <w:rFonts w:ascii="Times New Roman" w:cs="Times New Roman" w:eastAsia="Times New Roman" w:hAnsi="Times New Roman"/>
          <w:color w:val="1F2937"/>
          <w:sz w:val="22"/>
          <w:szCs w:val="22"/>
        </w:rPr>
        <w:t xml:space="preserve">2. LE MAINTIEN COÛTE PLUS CHER QUE PRÉVU</w:t>
      </w:r>
    </w:p>
    <w:p>
      <w:pPr>
        <w:pBdr>
          <w:left w:val="thick" w:color="D97706" w:sz="12"/>
        </w:pBdr>
        <w:shd w:color="FFF4E5" w:val="solid"/>
        <w:spacing w:after="100" w:before="100"/>
        <w:ind w:left="240" w:right="240"/>
      </w:pPr>
      <w:r>
        <w:rPr>
          <w:rFonts w:ascii="Times New Roman" w:cs="Times New Roman" w:eastAsia="Times New Roman" w:hAnsi="Times New Roman"/>
          <w:color w:val="1F2937"/>
          <w:sz w:val="22"/>
          <w:szCs w:val="22"/>
        </w:rPr>
        <w:t xml:space="preserve">   Mise à jour SEO, renouvellement des licences, veille concurrentielle, mises à jour de sécurité, service client résiduel — le travail "passif" est souvent 5 à 10 h/semaine en régime de croisière.</w:t>
      </w:r>
    </w:p>
    <w:p>
      <w:pPr>
        <w:pBdr>
          <w:left w:val="thick" w:color="D97706" w:sz="12"/>
        </w:pBdr>
        <w:shd w:color="FFF4E5" w:val="solid"/>
        <w:spacing w:after="100" w:before="100"/>
        <w:ind w:left="240" w:right="240"/>
      </w:pPr>
      <w:r>
        <w:rPr>
          <w:rFonts w:ascii="Times New Roman" w:cs="Times New Roman" w:eastAsia="Times New Roman" w:hAnsi="Times New Roman"/>
          <w:color w:val="1F2937"/>
          <w:sz w:val="22"/>
          <w:szCs w:val="22"/>
        </w:rPr>
        <w:t xml:space="preserve">   Ce temps n'est comptabilisé nulle part dans les "case studies" de succès.</w:t>
      </w:r>
    </w:p>
    <w:p>
      <w:pPr>
        <w:pBdr>
          <w:left w:val="thick" w:color="D97706" w:sz="12"/>
        </w:pBdr>
        <w:shd w:color="FFF4E5" w:val="solid"/>
        <w:spacing w:after="100" w:before="100"/>
        <w:ind w:left="240" w:right="240"/>
      </w:pPr>
      <w:r>
        <w:rPr>
          <w:rFonts w:ascii="Times New Roman" w:cs="Times New Roman" w:eastAsia="Times New Roman" w:hAnsi="Times New Roman"/>
          <w:color w:val="1F2937"/>
          <w:sz w:val="22"/>
          <w:szCs w:val="22"/>
        </w:rPr>
        <w:t xml:space="preserve"/>
      </w:r>
    </w:p>
    <w:p>
      <w:pPr>
        <w:pBdr>
          <w:left w:val="thick" w:color="D97706" w:sz="12"/>
        </w:pBdr>
        <w:shd w:color="FFF4E5" w:val="solid"/>
        <w:spacing w:after="100" w:before="100"/>
        <w:ind w:left="240" w:right="240"/>
      </w:pPr>
      <w:r>
        <w:rPr>
          <w:rFonts w:ascii="Times New Roman" w:cs="Times New Roman" w:eastAsia="Times New Roman" w:hAnsi="Times New Roman"/>
          <w:color w:val="1F2937"/>
          <w:sz w:val="22"/>
          <w:szCs w:val="22"/>
        </w:rPr>
        <w:t xml:space="preserve">3. LES SIGNAUX DE DÉCLIN ARRIVENT PROGRESSIVEMENT</w:t>
      </w:r>
    </w:p>
    <w:p>
      <w:pPr>
        <w:pBdr>
          <w:left w:val="thick" w:color="D97706" w:sz="12"/>
        </w:pBdr>
        <w:shd w:color="FFF4E5" w:val="solid"/>
        <w:spacing w:after="100" w:before="100"/>
        <w:ind w:left="240" w:right="240"/>
      </w:pPr>
      <w:r>
        <w:rPr>
          <w:rFonts w:ascii="Times New Roman" w:cs="Times New Roman" w:eastAsia="Times New Roman" w:hAnsi="Times New Roman"/>
          <w:color w:val="1F2937"/>
          <w:sz w:val="22"/>
          <w:szCs w:val="22"/>
        </w:rPr>
        <w:t xml:space="preserve">   Un modèle ne s'effondre généralement pas du jour au lendemain. Les signaux faibles sont là 3 à 6 mois à l'avance — churn qui augmente, trafic organique qui plafonne, taux de conversion qui baisse.</w:t>
      </w:r>
    </w:p>
    <w:p>
      <w:pPr>
        <w:pBdr>
          <w:left w:val="thick" w:color="D97706" w:sz="12"/>
        </w:pBdr>
        <w:shd w:color="FFF4E5" w:val="solid"/>
        <w:spacing w:after="100" w:before="100"/>
        <w:ind w:left="240" w:right="240"/>
      </w:pPr>
      <w:r>
        <w:rPr>
          <w:rFonts w:ascii="Times New Roman" w:cs="Times New Roman" w:eastAsia="Times New Roman" w:hAnsi="Times New Roman"/>
          <w:color w:val="1F2937"/>
          <w:sz w:val="22"/>
          <w:szCs w:val="22"/>
        </w:rPr>
        <w:t xml:space="preserve">   Le danger : ne pas les mesurer régulièrement.</w:t>
      </w:r>
    </w:p>
    <w:p>
      <w:pPr>
        <w:pBdr>
          <w:left w:val="thick" w:color="D97706" w:sz="12"/>
        </w:pBdr>
        <w:shd w:color="FFF4E5" w:val="solid"/>
        <w:spacing w:after="100" w:before="100"/>
        <w:ind w:left="240" w:right="240"/>
      </w:pPr>
      <w:r>
        <w:rPr>
          <w:rFonts w:ascii="Times New Roman" w:cs="Times New Roman" w:eastAsia="Times New Roman" w:hAnsi="Times New Roman"/>
          <w:color w:val="1F2937"/>
          <w:sz w:val="22"/>
          <w:szCs w:val="22"/>
        </w:rPr>
        <w:t xml:space="preserve"/>
      </w:r>
    </w:p>
    <w:p>
      <w:pPr>
        <w:pBdr>
          <w:left w:val="thick" w:color="D97706" w:sz="12"/>
        </w:pBdr>
        <w:shd w:color="FFF4E5" w:val="solid"/>
        <w:spacing w:after="100" w:before="100"/>
        <w:ind w:left="240" w:right="240"/>
      </w:pPr>
      <w:r>
        <w:rPr>
          <w:rFonts w:ascii="Times New Roman" w:cs="Times New Roman" w:eastAsia="Times New Roman" w:hAnsi="Times New Roman"/>
          <w:color w:val="1F2937"/>
          <w:sz w:val="22"/>
          <w:szCs w:val="22"/>
        </w:rPr>
        <w:t xml:space="preserve">4. LES ARNAQUES EXPLOITENT LA FENÊTRE DE DÉCLIN</w:t>
      </w:r>
    </w:p>
    <w:p>
      <w:pPr>
        <w:pBdr>
          <w:left w:val="thick" w:color="D97706" w:sz="12"/>
        </w:pBdr>
        <w:shd w:color="FFF4E5" w:val="solid"/>
        <w:spacing w:after="100" w:before="100"/>
        <w:ind w:left="240" w:right="240"/>
      </w:pPr>
      <w:r>
        <w:rPr>
          <w:rFonts w:ascii="Times New Roman" w:cs="Times New Roman" w:eastAsia="Times New Roman" w:hAnsi="Times New Roman"/>
          <w:color w:val="1F2937"/>
          <w:sz w:val="22"/>
          <w:szCs w:val="22"/>
        </w:rPr>
        <w:t xml:space="preserve">   Les formations "revenus passifs à 10 000 €/mois" prolifèrent précisément quand un modèle décline : le vendeur, qui n'y gagne plus, vend la méthode. L'AMF maintient des listes noires actualisées : amf-france.org/fr/espace-epargnants/proteger-son-epargne/listes-noires-et-mises-en-garde</w:t>
      </w:r>
    </w:p>
    <w:p>
      <w:pPr>
        <w:pBdr>
          <w:left w:val="thick" w:color="D97706" w:sz="12"/>
        </w:pBdr>
        <w:shd w:color="FFF4E5" w:val="solid"/>
        <w:spacing w:after="100" w:before="100"/>
        <w:ind w:left="240" w:right="240"/>
      </w:pPr>
      <w:r>
        <w:rPr>
          <w:rFonts w:ascii="Times New Roman" w:cs="Times New Roman" w:eastAsia="Times New Roman" w:hAnsi="Times New Roman"/>
          <w:color w:val="1F2937"/>
          <w:sz w:val="22"/>
          <w:szCs w:val="22"/>
        </w:rPr>
        <w:t xml:space="preserve"/>
      </w:r>
    </w:p>
    <w:p>
      <w:pPr>
        <w:pBdr>
          <w:left w:val="thick" w:color="D97706" w:sz="12"/>
        </w:pBdr>
        <w:shd w:color="FFF4E5" w:val="solid"/>
        <w:spacing w:after="100" w:before="100"/>
        <w:ind w:left="240" w:right="240"/>
      </w:pPr>
      <w:r>
        <w:rPr>
          <w:rFonts w:ascii="Times New Roman" w:cs="Times New Roman" w:eastAsia="Times New Roman" w:hAnsi="Times New Roman"/>
          <w:color w:val="1F2937"/>
          <w:sz w:val="22"/>
          <w:szCs w:val="22"/>
        </w:rPr>
        <w:t xml:space="preserve">5. LE BIAIS DE SURVIVANCE EST STRUCTUREL</w:t>
      </w:r>
    </w:p>
    <w:p>
      <w:pPr>
        <w:pBdr>
          <w:left w:val="thick" w:color="D97706" w:sz="12"/>
        </w:pBdr>
        <w:shd w:color="FFF4E5" w:val="solid"/>
        <w:spacing w:after="100" w:before="100"/>
        <w:ind w:left="240" w:right="240"/>
      </w:pPr>
      <w:r>
        <w:rPr>
          <w:rFonts w:ascii="Times New Roman" w:cs="Times New Roman" w:eastAsia="Times New Roman" w:hAnsi="Times New Roman"/>
          <w:color w:val="1F2937"/>
          <w:sz w:val="22"/>
          <w:szCs w:val="22"/>
        </w:rPr>
        <w:t xml:space="preserve">   IndieHackers, Twitter/X, YouTube ne montrent que les modèles qui ont fonctionné — les 70 % dans la "zone cimetière" n'écrivent pas de posts.</w:t>
      </w:r>
    </w:p>
    <w:p>
      <w:pPr>
        <w:spacing w:after="80"/>
      </w:pPr>
      <w:r>
        <w:t xml:space="preserve"/>
      </w:r>
    </w:p>
    <w:p>
      <w:pPr>
        <w:pStyle w:val="Heading3"/>
        <w:spacing w:after="80" w:before="240"/>
      </w:pPr>
      <w:r>
        <w:rPr>
          <w:rFonts w:ascii="Times New Roman" w:cs="Times New Roman" w:eastAsia="Times New Roman" w:hAnsi="Times New Roman"/>
          <w:b/>
          <w:bCs/>
          <w:color w:val="1F2937"/>
          <w:sz w:val="26"/>
          <w:szCs w:val="26"/>
        </w:rPr>
        <w:t xml:space="preserve">Signaux d'alerte précoces à surveiller</w:t>
      </w:r>
    </w:p>
    <w:p>
      <w:pPr>
        <w:spacing w:after="120"/>
      </w:pPr>
      <w:r>
        <w:rPr>
          <w:rFonts w:ascii="Times New Roman" w:cs="Times New Roman" w:eastAsia="Times New Roman" w:hAnsi="Times New Roman"/>
          <w:color w:val="1F2937"/>
          <w:sz w:val="22"/>
          <w:szCs w:val="22"/>
        </w:rPr>
        <w:t xml:space="preserve">Voici les signaux concrets à intégrer dans une routine de suivi mensuel :</w:t>
      </w:r>
    </w:p>
    <w:p>
      <w:pPr>
        <w:pStyle w:val="ListParagraph"/>
        <w:numPr>
          <w:ilvl w:val="0"/>
          <w:numId w:val="1"/>
        </w:numPr>
        <w:spacing w:after="80"/>
      </w:pPr>
      <w:r>
        <w:rPr>
          <w:rFonts w:ascii="Times New Roman" w:cs="Times New Roman" w:eastAsia="Times New Roman" w:hAnsi="Times New Roman"/>
          <w:color w:val="1F2937"/>
          <w:sz w:val="22"/>
          <w:szCs w:val="22"/>
        </w:rPr>
        <w:t xml:space="preserve">Taux de churn mensuel en hausse depuis 2 mois consécutifs</w:t>
      </w:r>
    </w:p>
    <w:p>
      <w:pPr>
        <w:pStyle w:val="ListParagraph"/>
        <w:numPr>
          <w:ilvl w:val="0"/>
          <w:numId w:val="1"/>
        </w:numPr>
        <w:spacing w:after="80"/>
      </w:pPr>
      <w:r>
        <w:rPr>
          <w:rFonts w:ascii="Times New Roman" w:cs="Times New Roman" w:eastAsia="Times New Roman" w:hAnsi="Times New Roman"/>
          <w:color w:val="1F2937"/>
          <w:sz w:val="22"/>
          <w:szCs w:val="22"/>
        </w:rPr>
        <w:t xml:space="preserve">Trafic organique en baisse de &gt; 15 % sur 30 jours glissants</w:t>
      </w:r>
    </w:p>
    <w:p>
      <w:pPr>
        <w:pStyle w:val="ListParagraph"/>
        <w:numPr>
          <w:ilvl w:val="0"/>
          <w:numId w:val="1"/>
        </w:numPr>
        <w:spacing w:after="80"/>
      </w:pPr>
      <w:r>
        <w:rPr>
          <w:rFonts w:ascii="Times New Roman" w:cs="Times New Roman" w:eastAsia="Times New Roman" w:hAnsi="Times New Roman"/>
          <w:color w:val="1F2937"/>
          <w:sz w:val="22"/>
          <w:szCs w:val="22"/>
        </w:rPr>
        <w:t xml:space="preserve">Taux de conversion opt-in/achat en baisse sans explication technique</w:t>
      </w:r>
    </w:p>
    <w:p>
      <w:pPr>
        <w:pStyle w:val="ListParagraph"/>
        <w:numPr>
          <w:ilvl w:val="0"/>
          <w:numId w:val="1"/>
        </w:numPr>
        <w:spacing w:after="80"/>
      </w:pPr>
      <w:r>
        <w:rPr>
          <w:rFonts w:ascii="Times New Roman" w:cs="Times New Roman" w:eastAsia="Times New Roman" w:hAnsi="Times New Roman"/>
          <w:color w:val="1F2937"/>
          <w:sz w:val="22"/>
          <w:szCs w:val="22"/>
        </w:rPr>
        <w:t xml:space="preserve">Réduction du commission rate ou des conditions du programme affilié partenaire</w:t>
      </w:r>
    </w:p>
    <w:p>
      <w:pPr>
        <w:pStyle w:val="ListParagraph"/>
        <w:numPr>
          <w:ilvl w:val="0"/>
          <w:numId w:val="1"/>
        </w:numPr>
        <w:spacing w:after="80"/>
      </w:pPr>
      <w:r>
        <w:rPr>
          <w:rFonts w:ascii="Times New Roman" w:cs="Times New Roman" w:eastAsia="Times New Roman" w:hAnsi="Times New Roman"/>
          <w:color w:val="1F2937"/>
          <w:sz w:val="22"/>
          <w:szCs w:val="22"/>
        </w:rPr>
        <w:t xml:space="preserve">Apparition d'un concurrent gratuit couvrant votre fonctionnalité principale</w:t>
      </w:r>
    </w:p>
    <w:p>
      <w:pPr>
        <w:pStyle w:val="ListParagraph"/>
        <w:numPr>
          <w:ilvl w:val="0"/>
          <w:numId w:val="1"/>
        </w:numPr>
        <w:spacing w:after="80"/>
      </w:pPr>
      <w:r>
        <w:rPr>
          <w:rFonts w:ascii="Times New Roman" w:cs="Times New Roman" w:eastAsia="Times New Roman" w:hAnsi="Times New Roman"/>
          <w:color w:val="1F2937"/>
          <w:sz w:val="22"/>
          <w:szCs w:val="22"/>
        </w:rPr>
        <w:t xml:space="preserve">Dépendance à un fournisseur d'API qui modifie sa tarification</w:t>
      </w:r>
    </w:p>
    <w:p>
      <w:pPr>
        <w:pStyle w:val="ListParagraph"/>
        <w:numPr>
          <w:ilvl w:val="0"/>
          <w:numId w:val="1"/>
        </w:numPr>
        <w:spacing w:after="80"/>
      </w:pPr>
      <w:r>
        <w:rPr>
          <w:rFonts w:ascii="Times New Roman" w:cs="Times New Roman" w:eastAsia="Times New Roman" w:hAnsi="Times New Roman"/>
          <w:color w:val="1F2937"/>
          <w:sz w:val="22"/>
          <w:szCs w:val="22"/>
        </w:rPr>
        <w:t xml:space="preserve">Dividende d'une ligne ETF réduit deux trimestres consécutifs</w:t>
      </w:r>
    </w:p>
    <w:p>
      <w:pPr>
        <w:pStyle w:val="ListParagraph"/>
        <w:numPr>
          <w:ilvl w:val="0"/>
          <w:numId w:val="1"/>
        </w:numPr>
        <w:spacing w:after="80"/>
      </w:pPr>
      <w:r>
        <w:rPr>
          <w:rFonts w:ascii="Times New Roman" w:cs="Times New Roman" w:eastAsia="Times New Roman" w:hAnsi="Times New Roman"/>
          <w:color w:val="1F2937"/>
          <w:sz w:val="22"/>
          <w:szCs w:val="22"/>
        </w:rPr>
        <w:t xml:space="preserve">Taux de distribution SCPI en baisse sur deux bilans annuels consécutifs</w:t>
      </w:r>
    </w:p>
    <w:p>
      <w:pPr>
        <w:spacing w:after="80"/>
      </w:pPr>
      <w:r>
        <w:t xml:space="preserve"/>
      </w:r>
    </w:p>
    <w:p>
      <w:pPr>
        <w:pStyle w:val="Heading2"/>
        <w:spacing w:after="120" w:before="360"/>
      </w:pPr>
      <w:r>
        <w:rPr>
          <w:rFonts w:ascii="Times New Roman" w:cs="Times New Roman" w:eastAsia="Times New Roman" w:hAnsi="Times New Roman"/>
          <w:b/>
          <w:bCs/>
          <w:color w:val="1B3A6B"/>
          <w:sz w:val="30"/>
          <w:szCs w:val="30"/>
        </w:rPr>
        <w:t xml:space="preserve">🛠️ Pratique (80 %) — Trois exercices</w:t>
      </w:r>
      <w:r>
        <w:rPr>
          <w:i/>
          <w:color w:val="808080"/>
        </w:rPr>
        <w:t xml:space="preserve">   [Mesuré le 27/09/2026 : la partie pratique fait 56 % du document, non 80 % — voir le journal.]</w:t>
      </w:r>
    </w:p>
    <w:p>
      <w:pPr>
        <w:pStyle w:val="Heading3"/>
        <w:spacing w:after="80" w:before="240"/>
      </w:pPr>
      <w:r>
        <w:rPr>
          <w:rFonts w:ascii="Times New Roman" w:cs="Times New Roman" w:eastAsia="Times New Roman" w:hAnsi="Times New Roman"/>
          <w:b/>
          <w:bCs/>
          <w:color w:val="1F2937"/>
          <w:sz w:val="26"/>
          <w:szCs w:val="26"/>
        </w:rPr>
        <w:t xml:space="preserve">Exercice 1 — Diagnostic de déclin : le blog affilié de Sofia</w:t>
      </w:r>
    </w:p>
    <w:p>
      <w:pPr>
        <w:pBdr>
          <w:left w:val="thick" w:color="1B3A6B" w:sz="12"/>
        </w:pBdr>
        <w:shd w:color="EEF2F7" w:val="solid"/>
        <w:spacing w:after="100" w:before="100"/>
        <w:ind w:left="240" w:right="240"/>
      </w:pPr>
      <w:r>
        <w:rPr>
          <w:rFonts w:ascii="Times New Roman" w:cs="Times New Roman" w:eastAsia="Times New Roman" w:hAnsi="Times New Roman"/>
          <w:i/>
          <w:iCs/>
          <w:color w:val="1F2937"/>
          <w:sz w:val="22"/>
          <w:szCs w:val="22"/>
        </w:rPr>
        <w:t xml:space="preserve">Scénario : Sofia a un blog de comparatif d'outils no-code lancé en 2023.</w:t>
      </w:r>
    </w:p>
    <w:p>
      <w:pPr>
        <w:pBdr>
          <w:left w:val="thick" w:color="1B3A6B" w:sz="12"/>
        </w:pBdr>
        <w:shd w:color="EEF2F7" w:val="solid"/>
        <w:spacing w:after="100" w:before="100"/>
        <w:ind w:left="240" w:right="240"/>
      </w:pPr>
      <w:r>
        <w:rPr>
          <w:rFonts w:ascii="Times New Roman" w:cs="Times New Roman" w:eastAsia="Times New Roman" w:hAnsi="Times New Roman"/>
          <w:i/>
          <w:iCs/>
          <w:color w:val="1F2937"/>
          <w:sz w:val="22"/>
          <w:szCs w:val="22"/>
        </w:rPr>
        <w:t xml:space="preserve">• Trafic organique mensuel : était 12 000 visites/mois en janvier 2026, tombe à 6 800 en septembre.</w:t>
      </w:r>
    </w:p>
    <w:p>
      <w:pPr>
        <w:pBdr>
          <w:left w:val="thick" w:color="1B3A6B" w:sz="12"/>
        </w:pBdr>
        <w:shd w:color="EEF2F7" w:val="solid"/>
        <w:spacing w:after="100" w:before="100"/>
        <w:ind w:left="240" w:right="240"/>
      </w:pPr>
      <w:r>
        <w:rPr>
          <w:rFonts w:ascii="Times New Roman" w:cs="Times New Roman" w:eastAsia="Times New Roman" w:hAnsi="Times New Roman"/>
          <w:i/>
          <w:iCs/>
          <w:color w:val="1F2937"/>
          <w:sz w:val="22"/>
          <w:szCs w:val="22"/>
        </w:rPr>
        <w:t xml:space="preserve">• Revenu d'affiliation : était 620 €/mois en janvier, tombe à 310 € en septembre.</w:t>
      </w:r>
    </w:p>
    <w:p>
      <w:pPr>
        <w:pBdr>
          <w:left w:val="thick" w:color="1B3A6B" w:sz="12"/>
        </w:pBdr>
        <w:shd w:color="EEF2F7" w:val="solid"/>
        <w:spacing w:after="100" w:before="100"/>
        <w:ind w:left="240" w:right="240"/>
      </w:pPr>
      <w:r>
        <w:rPr>
          <w:rFonts w:ascii="Times New Roman" w:cs="Times New Roman" w:eastAsia="Times New Roman" w:hAnsi="Times New Roman"/>
          <w:i/>
          <w:iCs/>
          <w:color w:val="1F2937"/>
          <w:sz w:val="22"/>
          <w:szCs w:val="22"/>
        </w:rPr>
        <w:t xml:space="preserve">• Source de trafic : 94 % SEO Google.</w:t>
      </w:r>
    </w:p>
    <w:p>
      <w:pPr>
        <w:pBdr>
          <w:left w:val="thick" w:color="1B3A6B" w:sz="12"/>
        </w:pBdr>
        <w:shd w:color="EEF2F7" w:val="solid"/>
        <w:spacing w:after="100" w:before="100"/>
        <w:ind w:left="240" w:right="240"/>
      </w:pPr>
      <w:r>
        <w:rPr>
          <w:rFonts w:ascii="Times New Roman" w:cs="Times New Roman" w:eastAsia="Times New Roman" w:hAnsi="Times New Roman"/>
          <w:i/>
          <w:iCs/>
          <w:color w:val="1F2937"/>
          <w:sz w:val="22"/>
          <w:szCs w:val="22"/>
        </w:rPr>
        <w:t xml:space="preserve">• La chute a commencé après une mise à jour Google d'avril 2026.</w:t>
      </w:r>
    </w:p>
    <w:p>
      <w:pPr>
        <w:pBdr>
          <w:left w:val="thick" w:color="1B3A6B" w:sz="12"/>
        </w:pBdr>
        <w:shd w:color="EEF2F7" w:val="solid"/>
        <w:spacing w:after="100" w:before="100"/>
        <w:ind w:left="240" w:right="240"/>
      </w:pPr>
      <w:r>
        <w:rPr>
          <w:rFonts w:ascii="Times New Roman" w:cs="Times New Roman" w:eastAsia="Times New Roman" w:hAnsi="Times New Roman"/>
          <w:i/>
          <w:iCs/>
          <w:color w:val="1F2937"/>
          <w:sz w:val="22"/>
          <w:szCs w:val="22"/>
        </w:rPr>
        <w:t xml:space="preserve">• Sofia consacre 8 h/semaine à mettre à jour les articles.</w:t>
      </w:r>
    </w:p>
    <w:p>
      <w:pPr>
        <w:pBdr>
          <w:left w:val="thick" w:color="1B3A6B" w:sz="12"/>
        </w:pBdr>
        <w:shd w:color="EEF2F7" w:val="solid"/>
        <w:spacing w:after="100" w:before="100"/>
        <w:ind w:left="240" w:right="240"/>
      </w:pPr>
      <w:r>
        <w:rPr>
          <w:rFonts w:ascii="Times New Roman" w:cs="Times New Roman" w:eastAsia="Times New Roman" w:hAnsi="Times New Roman"/>
          <w:i/>
          <w:iCs/>
          <w:color w:val="1F2937"/>
          <w:sz w:val="22"/>
          <w:szCs w:val="22"/>
        </w:rPr>
        <w:t xml:space="preserve">• Elle n'a pas de liste email, pas de communauté directe.</w:t>
      </w:r>
    </w:p>
    <w:p>
      <w:pPr>
        <w:spacing w:after="80"/>
      </w:pPr>
      <w:r>
        <w:t xml:space="preserve"/>
      </w:r>
    </w:p>
    <w:p>
      <w:pPr>
        <w:spacing w:after="120"/>
      </w:pPr>
      <w:r>
        <w:rPr>
          <w:rFonts w:ascii="Times New Roman" w:cs="Times New Roman" w:eastAsia="Times New Roman" w:hAnsi="Times New Roman"/>
          <w:color w:val="1F2937"/>
          <w:sz w:val="22"/>
          <w:szCs w:val="22"/>
        </w:rPr>
        <w:t xml:space="preserve">Questions :</w:t>
      </w:r>
    </w:p>
    <w:p>
      <w:pPr>
        <w:pStyle w:val="ListParagraph"/>
        <w:numPr>
          <w:ilvl w:val="0"/>
          <w:numId w:val="1"/>
        </w:numPr>
        <w:spacing w:after="80"/>
      </w:pPr>
      <w:r>
        <w:rPr>
          <w:rFonts w:ascii="Times New Roman" w:cs="Times New Roman" w:eastAsia="Times New Roman" w:hAnsi="Times New Roman"/>
          <w:color w:val="1F2937"/>
          <w:sz w:val="22"/>
          <w:szCs w:val="22"/>
        </w:rPr>
        <w:t xml:space="preserve">1a. Classifiez ce déclin : structurel ou conjoncturel ? Justifiez en 3 lignes.</w:t>
      </w:r>
    </w:p>
    <w:p>
      <w:pPr>
        <w:pStyle w:val="ListParagraph"/>
        <w:numPr>
          <w:ilvl w:val="0"/>
          <w:numId w:val="1"/>
        </w:numPr>
        <w:spacing w:after="80"/>
      </w:pPr>
      <w:r>
        <w:rPr>
          <w:rFonts w:ascii="Times New Roman" w:cs="Times New Roman" w:eastAsia="Times New Roman" w:hAnsi="Times New Roman"/>
          <w:color w:val="1F2937"/>
          <w:sz w:val="22"/>
          <w:szCs w:val="22"/>
        </w:rPr>
        <w:t xml:space="preserve">1b. Identifiez les trois facteurs de durabilité les plus fragiles dans la situation de Sofia.</w:t>
      </w:r>
    </w:p>
    <w:p>
      <w:pPr>
        <w:pStyle w:val="ListParagraph"/>
        <w:numPr>
          <w:ilvl w:val="0"/>
          <w:numId w:val="1"/>
        </w:numPr>
        <w:spacing w:after="80"/>
      </w:pPr>
      <w:r>
        <w:rPr>
          <w:rFonts w:ascii="Times New Roman" w:cs="Times New Roman" w:eastAsia="Times New Roman" w:hAnsi="Times New Roman"/>
          <w:color w:val="1F2937"/>
          <w:sz w:val="22"/>
          <w:szCs w:val="22"/>
        </w:rPr>
        <w:t xml:space="preserve">1c. Proposez deux options concrètes. Pour chaque option, indiquez l'effort requis et la probabilité qu'elle renverse la tendance.</w:t>
      </w:r>
    </w:p>
    <w:p>
      <w:pPr>
        <w:spacing w:after="80"/>
      </w:pPr>
      <w:r>
        <w:t xml:space="preserve"/>
      </w:r>
    </w:p>
    <w:p>
      <w:pPr>
        <w:pStyle w:val="Heading3"/>
        <w:spacing w:after="80" w:before="240"/>
      </w:pPr>
      <w:r>
        <w:rPr>
          <w:rFonts w:ascii="Times New Roman" w:cs="Times New Roman" w:eastAsia="Times New Roman" w:hAnsi="Times New Roman"/>
          <w:b/>
          <w:bCs/>
          <w:color w:val="1F2937"/>
          <w:sz w:val="26"/>
          <w:szCs w:val="26"/>
        </w:rPr>
        <w:t xml:space="preserve">Corrigé exercice 1</w:t>
      </w:r>
    </w:p>
    <w:p>
      <w:pPr>
        <w:spacing w:after="120"/>
      </w:pPr>
      <w:r>
        <w:rPr>
          <w:rFonts w:ascii="Times New Roman" w:cs="Times New Roman" w:eastAsia="Times New Roman" w:hAnsi="Times New Roman"/>
          <w:b/>
          <w:bCs/>
          <w:color w:val="1F2937"/>
          <w:sz w:val="22"/>
          <w:szCs w:val="22"/>
        </w:rPr>
        <w:t xml:space="preserve">1a. Classification :</w:t>
      </w:r>
    </w:p>
    <w:p>
      <w:pPr>
        <w:spacing w:after="120"/>
      </w:pPr>
      <w:r>
        <w:rPr>
          <w:rFonts w:ascii="Times New Roman" w:cs="Times New Roman" w:eastAsia="Times New Roman" w:hAnsi="Times New Roman"/>
          <w:color w:val="1F2937"/>
          <w:sz w:val="22"/>
          <w:szCs w:val="22"/>
        </w:rPr>
        <w:t xml:space="preserve">Le déclin est partiellement conjoncturel (lié à une mise à jour Google spécifique) mais révèle une fragilité structurelle : 94 % de dépendance à une seule source. Un déclin conjoncturel sur base structurellement fragile devient rapidement structurel si rien ne change. Ce modèle avait une vulnérabilité préexistante, l'update l'a juste exposée.</w:t>
      </w:r>
    </w:p>
    <w:p>
      <w:pPr>
        <w:spacing w:after="120"/>
      </w:pPr>
      <w:r>
        <w:rPr>
          <w:rFonts w:ascii="Times New Roman" w:cs="Times New Roman" w:eastAsia="Times New Roman" w:hAnsi="Times New Roman"/>
          <w:b/>
          <w:bCs/>
          <w:color w:val="1F2937"/>
          <w:sz w:val="22"/>
          <w:szCs w:val="22"/>
        </w:rPr>
        <w:t xml:space="preserve">1b. Les trois facteurs les plus fragiles :</w:t>
      </w:r>
    </w:p>
    <w:p>
      <w:pPr>
        <w:pStyle w:val="ListParagraph"/>
        <w:numPr>
          <w:ilvl w:val="0"/>
          <w:numId w:val="1"/>
        </w:numPr>
        <w:spacing w:after="80"/>
      </w:pPr>
      <w:r>
        <w:rPr>
          <w:rFonts w:ascii="Times New Roman" w:cs="Times New Roman" w:eastAsia="Times New Roman" w:hAnsi="Times New Roman"/>
          <w:color w:val="1F2937"/>
          <w:sz w:val="22"/>
          <w:szCs w:val="22"/>
        </w:rPr>
        <w:t xml:space="preserve">Source d'acquisition unique (94 % SEO) — un seul choc = -43 % de trafic (12 000 vers 6 800 visites)</w:t>
      </w:r>
      <w:r>
        <w:rPr>
          <w:i/>
          <w:color w:val="808080"/>
        </w:rPr>
        <w:t xml:space="preserve"> [Corrigé le 27/09/2026 : le -50 % est celui du revenu (620 € vers 310 €), pas du trafic, qui recule de 43,3 %.]</w:t>
      </w:r>
    </w:p>
    <w:p>
      <w:pPr>
        <w:pStyle w:val="ListParagraph"/>
        <w:numPr>
          <w:ilvl w:val="0"/>
          <w:numId w:val="1"/>
        </w:numPr>
        <w:spacing w:after="80"/>
      </w:pPr>
      <w:r>
        <w:rPr>
          <w:rFonts w:ascii="Times New Roman" w:cs="Times New Roman" w:eastAsia="Times New Roman" w:hAnsi="Times New Roman"/>
          <w:color w:val="1F2937"/>
          <w:sz w:val="22"/>
          <w:szCs w:val="22"/>
        </w:rPr>
        <w:t xml:space="preserve">Absence de propriété de l'audience (pas d'email list, pas de communauté directe)</w:t>
      </w:r>
    </w:p>
    <w:p>
      <w:pPr>
        <w:pStyle w:val="ListParagraph"/>
        <w:numPr>
          <w:ilvl w:val="0"/>
          <w:numId w:val="1"/>
        </w:numPr>
        <w:spacing w:after="80"/>
      </w:pPr>
      <w:r>
        <w:rPr>
          <w:rFonts w:ascii="Times New Roman" w:cs="Times New Roman" w:eastAsia="Times New Roman" w:hAnsi="Times New Roman"/>
          <w:color w:val="1F2937"/>
          <w:sz w:val="22"/>
          <w:szCs w:val="22"/>
        </w:rPr>
        <w:t xml:space="preserve">Maintenance réelle élevée (8 h/semaine) pour un revenu en baisse — ratio temps/revenu se dégrade</w:t>
      </w:r>
    </w:p>
    <w:p>
      <w:pPr>
        <w:spacing w:after="120"/>
      </w:pPr>
      <w:r>
        <w:rPr>
          <w:rFonts w:ascii="Times New Roman" w:cs="Times New Roman" w:eastAsia="Times New Roman" w:hAnsi="Times New Roman"/>
          <w:b/>
          <w:bCs/>
          <w:color w:val="1F2937"/>
          <w:sz w:val="22"/>
          <w:szCs w:val="22"/>
        </w:rPr>
        <w:t xml:space="preserve">1c. Deux options :</w:t>
      </w:r>
    </w:p>
    <w:p>
      <w:pPr>
        <w:pStyle w:val="ListParagraph"/>
        <w:numPr>
          <w:ilvl w:val="0"/>
          <w:numId w:val="1"/>
        </w:numPr>
        <w:spacing w:after="80"/>
      </w:pPr>
      <w:r>
        <w:rPr>
          <w:rFonts w:ascii="Times New Roman" w:cs="Times New Roman" w:eastAsia="Times New Roman" w:hAnsi="Times New Roman"/>
          <w:color w:val="1F2937"/>
          <w:sz w:val="22"/>
          <w:szCs w:val="22"/>
        </w:rPr>
        <w:t xml:space="preserve">Option A — Diversifier l'acquisition : lancer une liste email, publier sur LinkedIn/YouTube. Effort : 5 à 8 h/semaine pendant 3 à 6 mois avant résultat. Probabilité de renversement : modérée si le contenu reste pertinent, faible si le secteur no-code est lui-même en saturation.</w:t>
      </w:r>
    </w:p>
    <w:p>
      <w:pPr>
        <w:pStyle w:val="ListParagraph"/>
        <w:numPr>
          <w:ilvl w:val="0"/>
          <w:numId w:val="1"/>
        </w:numPr>
        <w:spacing w:after="80"/>
      </w:pPr>
      <w:r>
        <w:rPr>
          <w:rFonts w:ascii="Times New Roman" w:cs="Times New Roman" w:eastAsia="Times New Roman" w:hAnsi="Times New Roman"/>
          <w:color w:val="1F2937"/>
          <w:sz w:val="22"/>
          <w:szCs w:val="22"/>
        </w:rPr>
        <w:t xml:space="preserve">Option B — Pivoter vers un modèle à audience possédée : newsletter payante, formation courte. Effort : important (refonte du positionnement, nouveau produit). Probabilité : plus élevée à long terme, mais rupture avec le modèle actuel.</w:t>
      </w:r>
    </w:p>
    <w:p>
      <w:pPr>
        <w:spacing w:after="80"/>
      </w:pPr>
      <w:r>
        <w:t xml:space="preserve"/>
      </w:r>
    </w:p>
    <w:p>
      <w:pPr>
        <w:pStyle w:val="Heading3"/>
        <w:spacing w:after="80" w:before="240"/>
      </w:pPr>
      <w:r>
        <w:rPr>
          <w:rFonts w:ascii="Times New Roman" w:cs="Times New Roman" w:eastAsia="Times New Roman" w:hAnsi="Times New Roman"/>
          <w:b/>
          <w:bCs/>
          <w:color w:val="1F2937"/>
          <w:sz w:val="26"/>
          <w:szCs w:val="26"/>
        </w:rPr>
        <w:t xml:space="preserve">Exercice 2 — Construction d'une matrice de durabilité</w:t>
      </w:r>
    </w:p>
    <w:p>
      <w:pPr>
        <w:spacing w:after="120"/>
      </w:pPr>
      <w:r>
        <w:rPr>
          <w:rFonts w:ascii="Times New Roman" w:cs="Times New Roman" w:eastAsia="Times New Roman" w:hAnsi="Times New Roman"/>
          <w:color w:val="1F2937"/>
          <w:sz w:val="22"/>
          <w:szCs w:val="22"/>
        </w:rPr>
        <w:t xml:space="preserve">Utilisez le tableau des six facteurs de durabilité de la théorie. Appliquez-le à ce micro-SaaS fictif :</w:t>
      </w:r>
    </w:p>
    <w:p>
      <w:pPr>
        <w:pBdr>
          <w:left w:val="thick" w:color="1B3A6B" w:sz="12"/>
        </w:pBdr>
        <w:shd w:color="EEF2F7" w:val="solid"/>
        <w:spacing w:after="100" w:before="100"/>
        <w:ind w:left="240" w:right="240"/>
      </w:pPr>
      <w:r>
        <w:rPr>
          <w:rFonts w:ascii="Times New Roman" w:cs="Times New Roman" w:eastAsia="Times New Roman" w:hAnsi="Times New Roman"/>
          <w:i/>
          <w:iCs/>
          <w:color w:val="1F2937"/>
          <w:sz w:val="22"/>
          <w:szCs w:val="22"/>
        </w:rPr>
        <w:t xml:space="preserve">Scénario : "InvoiceBot" — outil d'automatisation de relances de factures pour freelances.</w:t>
      </w:r>
    </w:p>
    <w:p>
      <w:pPr>
        <w:pBdr>
          <w:left w:val="thick" w:color="1B3A6B" w:sz="12"/>
        </w:pBdr>
        <w:shd w:color="EEF2F7" w:val="solid"/>
        <w:spacing w:after="100" w:before="100"/>
        <w:ind w:left="240" w:right="240"/>
      </w:pPr>
      <w:r>
        <w:rPr>
          <w:rFonts w:ascii="Times New Roman" w:cs="Times New Roman" w:eastAsia="Times New Roman" w:hAnsi="Times New Roman"/>
          <w:i/>
          <w:iCs/>
          <w:color w:val="1F2937"/>
          <w:sz w:val="22"/>
          <w:szCs w:val="22"/>
        </w:rPr>
        <w:t xml:space="preserve">• 180 abonnés actifs, MRR : 1 620 € (plan unique à 9 €/mois)</w:t>
      </w:r>
    </w:p>
    <w:p>
      <w:pPr>
        <w:pBdr>
          <w:left w:val="thick" w:color="1B3A6B" w:sz="12"/>
        </w:pBdr>
        <w:shd w:color="EEF2F7" w:val="solid"/>
        <w:spacing w:after="100" w:before="100"/>
        <w:ind w:left="240" w:right="240"/>
      </w:pPr>
      <w:r>
        <w:rPr>
          <w:rFonts w:ascii="Times New Roman" w:cs="Times New Roman" w:eastAsia="Times New Roman" w:hAnsi="Times New Roman"/>
          <w:i/>
          <w:iCs/>
          <w:color w:val="1F2937"/>
          <w:sz w:val="22"/>
          <w:szCs w:val="22"/>
        </w:rPr>
        <w:t xml:space="preserve">• Acquisition : 60 % bouche-à-oreille, 30 % SEO, 10 % LinkedIn</w:t>
      </w:r>
    </w:p>
    <w:p>
      <w:pPr>
        <w:pBdr>
          <w:left w:val="thick" w:color="1B3A6B" w:sz="12"/>
        </w:pBdr>
        <w:shd w:color="EEF2F7" w:val="solid"/>
        <w:spacing w:after="100" w:before="100"/>
        <w:ind w:left="240" w:right="240"/>
      </w:pPr>
      <w:r>
        <w:rPr>
          <w:rFonts w:ascii="Times New Roman" w:cs="Times New Roman" w:eastAsia="Times New Roman" w:hAnsi="Times New Roman"/>
          <w:i/>
          <w:iCs/>
          <w:color w:val="1F2937"/>
          <w:sz w:val="22"/>
          <w:szCs w:val="22"/>
        </w:rPr>
        <w:t xml:space="preserve">• Churn mensuel : 4,2 %</w:t>
      </w:r>
    </w:p>
    <w:p>
      <w:pPr>
        <w:pBdr>
          <w:left w:val="thick" w:color="1B3A6B" w:sz="12"/>
        </w:pBdr>
        <w:shd w:color="EEF2F7" w:val="solid"/>
        <w:spacing w:after="100" w:before="100"/>
        <w:ind w:left="240" w:right="240"/>
      </w:pPr>
      <w:r>
        <w:rPr>
          <w:rFonts w:ascii="Times New Roman" w:cs="Times New Roman" w:eastAsia="Times New Roman" w:hAnsi="Times New Roman"/>
          <w:i/>
          <w:iCs/>
          <w:color w:val="1F2937"/>
          <w:sz w:val="22"/>
          <w:szCs w:val="22"/>
        </w:rPr>
        <w:t xml:space="preserve">• Maintenance : 3 h/semaine (support + veille).</w:t>
      </w:r>
    </w:p>
    <w:p>
      <w:pPr>
        <w:pBdr>
          <w:left w:val="thick" w:color="1B3A6B" w:sz="12"/>
        </w:pBdr>
        <w:shd w:color="EEF2F7" w:val="solid"/>
        <w:spacing w:after="100" w:before="100"/>
        <w:ind w:left="240" w:right="240"/>
      </w:pPr>
      <w:r>
        <w:rPr>
          <w:rFonts w:ascii="Times New Roman" w:cs="Times New Roman" w:eastAsia="Times New Roman" w:hAnsi="Times New Roman"/>
          <w:i/>
          <w:iCs/>
          <w:color w:val="1F2937"/>
          <w:sz w:val="22"/>
          <w:szCs w:val="22"/>
        </w:rPr>
        <w:t xml:space="preserve">• Construit sur l'API d'un seul éditeur de facturation (qui représente 70 % des cas d'usage).</w:t>
      </w:r>
    </w:p>
    <w:p>
      <w:pPr>
        <w:pBdr>
          <w:left w:val="thick" w:color="1B3A6B" w:sz="12"/>
        </w:pBdr>
        <w:shd w:color="EEF2F7" w:val="solid"/>
        <w:spacing w:after="100" w:before="100"/>
        <w:ind w:left="240" w:right="240"/>
      </w:pPr>
      <w:r>
        <w:rPr>
          <w:rFonts w:ascii="Times New Roman" w:cs="Times New Roman" w:eastAsia="Times New Roman" w:hAnsi="Times New Roman"/>
          <w:i/>
          <w:iCs/>
          <w:color w:val="1F2937"/>
          <w:sz w:val="22"/>
          <w:szCs w:val="22"/>
        </w:rPr>
        <w:t xml:space="preserve">• Aucune donnée propriétaire, pas de communauté.</w:t>
      </w:r>
    </w:p>
    <w:p>
      <w:pPr>
        <w:spacing w:after="80"/>
      </w:pPr>
      <w:r>
        <w:t xml:space="preserve"/>
      </w:r>
    </w:p>
    <w:p>
      <w:pPr>
        <w:spacing w:after="120"/>
      </w:pPr>
      <w:r>
        <w:rPr>
          <w:rFonts w:ascii="Times New Roman" w:cs="Times New Roman" w:eastAsia="Times New Roman" w:hAnsi="Times New Roman"/>
          <w:color w:val="1F2937"/>
          <w:sz w:val="22"/>
          <w:szCs w:val="22"/>
        </w:rPr>
        <w:t xml:space="preserve">Questions :</w:t>
      </w:r>
    </w:p>
    <w:p>
      <w:pPr>
        <w:pStyle w:val="ListParagraph"/>
        <w:numPr>
          <w:ilvl w:val="0"/>
          <w:numId w:val="1"/>
        </w:numPr>
        <w:spacing w:after="80"/>
      </w:pPr>
      <w:r>
        <w:rPr>
          <w:rFonts w:ascii="Times New Roman" w:cs="Times New Roman" w:eastAsia="Times New Roman" w:hAnsi="Times New Roman"/>
          <w:color w:val="1F2937"/>
          <w:sz w:val="22"/>
          <w:szCs w:val="22"/>
        </w:rPr>
        <w:t xml:space="preserve">2a. Notez chaque facteur de durabilité de 1 (très fragile) à 5 (très solide). Justifiez chaque note en une phrase.</w:t>
      </w:r>
    </w:p>
    <w:p>
      <w:pPr>
        <w:pStyle w:val="ListParagraph"/>
        <w:numPr>
          <w:ilvl w:val="0"/>
          <w:numId w:val="1"/>
        </w:numPr>
        <w:spacing w:after="80"/>
      </w:pPr>
      <w:r>
        <w:rPr>
          <w:rFonts w:ascii="Times New Roman" w:cs="Times New Roman" w:eastAsia="Times New Roman" w:hAnsi="Times New Roman"/>
          <w:color w:val="1F2937"/>
          <w:sz w:val="22"/>
          <w:szCs w:val="22"/>
        </w:rPr>
        <w:t xml:space="preserve">2b. Calculez le score total sur 30. Interprétez : modèle fragile (&lt; 15), moyen (15-22), durable (&gt; 22).</w:t>
      </w:r>
    </w:p>
    <w:p>
      <w:pPr>
        <w:pStyle w:val="ListParagraph"/>
        <w:numPr>
          <w:ilvl w:val="0"/>
          <w:numId w:val="1"/>
        </w:numPr>
        <w:spacing w:after="80"/>
      </w:pPr>
      <w:r>
        <w:rPr>
          <w:rFonts w:ascii="Times New Roman" w:cs="Times New Roman" w:eastAsia="Times New Roman" w:hAnsi="Times New Roman"/>
          <w:color w:val="1F2937"/>
          <w:sz w:val="22"/>
          <w:szCs w:val="22"/>
        </w:rPr>
        <w:t xml:space="preserve">2c. Identifiez le facteur le plus urgent à améliorer. Proposez une action concrète.</w:t>
      </w:r>
    </w:p>
    <w:p>
      <w:pPr>
        <w:spacing w:after="80"/>
      </w:pPr>
      <w:r>
        <w:t xml:space="preserve"/>
      </w:r>
    </w:p>
    <w:p>
      <w:pPr>
        <w:pStyle w:val="Heading3"/>
        <w:spacing w:after="80" w:before="240"/>
      </w:pPr>
      <w:r>
        <w:rPr>
          <w:rFonts w:ascii="Times New Roman" w:cs="Times New Roman" w:eastAsia="Times New Roman" w:hAnsi="Times New Roman"/>
          <w:b/>
          <w:bCs/>
          <w:color w:val="1F2937"/>
          <w:sz w:val="26"/>
          <w:szCs w:val="26"/>
        </w:rPr>
        <w:t xml:space="preserve">Corrigé exercice 2</w:t>
      </w:r>
    </w:p>
    <w:p>
      <w:pPr>
        <w:spacing w:after="120"/>
      </w:pPr>
      <w:r>
        <w:rPr>
          <w:rFonts w:ascii="Times New Roman" w:cs="Times New Roman" w:eastAsia="Times New Roman" w:hAnsi="Times New Roman"/>
          <w:b/>
          <w:bCs/>
          <w:color w:val="1F2937"/>
          <w:sz w:val="22"/>
          <w:szCs w:val="22"/>
        </w:rPr>
        <w:t xml:space="preserve">2a. Notes et justifications :</w:t>
      </w:r>
    </w:p>
    <w:p>
      <w:pPr>
        <w:spacing w:after="80"/>
      </w:pPr>
      <w: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shd w:color="1B3A6B" w:val="solid"/>
            <w:vAlign w:val="center"/>
          </w:tcPr>
          <w:p>
            <w:pPr>
              <w:jc w:val="center"/>
            </w:pPr>
            <w:r>
              <w:rPr>
                <w:rFonts w:ascii="Times New Roman" w:cs="Times New Roman" w:eastAsia="Times New Roman" w:hAnsi="Times New Roman"/>
                <w:b/>
                <w:bCs/>
                <w:color w:val="FFFFFF"/>
                <w:sz w:val="20"/>
                <w:szCs w:val="20"/>
              </w:rPr>
              <w:t xml:space="preserve">Facteur</w:t>
            </w:r>
          </w:p>
        </w:tc>
        <w:tc>
          <w:tcPr>
            <w:shd w:color="1B3A6B" w:val="solid"/>
            <w:vAlign w:val="center"/>
          </w:tcPr>
          <w:p>
            <w:pPr>
              <w:jc w:val="center"/>
            </w:pPr>
            <w:r>
              <w:rPr>
                <w:rFonts w:ascii="Times New Roman" w:cs="Times New Roman" w:eastAsia="Times New Roman" w:hAnsi="Times New Roman"/>
                <w:b/>
                <w:bCs/>
                <w:color w:val="FFFFFF"/>
                <w:sz w:val="20"/>
                <w:szCs w:val="20"/>
              </w:rPr>
              <w:t xml:space="preserve">Note /5</w:t>
            </w:r>
          </w:p>
        </w:tc>
        <w:tc>
          <w:tcPr>
            <w:shd w:color="1B3A6B" w:val="solid"/>
            <w:vAlign w:val="center"/>
          </w:tcPr>
          <w:p>
            <w:pPr>
              <w:jc w:val="center"/>
            </w:pPr>
            <w:r>
              <w:rPr>
                <w:rFonts w:ascii="Times New Roman" w:cs="Times New Roman" w:eastAsia="Times New Roman" w:hAnsi="Times New Roman"/>
                <w:b/>
                <w:bCs/>
                <w:color w:val="FFFFFF"/>
                <w:sz w:val="20"/>
                <w:szCs w:val="20"/>
              </w:rPr>
              <w:t xml:space="preserve">Justification</w:t>
            </w:r>
          </w:p>
        </w:tc>
      </w:tr>
      <w:tr>
        <w:tc>
          <w:tcPr>
            <w:shd w:color="FFFFFF" w:val="solid"/>
            <w:vAlign w:val="center"/>
          </w:tcPr>
          <w:p>
            <w:r>
              <w:rPr>
                <w:rFonts w:ascii="Times New Roman" w:cs="Times New Roman" w:eastAsia="Times New Roman" w:hAnsi="Times New Roman"/>
                <w:color w:val="1F2937"/>
                <w:sz w:val="20"/>
                <w:szCs w:val="20"/>
              </w:rPr>
              <w:t xml:space="preserve">Profondeur du moat</w:t>
            </w:r>
          </w:p>
        </w:tc>
        <w:tc>
          <w:tcPr>
            <w:shd w:color="FFFFFF" w:val="solid"/>
            <w:vAlign w:val="center"/>
          </w:tcPr>
          <w:p>
            <w:r>
              <w:rPr>
                <w:rFonts w:ascii="Times New Roman" w:cs="Times New Roman" w:eastAsia="Times New Roman" w:hAnsi="Times New Roman"/>
                <w:color w:val="1F2937"/>
                <w:sz w:val="20"/>
                <w:szCs w:val="20"/>
              </w:rPr>
              <w:t xml:space="preserve">2</w:t>
            </w:r>
          </w:p>
        </w:tc>
        <w:tc>
          <w:tcPr>
            <w:shd w:color="FFFFFF" w:val="solid"/>
            <w:vAlign w:val="center"/>
          </w:tcPr>
          <w:p>
            <w:r>
              <w:rPr>
                <w:rFonts w:ascii="Times New Roman" w:cs="Times New Roman" w:eastAsia="Times New Roman" w:hAnsi="Times New Roman"/>
                <w:color w:val="1F2937"/>
                <w:sz w:val="20"/>
                <w:szCs w:val="20"/>
              </w:rPr>
              <w:t xml:space="preserve">Pas de données propriétaires, fonctionnalité facile à copier</w:t>
            </w:r>
          </w:p>
        </w:tc>
      </w:tr>
      <w:tr>
        <w:tc>
          <w:tcPr>
            <w:shd w:color="EEF2F7" w:val="solid"/>
            <w:vAlign w:val="center"/>
          </w:tcPr>
          <w:p>
            <w:r>
              <w:rPr>
                <w:rFonts w:ascii="Times New Roman" w:cs="Times New Roman" w:eastAsia="Times New Roman" w:hAnsi="Times New Roman"/>
                <w:color w:val="1F2937"/>
                <w:sz w:val="20"/>
                <w:szCs w:val="20"/>
              </w:rPr>
              <w:t xml:space="preserve">Diversité des sources d'acquisition</w:t>
            </w:r>
          </w:p>
        </w:tc>
        <w:tc>
          <w:tcPr>
            <w:shd w:color="EEF2F7" w:val="solid"/>
            <w:vAlign w:val="center"/>
          </w:tcPr>
          <w:p>
            <w:r>
              <w:rPr>
                <w:rFonts w:ascii="Times New Roman" w:cs="Times New Roman" w:eastAsia="Times New Roman" w:hAnsi="Times New Roman"/>
                <w:color w:val="1F2937"/>
                <w:sz w:val="20"/>
                <w:szCs w:val="20"/>
              </w:rPr>
              <w:t xml:space="preserve">3</w:t>
            </w:r>
          </w:p>
        </w:tc>
        <w:tc>
          <w:tcPr>
            <w:shd w:color="EEF2F7" w:val="solid"/>
            <w:vAlign w:val="center"/>
          </w:tcPr>
          <w:p>
            <w:r>
              <w:rPr>
                <w:rFonts w:ascii="Times New Roman" w:cs="Times New Roman" w:eastAsia="Times New Roman" w:hAnsi="Times New Roman"/>
                <w:color w:val="1F2937"/>
                <w:sz w:val="20"/>
                <w:szCs w:val="20"/>
              </w:rPr>
              <w:t xml:space="preserve">3 sources mais SEO reste vulnérable, volume modeste</w:t>
            </w:r>
          </w:p>
        </w:tc>
      </w:tr>
      <w:tr>
        <w:tc>
          <w:tcPr>
            <w:shd w:color="FFFFFF" w:val="solid"/>
            <w:vAlign w:val="center"/>
          </w:tcPr>
          <w:p>
            <w:r>
              <w:rPr>
                <w:rFonts w:ascii="Times New Roman" w:cs="Times New Roman" w:eastAsia="Times New Roman" w:hAnsi="Times New Roman"/>
                <w:color w:val="1F2937"/>
                <w:sz w:val="20"/>
                <w:szCs w:val="20"/>
              </w:rPr>
              <w:t xml:space="preserve">Propriété de l'audience</w:t>
            </w:r>
          </w:p>
        </w:tc>
        <w:tc>
          <w:tcPr>
            <w:shd w:color="FFFFFF" w:val="solid"/>
            <w:vAlign w:val="center"/>
          </w:tcPr>
          <w:p>
            <w:r>
              <w:rPr>
                <w:rFonts w:ascii="Times New Roman" w:cs="Times New Roman" w:eastAsia="Times New Roman" w:hAnsi="Times New Roman"/>
                <w:color w:val="1F2937"/>
                <w:sz w:val="20"/>
                <w:szCs w:val="20"/>
              </w:rPr>
              <w:t xml:space="preserve">2</w:t>
            </w:r>
          </w:p>
        </w:tc>
        <w:tc>
          <w:tcPr>
            <w:shd w:color="FFFFFF" w:val="solid"/>
            <w:vAlign w:val="center"/>
          </w:tcPr>
          <w:p>
            <w:r>
              <w:rPr>
                <w:rFonts w:ascii="Times New Roman" w:cs="Times New Roman" w:eastAsia="Times New Roman" w:hAnsi="Times New Roman"/>
                <w:color w:val="1F2937"/>
                <w:sz w:val="20"/>
                <w:szCs w:val="20"/>
              </w:rPr>
              <w:t xml:space="preserve">Pas de liste email, pas de communauté directe</w:t>
            </w:r>
          </w:p>
        </w:tc>
      </w:tr>
      <w:tr>
        <w:tc>
          <w:tcPr>
            <w:shd w:color="EEF2F7" w:val="solid"/>
            <w:vAlign w:val="center"/>
          </w:tcPr>
          <w:p>
            <w:r>
              <w:rPr>
                <w:rFonts w:ascii="Times New Roman" w:cs="Times New Roman" w:eastAsia="Times New Roman" w:hAnsi="Times New Roman"/>
                <w:color w:val="1F2937"/>
                <w:sz w:val="20"/>
                <w:szCs w:val="20"/>
              </w:rPr>
              <w:t xml:space="preserve">Churn mensuel (4,2 %)</w:t>
            </w:r>
          </w:p>
        </w:tc>
        <w:tc>
          <w:tcPr>
            <w:shd w:color="EEF2F7" w:val="solid"/>
            <w:vAlign w:val="center"/>
          </w:tcPr>
          <w:p>
            <w:r>
              <w:rPr>
                <w:rFonts w:ascii="Times New Roman" w:cs="Times New Roman" w:eastAsia="Times New Roman" w:hAnsi="Times New Roman"/>
                <w:color w:val="1F2937"/>
                <w:sz w:val="20"/>
                <w:szCs w:val="20"/>
              </w:rPr>
              <w:t xml:space="preserve">3</w:t>
            </w:r>
          </w:p>
        </w:tc>
        <w:tc>
          <w:tcPr>
            <w:shd w:color="EEF2F7" w:val="solid"/>
            <w:vAlign w:val="center"/>
          </w:tcPr>
          <w:p>
            <w:r>
              <w:rPr>
                <w:rFonts w:ascii="Times New Roman" w:cs="Times New Roman" w:eastAsia="Times New Roman" w:hAnsi="Times New Roman"/>
                <w:color w:val="1F2937"/>
                <w:sz w:val="20"/>
                <w:szCs w:val="20"/>
              </w:rPr>
              <w:t xml:space="preserve">En zone acceptable (&lt; 5 %) mais au-dessus du seuil de confort (&lt; 3 %)</w:t>
            </w:r>
          </w:p>
        </w:tc>
      </w:tr>
      <w:tr>
        <w:tc>
          <w:tcPr>
            <w:shd w:color="FFFFFF" w:val="solid"/>
            <w:vAlign w:val="center"/>
          </w:tcPr>
          <w:p>
            <w:r>
              <w:rPr>
                <w:rFonts w:ascii="Times New Roman" w:cs="Times New Roman" w:eastAsia="Times New Roman" w:hAnsi="Times New Roman"/>
                <w:color w:val="1F2937"/>
                <w:sz w:val="20"/>
                <w:szCs w:val="20"/>
              </w:rPr>
              <w:t xml:space="preserve">Maintenance réelle (3 h/semaine)</w:t>
            </w:r>
          </w:p>
        </w:tc>
        <w:tc>
          <w:tcPr>
            <w:shd w:color="FFFFFF" w:val="solid"/>
            <w:vAlign w:val="center"/>
          </w:tcPr>
          <w:p>
            <w:r>
              <w:rPr>
                <w:rFonts w:ascii="Times New Roman" w:cs="Times New Roman" w:eastAsia="Times New Roman" w:hAnsi="Times New Roman"/>
                <w:color w:val="1F2937"/>
                <w:sz w:val="20"/>
                <w:szCs w:val="20"/>
              </w:rPr>
              <w:t xml:space="preserve">4</w:t>
            </w:r>
          </w:p>
        </w:tc>
        <w:tc>
          <w:tcPr>
            <w:shd w:color="FFFFFF" w:val="solid"/>
            <w:vAlign w:val="center"/>
          </w:tcPr>
          <w:p>
            <w:r>
              <w:rPr>
                <w:rFonts w:ascii="Times New Roman" w:cs="Times New Roman" w:eastAsia="Times New Roman" w:hAnsi="Times New Roman"/>
                <w:color w:val="1F2937"/>
                <w:sz w:val="20"/>
                <w:szCs w:val="20"/>
              </w:rPr>
              <w:t xml:space="preserve">Charge raisonnable pour 1 620 €/mois</w:t>
            </w:r>
          </w:p>
        </w:tc>
      </w:tr>
      <w:tr>
        <w:tc>
          <w:tcPr>
            <w:shd w:color="EEF2F7" w:val="solid"/>
            <w:vAlign w:val="center"/>
          </w:tcPr>
          <w:p>
            <w:r>
              <w:rPr>
                <w:rFonts w:ascii="Times New Roman" w:cs="Times New Roman" w:eastAsia="Times New Roman" w:hAnsi="Times New Roman"/>
                <w:color w:val="1F2937"/>
                <w:sz w:val="20"/>
                <w:szCs w:val="20"/>
              </w:rPr>
              <w:t xml:space="preserve">Indépendance des tiers</w:t>
            </w:r>
          </w:p>
        </w:tc>
        <w:tc>
          <w:tcPr>
            <w:shd w:color="EEF2F7" w:val="solid"/>
            <w:vAlign w:val="center"/>
          </w:tcPr>
          <w:p>
            <w:r>
              <w:rPr>
                <w:rFonts w:ascii="Times New Roman" w:cs="Times New Roman" w:eastAsia="Times New Roman" w:hAnsi="Times New Roman"/>
                <w:color w:val="1F2937"/>
                <w:sz w:val="20"/>
                <w:szCs w:val="20"/>
              </w:rPr>
              <w:t xml:space="preserve">1</w:t>
            </w:r>
          </w:p>
        </w:tc>
        <w:tc>
          <w:tcPr>
            <w:shd w:color="EEF2F7" w:val="solid"/>
            <w:vAlign w:val="center"/>
          </w:tcPr>
          <w:p>
            <w:r>
              <w:rPr>
                <w:rFonts w:ascii="Times New Roman" w:cs="Times New Roman" w:eastAsia="Times New Roman" w:hAnsi="Times New Roman"/>
                <w:color w:val="1F2937"/>
                <w:sz w:val="20"/>
                <w:szCs w:val="20"/>
              </w:rPr>
              <w:t xml:space="preserve">Dépendance de 100 % à un seul fournisseur d'API, dont le périmètre couvre 70 % des cas d'usage — risque critique</w:t>
            </w:r>
          </w:p>
        </w:tc>
      </w:tr>
    </w:tbl>
    <w:p>
      <w:pPr>
        <w:spacing w:after="80"/>
      </w:pPr>
      <w:r>
        <w:t xml:space="preserve"/>
      </w:r>
    </w:p>
    <w:p>
      <w:pPr>
        <w:spacing w:after="120"/>
      </w:pPr>
      <w:r>
        <w:rPr>
          <w:rFonts w:ascii="Times New Roman" w:cs="Times New Roman" w:eastAsia="Times New Roman" w:hAnsi="Times New Roman"/>
          <w:b/>
          <w:bCs/>
          <w:color w:val="1F2937"/>
          <w:sz w:val="22"/>
          <w:szCs w:val="22"/>
        </w:rPr>
        <w:t xml:space="preserve">2b. Score total :</w:t>
      </w:r>
    </w:p>
    <w:p>
      <w:pPr>
        <w:spacing w:after="120"/>
      </w:pPr>
      <w:r>
        <w:rPr>
          <w:rFonts w:ascii="Times New Roman" w:cs="Times New Roman" w:eastAsia="Times New Roman" w:hAnsi="Times New Roman"/>
          <w:color w:val="1F2937"/>
          <w:sz w:val="22"/>
          <w:szCs w:val="22"/>
        </w:rPr>
        <w:t xml:space="preserve">2 + 3 + 2 + 3 + 4 + 1 = 15 / 30 → Modèle moyen, à la limite basse de la durabilité.</w:t>
      </w:r>
    </w:p>
    <w:p>
      <w:pPr>
        <w:spacing w:after="120"/>
      </w:pPr>
      <w:r>
        <w:rPr>
          <w:rFonts w:ascii="Times New Roman" w:cs="Times New Roman" w:eastAsia="Times New Roman" w:hAnsi="Times New Roman"/>
          <w:b/>
          <w:bCs/>
          <w:color w:val="1F2937"/>
          <w:sz w:val="22"/>
          <w:szCs w:val="22"/>
        </w:rPr>
        <w:t xml:space="preserve">2c. Facteur prioritaire :</w:t>
      </w:r>
    </w:p>
    <w:p>
      <w:pPr>
        <w:spacing w:after="120"/>
      </w:pPr>
      <w:r>
        <w:rPr>
          <w:rFonts w:ascii="Times New Roman" w:cs="Times New Roman" w:eastAsia="Times New Roman" w:hAnsi="Times New Roman"/>
          <w:color w:val="1F2937"/>
          <w:sz w:val="22"/>
          <w:szCs w:val="22"/>
        </w:rPr>
        <w:t xml:space="preserve">L'indépendance des tiers (note 1) est le facteur le plus urgent. Action concrète : intégrer un second fournisseur de facturation (par ex. Pennylane ou Freebe) pour ne plus dépendre d'un seul. Objectif : amener ce facteur à 3/5 en répartissant les intégrations sur deux fournisseurs, aucun ne portant plus de 60 % des comptes.</w:t>
      </w:r>
      <w:r>
        <w:rPr>
          <w:i/>
          <w:color w:val="808080"/>
        </w:rPr>
        <w:t xml:space="preserve"> [Corrigé le 27/09/2026 : l'énoncé dit que l'outil est construit sur l'API d'un seul éditeur — la dépendance est donc totale ; les 70 % étaient la part des cas d'usage couverts, pas la part de la dépendance. La cible chiffrée portait sur une dépendance de 70 % qui n'existait pas : avec une dépendance totale, l'objectif est de la partager, pas de la ramener à un pourcentage.]</w:t>
      </w:r>
    </w:p>
    <w:p>
      <w:pPr>
        <w:spacing w:after="80"/>
      </w:pPr>
      <w:r>
        <w:t xml:space="preserve"/>
      </w:r>
    </w:p>
    <w:p>
      <w:pPr>
        <w:pStyle w:val="Heading3"/>
        <w:spacing w:after="80" w:before="240"/>
      </w:pPr>
      <w:r>
        <w:rPr>
          <w:rFonts w:ascii="Times New Roman" w:cs="Times New Roman" w:eastAsia="Times New Roman" w:hAnsi="Times New Roman"/>
          <w:b/>
          <w:bCs/>
          <w:color w:val="1F2937"/>
          <w:sz w:val="26"/>
          <w:szCs w:val="26"/>
        </w:rPr>
        <w:t xml:space="preserve">Exercice 3 — Comparaison de durabilité : deux modèles face à face</w:t>
      </w:r>
    </w:p>
    <w:p>
      <w:pPr>
        <w:spacing w:after="120"/>
      </w:pPr>
      <w:r>
        <w:rPr>
          <w:rFonts w:ascii="Times New Roman" w:cs="Times New Roman" w:eastAsia="Times New Roman" w:hAnsi="Times New Roman"/>
          <w:color w:val="1F2937"/>
          <w:sz w:val="22"/>
          <w:szCs w:val="22"/>
        </w:rPr>
        <w:t xml:space="preserve">Comparez ces deux modèles fictifs sur la matrice des six facteurs :</w:t>
      </w:r>
    </w:p>
    <w:p>
      <w:pPr>
        <w:pBdr>
          <w:left w:val="thick" w:color="1B3A6B" w:sz="12"/>
        </w:pBdr>
        <w:shd w:color="EEF2F7" w:val="solid"/>
        <w:spacing w:after="100" w:before="100"/>
        <w:ind w:left="240" w:right="240"/>
      </w:pPr>
      <w:r>
        <w:rPr>
          <w:rFonts w:ascii="Times New Roman" w:cs="Times New Roman" w:eastAsia="Times New Roman" w:hAnsi="Times New Roman"/>
          <w:i/>
          <w:iCs/>
          <w:color w:val="1F2937"/>
          <w:sz w:val="22"/>
          <w:szCs w:val="22"/>
        </w:rPr>
        <w:t xml:space="preserve">Modèle A — "Guide PDF : apprendre le Python pour débutants"</w:t>
      </w:r>
    </w:p>
    <w:p>
      <w:pPr>
        <w:pBdr>
          <w:left w:val="thick" w:color="1B3A6B" w:sz="12"/>
        </w:pBdr>
        <w:shd w:color="EEF2F7" w:val="solid"/>
        <w:spacing w:after="100" w:before="100"/>
        <w:ind w:left="240" w:right="240"/>
      </w:pPr>
      <w:r>
        <w:rPr>
          <w:rFonts w:ascii="Times New Roman" w:cs="Times New Roman" w:eastAsia="Times New Roman" w:hAnsi="Times New Roman"/>
          <w:i/>
          <w:iCs/>
          <w:color w:val="1F2937"/>
          <w:sz w:val="22"/>
          <w:szCs w:val="22"/>
        </w:rPr>
        <w:t xml:space="preserve">• Vendu sur Gumroad, 19 €, sans mise à jour depuis 18 mois.</w:t>
      </w:r>
    </w:p>
    <w:p>
      <w:pPr>
        <w:pBdr>
          <w:left w:val="thick" w:color="1B3A6B" w:sz="12"/>
        </w:pBdr>
        <w:shd w:color="EEF2F7" w:val="solid"/>
        <w:spacing w:after="100" w:before="100"/>
        <w:ind w:left="240" w:right="240"/>
      </w:pPr>
      <w:r>
        <w:rPr>
          <w:rFonts w:ascii="Times New Roman" w:cs="Times New Roman" w:eastAsia="Times New Roman" w:hAnsi="Times New Roman"/>
          <w:i/>
          <w:iCs/>
          <w:color w:val="1F2937"/>
          <w:sz w:val="22"/>
          <w:szCs w:val="22"/>
        </w:rPr>
        <w:t xml:space="preserve">• 3 ventes/mois en ce moment (était 25/mois au lancement il y a 2 ans).</w:t>
      </w:r>
    </w:p>
    <w:p>
      <w:pPr>
        <w:pBdr>
          <w:left w:val="thick" w:color="1B3A6B" w:sz="12"/>
        </w:pBdr>
        <w:shd w:color="EEF2F7" w:val="solid"/>
        <w:spacing w:after="100" w:before="100"/>
        <w:ind w:left="240" w:right="240"/>
      </w:pPr>
      <w:r>
        <w:rPr>
          <w:rFonts w:ascii="Times New Roman" w:cs="Times New Roman" w:eastAsia="Times New Roman" w:hAnsi="Times New Roman"/>
          <w:i/>
          <w:iCs/>
          <w:color w:val="1F2937"/>
          <w:sz w:val="22"/>
          <w:szCs w:val="22"/>
        </w:rPr>
        <w:t xml:space="preserve">• Zéro maintenance active.</w:t>
      </w:r>
    </w:p>
    <w:p>
      <w:pPr>
        <w:pBdr>
          <w:left w:val="thick" w:color="1B3A6B" w:sz="12"/>
        </w:pBdr>
        <w:shd w:color="EEF2F7" w:val="solid"/>
        <w:spacing w:after="100" w:before="100"/>
        <w:ind w:left="240" w:right="240"/>
      </w:pPr>
      <w:r>
        <w:rPr>
          <w:rFonts w:ascii="Times New Roman" w:cs="Times New Roman" w:eastAsia="Times New Roman" w:hAnsi="Times New Roman"/>
          <w:i/>
          <w:iCs/>
          <w:color w:val="1F2937"/>
          <w:sz w:val="22"/>
          <w:szCs w:val="22"/>
        </w:rPr>
        <w:t xml:space="preserve"/>
      </w:r>
    </w:p>
    <w:p>
      <w:pPr>
        <w:pBdr>
          <w:left w:val="thick" w:color="1B3A6B" w:sz="12"/>
        </w:pBdr>
        <w:shd w:color="EEF2F7" w:val="solid"/>
        <w:spacing w:after="100" w:before="100"/>
        <w:ind w:left="240" w:right="240"/>
      </w:pPr>
      <w:r>
        <w:rPr>
          <w:rFonts w:ascii="Times New Roman" w:cs="Times New Roman" w:eastAsia="Times New Roman" w:hAnsi="Times New Roman"/>
          <w:i/>
          <w:iCs/>
          <w:color w:val="1F2937"/>
          <w:sz w:val="22"/>
          <w:szCs w:val="22"/>
        </w:rPr>
        <w:t xml:space="preserve">Modèle B — "La Lettre du Rédacteur Web" — newsletter payante à 12 €/mois</w:t>
      </w:r>
    </w:p>
    <w:p>
      <w:pPr>
        <w:pBdr>
          <w:left w:val="thick" w:color="1B3A6B" w:sz="12"/>
        </w:pBdr>
        <w:shd w:color="EEF2F7" w:val="solid"/>
        <w:spacing w:after="100" w:before="100"/>
        <w:ind w:left="240" w:right="240"/>
      </w:pPr>
      <w:r>
        <w:rPr>
          <w:rFonts w:ascii="Times New Roman" w:cs="Times New Roman" w:eastAsia="Times New Roman" w:hAnsi="Times New Roman"/>
          <w:i/>
          <w:iCs/>
          <w:color w:val="1F2937"/>
          <w:sz w:val="22"/>
          <w:szCs w:val="22"/>
        </w:rPr>
        <w:t xml:space="preserve">• 320 abonnés actifs.</w:t>
      </w:r>
    </w:p>
    <w:p>
      <w:pPr>
        <w:pBdr>
          <w:left w:val="thick" w:color="1B3A6B" w:sz="12"/>
        </w:pBdr>
        <w:shd w:color="EEF2F7" w:val="solid"/>
        <w:spacing w:after="100" w:before="100"/>
        <w:ind w:left="240" w:right="240"/>
      </w:pPr>
      <w:r>
        <w:rPr>
          <w:rFonts w:ascii="Times New Roman" w:cs="Times New Roman" w:eastAsia="Times New Roman" w:hAnsi="Times New Roman"/>
          <w:i/>
          <w:iCs/>
          <w:color w:val="1F2937"/>
          <w:sz w:val="22"/>
          <w:szCs w:val="22"/>
        </w:rPr>
        <w:t xml:space="preserve">• Churn mensuel : 2,1 %.</w:t>
      </w:r>
    </w:p>
    <w:p>
      <w:pPr>
        <w:pBdr>
          <w:left w:val="thick" w:color="1B3A6B" w:sz="12"/>
        </w:pBdr>
        <w:shd w:color="EEF2F7" w:val="solid"/>
        <w:spacing w:after="100" w:before="100"/>
        <w:ind w:left="240" w:right="240"/>
      </w:pPr>
      <w:r>
        <w:rPr>
          <w:rFonts w:ascii="Times New Roman" w:cs="Times New Roman" w:eastAsia="Times New Roman" w:hAnsi="Times New Roman"/>
          <w:i/>
          <w:iCs/>
          <w:color w:val="1F2937"/>
          <w:sz w:val="22"/>
          <w:szCs w:val="22"/>
        </w:rPr>
        <w:t xml:space="preserve">• Maintenance : 6 h/semaine (rédaction).</w:t>
      </w:r>
    </w:p>
    <w:p>
      <w:pPr>
        <w:pBdr>
          <w:left w:val="thick" w:color="1B3A6B" w:sz="12"/>
        </w:pBdr>
        <w:shd w:color="EEF2F7" w:val="solid"/>
        <w:spacing w:after="100" w:before="100"/>
        <w:ind w:left="240" w:right="240"/>
      </w:pPr>
      <w:r>
        <w:rPr>
          <w:rFonts w:ascii="Times New Roman" w:cs="Times New Roman" w:eastAsia="Times New Roman" w:hAnsi="Times New Roman"/>
          <w:i/>
          <w:iCs/>
          <w:color w:val="1F2937"/>
          <w:sz w:val="22"/>
          <w:szCs w:val="22"/>
        </w:rPr>
        <w:t xml:space="preserve">• Audience propriétaire (liste email directe).</w:t>
      </w:r>
    </w:p>
    <w:p>
      <w:pPr>
        <w:pBdr>
          <w:left w:val="thick" w:color="1B3A6B" w:sz="12"/>
        </w:pBdr>
        <w:shd w:color="EEF2F7" w:val="solid"/>
        <w:spacing w:after="100" w:before="100"/>
        <w:ind w:left="240" w:right="240"/>
      </w:pPr>
      <w:r>
        <w:rPr>
          <w:rFonts w:ascii="Times New Roman" w:cs="Times New Roman" w:eastAsia="Times New Roman" w:hAnsi="Times New Roman"/>
          <w:i/>
          <w:iCs/>
          <w:color w:val="1F2937"/>
          <w:sz w:val="22"/>
          <w:szCs w:val="22"/>
        </w:rPr>
        <w:t xml:space="preserve">• Contenu non remplaçable à court terme par IA (analyse sectorielle personnalisée).</w:t>
      </w:r>
    </w:p>
    <w:p>
      <w:pPr>
        <w:spacing w:after="80"/>
      </w:pPr>
      <w:r>
        <w:t xml:space="preserve"/>
      </w:r>
    </w:p>
    <w:p>
      <w:pPr>
        <w:spacing w:after="120"/>
      </w:pPr>
      <w:r>
        <w:rPr>
          <w:rFonts w:ascii="Times New Roman" w:cs="Times New Roman" w:eastAsia="Times New Roman" w:hAnsi="Times New Roman"/>
          <w:color w:val="1F2937"/>
          <w:sz w:val="22"/>
          <w:szCs w:val="22"/>
        </w:rPr>
        <w:t xml:space="preserve">Questions :</w:t>
      </w:r>
    </w:p>
    <w:p>
      <w:pPr>
        <w:pStyle w:val="ListParagraph"/>
        <w:numPr>
          <w:ilvl w:val="0"/>
          <w:numId w:val="1"/>
        </w:numPr>
        <w:spacing w:after="80"/>
      </w:pPr>
      <w:r>
        <w:rPr>
          <w:rFonts w:ascii="Times New Roman" w:cs="Times New Roman" w:eastAsia="Times New Roman" w:hAnsi="Times New Roman"/>
          <w:color w:val="1F2937"/>
          <w:sz w:val="22"/>
          <w:szCs w:val="22"/>
        </w:rPr>
        <w:t xml:space="preserve">3a. Attribuez un score /30 à chaque modèle. Construisez le tableau des notes.</w:t>
      </w:r>
    </w:p>
    <w:p>
      <w:pPr>
        <w:pStyle w:val="ListParagraph"/>
        <w:numPr>
          <w:ilvl w:val="0"/>
          <w:numId w:val="1"/>
        </w:numPr>
        <w:spacing w:after="80"/>
      </w:pPr>
      <w:r>
        <w:rPr>
          <w:rFonts w:ascii="Times New Roman" w:cs="Times New Roman" w:eastAsia="Times New Roman" w:hAnsi="Times New Roman"/>
          <w:color w:val="1F2937"/>
          <w:sz w:val="22"/>
          <w:szCs w:val="22"/>
        </w:rPr>
        <w:t xml:space="preserve">3b. Lequel est en déclin structurel irréversible ? Lequel a un potentiel de durabilité ? Justifiez.</w:t>
      </w:r>
    </w:p>
    <w:p>
      <w:pPr>
        <w:pStyle w:val="ListParagraph"/>
        <w:numPr>
          <w:ilvl w:val="0"/>
          <w:numId w:val="1"/>
        </w:numPr>
        <w:spacing w:after="80"/>
      </w:pPr>
      <w:r>
        <w:rPr>
          <w:rFonts w:ascii="Times New Roman" w:cs="Times New Roman" w:eastAsia="Times New Roman" w:hAnsi="Times New Roman"/>
          <w:color w:val="1F2937"/>
          <w:sz w:val="22"/>
          <w:szCs w:val="22"/>
        </w:rPr>
        <w:t xml:space="preserve">3c. Quelle serait la prochaine action logique pour chacun ?</w:t>
      </w:r>
    </w:p>
    <w:p>
      <w:pPr>
        <w:spacing w:after="80"/>
      </w:pPr>
      <w:r>
        <w:t xml:space="preserve"/>
      </w:r>
    </w:p>
    <w:p>
      <w:pPr>
        <w:pStyle w:val="Heading3"/>
        <w:spacing w:after="80" w:before="240"/>
      </w:pPr>
      <w:r>
        <w:rPr>
          <w:rFonts w:ascii="Times New Roman" w:cs="Times New Roman" w:eastAsia="Times New Roman" w:hAnsi="Times New Roman"/>
          <w:b/>
          <w:bCs/>
          <w:color w:val="1F2937"/>
          <w:sz w:val="26"/>
          <w:szCs w:val="26"/>
        </w:rPr>
        <w:t xml:space="preserve">Corrigé exercice 3</w:t>
      </w:r>
    </w:p>
    <w:p>
      <w:pPr>
        <w:spacing w:after="120"/>
      </w:pPr>
      <w:r>
        <w:rPr>
          <w:rFonts w:ascii="Times New Roman" w:cs="Times New Roman" w:eastAsia="Times New Roman" w:hAnsi="Times New Roman"/>
          <w:b/>
          <w:bCs/>
          <w:color w:val="1F2937"/>
          <w:sz w:val="22"/>
          <w:szCs w:val="22"/>
        </w:rPr>
        <w:t xml:space="preserve">3a. Scores :</w:t>
      </w:r>
    </w:p>
    <w:p>
      <w:pPr>
        <w:spacing w:after="80"/>
      </w:pPr>
      <w: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shd w:color="1B3A6B" w:val="solid"/>
            <w:vAlign w:val="center"/>
          </w:tcPr>
          <w:p>
            <w:pPr>
              <w:jc w:val="center"/>
            </w:pPr>
            <w:r>
              <w:rPr>
                <w:rFonts w:ascii="Times New Roman" w:cs="Times New Roman" w:eastAsia="Times New Roman" w:hAnsi="Times New Roman"/>
                <w:b/>
                <w:bCs/>
                <w:color w:val="FFFFFF"/>
                <w:sz w:val="20"/>
                <w:szCs w:val="20"/>
              </w:rPr>
              <w:t xml:space="preserve">Facteur</w:t>
            </w:r>
          </w:p>
        </w:tc>
        <w:tc>
          <w:tcPr>
            <w:shd w:color="1B3A6B" w:val="solid"/>
            <w:vAlign w:val="center"/>
          </w:tcPr>
          <w:p>
            <w:pPr>
              <w:jc w:val="center"/>
            </w:pPr>
            <w:r>
              <w:rPr>
                <w:rFonts w:ascii="Times New Roman" w:cs="Times New Roman" w:eastAsia="Times New Roman" w:hAnsi="Times New Roman"/>
                <w:b/>
                <w:bCs/>
                <w:color w:val="FFFFFF"/>
                <w:sz w:val="20"/>
                <w:szCs w:val="20"/>
              </w:rPr>
              <w:t xml:space="preserve">Modèle A (guide PDF)</w:t>
            </w:r>
          </w:p>
        </w:tc>
        <w:tc>
          <w:tcPr>
            <w:shd w:color="1B3A6B" w:val="solid"/>
            <w:vAlign w:val="center"/>
          </w:tcPr>
          <w:p>
            <w:pPr>
              <w:jc w:val="center"/>
            </w:pPr>
            <w:r>
              <w:rPr>
                <w:rFonts w:ascii="Times New Roman" w:cs="Times New Roman" w:eastAsia="Times New Roman" w:hAnsi="Times New Roman"/>
                <w:b/>
                <w:bCs/>
                <w:color w:val="FFFFFF"/>
                <w:sz w:val="20"/>
                <w:szCs w:val="20"/>
              </w:rPr>
              <w:t xml:space="preserve">Modèle B (newsletter)</w:t>
            </w:r>
          </w:p>
        </w:tc>
      </w:tr>
      <w:tr>
        <w:tc>
          <w:tcPr>
            <w:shd w:color="FFFFFF" w:val="solid"/>
            <w:vAlign w:val="center"/>
          </w:tcPr>
          <w:p>
            <w:r>
              <w:rPr>
                <w:rFonts w:ascii="Times New Roman" w:cs="Times New Roman" w:eastAsia="Times New Roman" w:hAnsi="Times New Roman"/>
                <w:color w:val="1F2937"/>
                <w:sz w:val="20"/>
                <w:szCs w:val="20"/>
              </w:rPr>
              <w:t xml:space="preserve">Profondeur du moat</w:t>
            </w:r>
          </w:p>
        </w:tc>
        <w:tc>
          <w:tcPr>
            <w:shd w:color="FFFFFF" w:val="solid"/>
            <w:vAlign w:val="center"/>
          </w:tcPr>
          <w:p>
            <w:r>
              <w:rPr>
                <w:rFonts w:ascii="Times New Roman" w:cs="Times New Roman" w:eastAsia="Times New Roman" w:hAnsi="Times New Roman"/>
                <w:color w:val="1F2937"/>
                <w:sz w:val="20"/>
                <w:szCs w:val="20"/>
              </w:rPr>
              <w:t xml:space="preserve">1 (contenu générique, daté)</w:t>
            </w:r>
          </w:p>
        </w:tc>
        <w:tc>
          <w:tcPr>
            <w:shd w:color="FFFFFF" w:val="solid"/>
            <w:vAlign w:val="center"/>
          </w:tcPr>
          <w:p>
            <w:r>
              <w:rPr>
                <w:rFonts w:ascii="Times New Roman" w:cs="Times New Roman" w:eastAsia="Times New Roman" w:hAnsi="Times New Roman"/>
                <w:color w:val="1F2937"/>
                <w:sz w:val="20"/>
                <w:szCs w:val="20"/>
              </w:rPr>
              <w:t xml:space="preserve">4 (voix unique, analyse personnalisée)</w:t>
            </w:r>
          </w:p>
        </w:tc>
      </w:tr>
      <w:tr>
        <w:tc>
          <w:tcPr>
            <w:shd w:color="EEF2F7" w:val="solid"/>
            <w:vAlign w:val="center"/>
          </w:tcPr>
          <w:p>
            <w:r>
              <w:rPr>
                <w:rFonts w:ascii="Times New Roman" w:cs="Times New Roman" w:eastAsia="Times New Roman" w:hAnsi="Times New Roman"/>
                <w:color w:val="1F2937"/>
                <w:sz w:val="20"/>
                <w:szCs w:val="20"/>
              </w:rPr>
              <w:t xml:space="preserve">Diversité sources d'acquisition</w:t>
            </w:r>
          </w:p>
        </w:tc>
        <w:tc>
          <w:tcPr>
            <w:shd w:color="EEF2F7" w:val="solid"/>
            <w:vAlign w:val="center"/>
          </w:tcPr>
          <w:p>
            <w:r>
              <w:rPr>
                <w:rFonts w:ascii="Times New Roman" w:cs="Times New Roman" w:eastAsia="Times New Roman" w:hAnsi="Times New Roman"/>
                <w:color w:val="1F2937"/>
                <w:sz w:val="20"/>
                <w:szCs w:val="20"/>
              </w:rPr>
              <w:t xml:space="preserve">1 (passif total, plus de promo)</w:t>
            </w:r>
          </w:p>
        </w:tc>
        <w:tc>
          <w:tcPr>
            <w:shd w:color="EEF2F7" w:val="solid"/>
            <w:vAlign w:val="center"/>
          </w:tcPr>
          <w:p>
            <w:r>
              <w:rPr>
                <w:rFonts w:ascii="Times New Roman" w:cs="Times New Roman" w:eastAsia="Times New Roman" w:hAnsi="Times New Roman"/>
                <w:color w:val="1F2937"/>
                <w:sz w:val="20"/>
                <w:szCs w:val="20"/>
              </w:rPr>
              <w:t xml:space="preserve">3 (bouche-à-oreille + SEO modeste)</w:t>
            </w:r>
          </w:p>
        </w:tc>
      </w:tr>
      <w:tr>
        <w:tc>
          <w:tcPr>
            <w:shd w:color="FFFFFF" w:val="solid"/>
            <w:vAlign w:val="center"/>
          </w:tcPr>
          <w:p>
            <w:r>
              <w:rPr>
                <w:rFonts w:ascii="Times New Roman" w:cs="Times New Roman" w:eastAsia="Times New Roman" w:hAnsi="Times New Roman"/>
                <w:color w:val="1F2937"/>
                <w:sz w:val="20"/>
                <w:szCs w:val="20"/>
              </w:rPr>
              <w:t xml:space="preserve">Propriété de l'audience</w:t>
            </w:r>
          </w:p>
        </w:tc>
        <w:tc>
          <w:tcPr>
            <w:shd w:color="FFFFFF" w:val="solid"/>
            <w:vAlign w:val="center"/>
          </w:tcPr>
          <w:p>
            <w:r>
              <w:rPr>
                <w:rFonts w:ascii="Times New Roman" w:cs="Times New Roman" w:eastAsia="Times New Roman" w:hAnsi="Times New Roman"/>
                <w:color w:val="1F2937"/>
                <w:sz w:val="20"/>
                <w:szCs w:val="20"/>
              </w:rPr>
              <w:t xml:space="preserve">1 (aucune relation directe)</w:t>
            </w:r>
          </w:p>
        </w:tc>
        <w:tc>
          <w:tcPr>
            <w:shd w:color="FFFFFF" w:val="solid"/>
            <w:vAlign w:val="center"/>
          </w:tcPr>
          <w:p>
            <w:r>
              <w:rPr>
                <w:rFonts w:ascii="Times New Roman" w:cs="Times New Roman" w:eastAsia="Times New Roman" w:hAnsi="Times New Roman"/>
                <w:color w:val="1F2937"/>
                <w:sz w:val="20"/>
                <w:szCs w:val="20"/>
              </w:rPr>
              <w:t xml:space="preserve">5 (liste email propriétaire)</w:t>
            </w:r>
          </w:p>
        </w:tc>
      </w:tr>
      <w:tr>
        <w:tc>
          <w:tcPr>
            <w:shd w:color="EEF2F7" w:val="solid"/>
            <w:vAlign w:val="center"/>
          </w:tcPr>
          <w:p>
            <w:r>
              <w:rPr>
                <w:rFonts w:ascii="Times New Roman" w:cs="Times New Roman" w:eastAsia="Times New Roman" w:hAnsi="Times New Roman"/>
                <w:color w:val="1F2937"/>
                <w:sz w:val="20"/>
                <w:szCs w:val="20"/>
              </w:rPr>
              <w:t xml:space="preserve">Churn mensuel</w:t>
            </w:r>
          </w:p>
        </w:tc>
        <w:tc>
          <w:tcPr>
            <w:shd w:color="EEF2F7" w:val="solid"/>
            <w:vAlign w:val="center"/>
          </w:tcPr>
          <w:p>
            <w:r>
              <w:rPr>
                <w:rFonts w:ascii="Times New Roman" w:cs="Times New Roman" w:eastAsia="Times New Roman" w:hAnsi="Times New Roman"/>
                <w:color w:val="1F2937"/>
                <w:sz w:val="20"/>
                <w:szCs w:val="20"/>
              </w:rPr>
              <w:t xml:space="preserve">1 (pas d'abonné, donc aucun churn à mesurer — indicateur de substitution : la chute des ventes, 3/mois contre 25 = -88 %)</w:t>
            </w:r>
            <w:r>
              <w:rPr>
                <w:i/>
                <w:color w:val="808080"/>
              </w:rPr>
              <w:t xml:space="preserve"> [Corrigé le 27/09/2026 : la théorie définit le churn comme la part d'abonnés ou de clients perdus par mois ; un produit vendu à l'unité n'en a pas. La note reste 1, mais sur un indicateur de substitution désormais nommé.]</w:t>
            </w:r>
          </w:p>
        </w:tc>
        <w:tc>
          <w:tcPr>
            <w:shd w:color="EEF2F7" w:val="solid"/>
            <w:vAlign w:val="center"/>
          </w:tcPr>
          <w:p>
            <w:r>
              <w:rPr>
                <w:rFonts w:ascii="Times New Roman" w:cs="Times New Roman" w:eastAsia="Times New Roman" w:hAnsi="Times New Roman"/>
                <w:color w:val="1F2937"/>
                <w:sz w:val="20"/>
                <w:szCs w:val="20"/>
              </w:rPr>
              <w:t xml:space="preserve">5 (2,1 % = excellent)</w:t>
            </w:r>
          </w:p>
        </w:tc>
      </w:tr>
      <w:tr>
        <w:tc>
          <w:tcPr>
            <w:shd w:color="FFFFFF" w:val="solid"/>
            <w:vAlign w:val="center"/>
          </w:tcPr>
          <w:p>
            <w:r>
              <w:rPr>
                <w:rFonts w:ascii="Times New Roman" w:cs="Times New Roman" w:eastAsia="Times New Roman" w:hAnsi="Times New Roman"/>
                <w:color w:val="1F2937"/>
                <w:sz w:val="20"/>
                <w:szCs w:val="20"/>
              </w:rPr>
              <w:t xml:space="preserve">Maintenance réelle</w:t>
            </w:r>
          </w:p>
        </w:tc>
        <w:tc>
          <w:tcPr>
            <w:shd w:color="FFFFFF" w:val="solid"/>
            <w:vAlign w:val="center"/>
          </w:tcPr>
          <w:p>
            <w:r>
              <w:rPr>
                <w:rFonts w:ascii="Times New Roman" w:cs="Times New Roman" w:eastAsia="Times New Roman" w:hAnsi="Times New Roman"/>
                <w:color w:val="1F2937"/>
                <w:sz w:val="20"/>
                <w:szCs w:val="20"/>
              </w:rPr>
              <w:t xml:space="preserve">5 (0 h/semaine — mais voir la limite signalée)</w:t>
            </w:r>
            <w:r>
              <w:rPr>
                <w:i/>
                <w:color w:val="808080"/>
              </w:rPr>
              <w:t xml:space="preserve"> [Signalé le 27/09/2026 : limite de la grille. Un produit abandonné obtient la note maximale sur ce facteur, précisément parce que plus personne ne le maintient. Le score de maintenance ne se lit donc jamais seul : croisé avec le moat et les sources d'acquisition, le 5 du modèle A dit un abandon, pas une force.]</w:t>
            </w:r>
          </w:p>
        </w:tc>
        <w:tc>
          <w:tcPr>
            <w:shd w:color="FFFFFF" w:val="solid"/>
            <w:vAlign w:val="center"/>
          </w:tcPr>
          <w:p>
            <w:r>
              <w:rPr>
                <w:rFonts w:ascii="Times New Roman" w:cs="Times New Roman" w:eastAsia="Times New Roman" w:hAnsi="Times New Roman"/>
                <w:color w:val="1F2937"/>
                <w:sz w:val="20"/>
                <w:szCs w:val="20"/>
              </w:rPr>
              <w:t xml:space="preserve">3 (6 h/semaine — limite haute du passif)</w:t>
            </w:r>
          </w:p>
        </w:tc>
      </w:tr>
      <w:tr>
        <w:tc>
          <w:tcPr>
            <w:shd w:color="EEF2F7" w:val="solid"/>
            <w:vAlign w:val="center"/>
          </w:tcPr>
          <w:p>
            <w:r>
              <w:rPr>
                <w:rFonts w:ascii="Times New Roman" w:cs="Times New Roman" w:eastAsia="Times New Roman" w:hAnsi="Times New Roman"/>
                <w:color w:val="1F2937"/>
                <w:sz w:val="20"/>
                <w:szCs w:val="20"/>
              </w:rPr>
              <w:t xml:space="preserve">Indépendance des tiers</w:t>
            </w:r>
          </w:p>
        </w:tc>
        <w:tc>
          <w:tcPr>
            <w:shd w:color="EEF2F7" w:val="solid"/>
            <w:vAlign w:val="center"/>
          </w:tcPr>
          <w:p>
            <w:r>
              <w:rPr>
                <w:rFonts w:ascii="Times New Roman" w:cs="Times New Roman" w:eastAsia="Times New Roman" w:hAnsi="Times New Roman"/>
                <w:color w:val="1F2937"/>
                <w:sz w:val="20"/>
                <w:szCs w:val="20"/>
              </w:rPr>
              <w:t xml:space="preserve">2 (dépend de Gumroad)</w:t>
            </w:r>
          </w:p>
        </w:tc>
        <w:tc>
          <w:tcPr>
            <w:shd w:color="EEF2F7" w:val="solid"/>
            <w:vAlign w:val="center"/>
          </w:tcPr>
          <w:p>
            <w:r>
              <w:rPr>
                <w:rFonts w:ascii="Times New Roman" w:cs="Times New Roman" w:eastAsia="Times New Roman" w:hAnsi="Times New Roman"/>
                <w:color w:val="1F2937"/>
                <w:sz w:val="20"/>
                <w:szCs w:val="20"/>
              </w:rPr>
              <w:t xml:space="preserve">4 (email direct, hébergement propre)</w:t>
            </w:r>
          </w:p>
        </w:tc>
      </w:tr>
      <w:tr>
        <w:tc>
          <w:tcPr>
            <w:shd w:color="FFFFFF" w:val="solid"/>
            <w:vAlign w:val="center"/>
          </w:tcPr>
          <w:p>
            <w:r>
              <w:rPr>
                <w:rFonts w:ascii="Times New Roman" w:cs="Times New Roman" w:eastAsia="Times New Roman" w:hAnsi="Times New Roman"/>
                <w:color w:val="1F2937"/>
                <w:sz w:val="20"/>
                <w:szCs w:val="20"/>
              </w:rPr>
              <w:t xml:space="preserve">TOTAL /30</w:t>
            </w:r>
          </w:p>
        </w:tc>
        <w:tc>
          <w:tcPr>
            <w:shd w:color="FFFFFF" w:val="solid"/>
            <w:vAlign w:val="center"/>
          </w:tcPr>
          <w:p>
            <w:r>
              <w:rPr>
                <w:rFonts w:ascii="Times New Roman" w:cs="Times New Roman" w:eastAsia="Times New Roman" w:hAnsi="Times New Roman"/>
                <w:color w:val="1F2937"/>
                <w:sz w:val="20"/>
                <w:szCs w:val="20"/>
              </w:rPr>
              <w:t xml:space="preserve">11 / 30 — Fragile</w:t>
            </w:r>
          </w:p>
        </w:tc>
        <w:tc>
          <w:tcPr>
            <w:shd w:color="FFFFFF" w:val="solid"/>
            <w:vAlign w:val="center"/>
          </w:tcPr>
          <w:p>
            <w:r>
              <w:rPr>
                <w:rFonts w:ascii="Times New Roman" w:cs="Times New Roman" w:eastAsia="Times New Roman" w:hAnsi="Times New Roman"/>
                <w:color w:val="1F2937"/>
                <w:sz w:val="20"/>
                <w:szCs w:val="20"/>
              </w:rPr>
              <w:t xml:space="preserve">24 / 30 — Durable</w:t>
            </w:r>
          </w:p>
        </w:tc>
      </w:tr>
    </w:tbl>
    <w:p>
      <w:pPr>
        <w:spacing w:after="80"/>
      </w:pPr>
      <w:r>
        <w:t xml:space="preserve"/>
      </w:r>
    </w:p>
    <w:p>
      <w:pPr>
        <w:spacing w:after="120"/>
      </w:pPr>
      <w:r>
        <w:rPr>
          <w:rFonts w:ascii="Times New Roman" w:cs="Times New Roman" w:eastAsia="Times New Roman" w:hAnsi="Times New Roman"/>
          <w:b/>
          <w:bCs/>
          <w:color w:val="1F2937"/>
          <w:sz w:val="22"/>
          <w:szCs w:val="22"/>
        </w:rPr>
        <w:t xml:space="preserve">3b. Déclin structurel / potentiel de durabilité :</w:t>
      </w:r>
    </w:p>
    <w:p>
      <w:pPr>
        <w:spacing w:after="120"/>
      </w:pPr>
      <w:r>
        <w:rPr>
          <w:rFonts w:ascii="Times New Roman" w:cs="Times New Roman" w:eastAsia="Times New Roman" w:hAnsi="Times New Roman"/>
          <w:color w:val="1F2937"/>
          <w:sz w:val="22"/>
          <w:szCs w:val="22"/>
        </w:rPr>
        <w:t xml:space="preserve">Modèle A : déclin structurel irréversible. Le contenu date de 2 ans dans un domaine (Python pour débutants) où des ressources gratuites de qualité supérieure sont légion. La chute de 25 à 3 ventes/mois sur 2 ans est un signal de fin de cycle, pas un creux temporaire. Sans mise à jour majeure et sans relance active, il s'approche de zéro.</w:t>
      </w:r>
    </w:p>
    <w:p>
      <w:pPr>
        <w:spacing w:after="120"/>
      </w:pPr>
      <w:r>
        <w:rPr>
          <w:rFonts w:ascii="Times New Roman" w:cs="Times New Roman" w:eastAsia="Times New Roman" w:hAnsi="Times New Roman"/>
          <w:color w:val="1F2937"/>
          <w:sz w:val="22"/>
          <w:szCs w:val="22"/>
        </w:rPr>
        <w:t xml:space="preserve">Modèle B : fort potentiel de durabilité. Audience propriétaire, churn bas, moat cognitif (analyse personnalisée difficile à automatiser à court terme). Le seul risque est la charge de 6 h/semaine qui en fait un modèle semi-actif plutôt que passif pur.</w:t>
      </w:r>
    </w:p>
    <w:p>
      <w:pPr>
        <w:spacing w:after="120"/>
      </w:pPr>
      <w:r>
        <w:rPr>
          <w:rFonts w:ascii="Times New Roman" w:cs="Times New Roman" w:eastAsia="Times New Roman" w:hAnsi="Times New Roman"/>
          <w:b/>
          <w:bCs/>
          <w:color w:val="1F2937"/>
          <w:sz w:val="22"/>
          <w:szCs w:val="22"/>
        </w:rPr>
        <w:t xml:space="preserve">3c. Actions logiques :</w:t>
      </w:r>
    </w:p>
    <w:p>
      <w:pPr>
        <w:pStyle w:val="ListParagraph"/>
        <w:numPr>
          <w:ilvl w:val="0"/>
          <w:numId w:val="1"/>
        </w:numPr>
        <w:spacing w:after="80"/>
      </w:pPr>
      <w:r>
        <w:rPr>
          <w:rFonts w:ascii="Times New Roman" w:cs="Times New Roman" w:eastAsia="Times New Roman" w:hAnsi="Times New Roman"/>
          <w:color w:val="1F2937"/>
          <w:sz w:val="22"/>
          <w:szCs w:val="22"/>
        </w:rPr>
        <w:t xml:space="preserve">Modèle A : soit mise à jour complète + relance marketing (effort élevé, rendement incertain), soit arrêt et redirection du trafic résiduel vers un autre produit.</w:t>
      </w:r>
    </w:p>
    <w:p>
      <w:pPr>
        <w:pStyle w:val="ListParagraph"/>
        <w:numPr>
          <w:ilvl w:val="0"/>
          <w:numId w:val="1"/>
        </w:numPr>
        <w:spacing w:after="80"/>
      </w:pPr>
      <w:r>
        <w:rPr>
          <w:rFonts w:ascii="Times New Roman" w:cs="Times New Roman" w:eastAsia="Times New Roman" w:hAnsi="Times New Roman"/>
          <w:color w:val="1F2937"/>
          <w:sz w:val="22"/>
          <w:szCs w:val="22"/>
        </w:rPr>
        <w:t xml:space="preserve">Modèle B : consolider l'audience, augmenter le prix progressivement (de 12 à 15-17 €/mois en testant le taux de churn), documenter les processus pour réduire le temps de maintenance.</w:t>
      </w:r>
    </w:p>
    <w:p>
      <w:pPr>
        <w:spacing w:after="80"/>
      </w:pPr>
      <w:r>
        <w:t xml:space="preserve"/>
      </w:r>
    </w:p>
    <w:p>
      <w:pPr>
        <w:pStyle w:val="Heading2"/>
        <w:spacing w:after="120" w:before="360"/>
      </w:pPr>
      <w:r>
        <w:rPr>
          <w:rFonts w:ascii="Times New Roman" w:cs="Times New Roman" w:eastAsia="Times New Roman" w:hAnsi="Times New Roman"/>
          <w:b/>
          <w:bCs/>
          <w:color w:val="1B3A6B"/>
          <w:sz w:val="30"/>
          <w:szCs w:val="30"/>
        </w:rPr>
        <w:t xml:space="preserve">🎯 Challenge — Matrice de décision pour un portefeuille à trois modèles</w:t>
      </w:r>
    </w:p>
    <w:p>
      <w:pPr>
        <w:pBdr>
          <w:left w:val="thick" w:color="1B3A6B" w:sz="12"/>
        </w:pBdr>
        <w:shd w:color="EEF2F7" w:val="solid"/>
        <w:spacing w:after="100" w:before="100"/>
        <w:ind w:left="240" w:right="240"/>
      </w:pPr>
      <w:r>
        <w:rPr>
          <w:rFonts w:ascii="Times New Roman" w:cs="Times New Roman" w:eastAsia="Times New Roman" w:hAnsi="Times New Roman"/>
          <w:i/>
          <w:iCs/>
          <w:color w:val="1F2937"/>
          <w:sz w:val="22"/>
          <w:szCs w:val="22"/>
        </w:rPr>
        <w:t xml:space="preserve">Scénario de synthèse :</w:t>
      </w:r>
    </w:p>
    <w:p>
      <w:pPr>
        <w:pBdr>
          <w:left w:val="thick" w:color="1B3A6B" w:sz="12"/>
        </w:pBdr>
        <w:shd w:color="EEF2F7" w:val="solid"/>
        <w:spacing w:after="100" w:before="100"/>
        <w:ind w:left="240" w:right="240"/>
      </w:pPr>
      <w:r>
        <w:rPr>
          <w:rFonts w:ascii="Times New Roman" w:cs="Times New Roman" w:eastAsia="Times New Roman" w:hAnsi="Times New Roman"/>
          <w:i/>
          <w:iCs/>
          <w:color w:val="1F2937"/>
          <w:sz w:val="22"/>
          <w:szCs w:val="22"/>
        </w:rPr>
        <w:t xml:space="preserve"/>
      </w:r>
    </w:p>
    <w:p>
      <w:pPr>
        <w:pBdr>
          <w:left w:val="thick" w:color="1B3A6B" w:sz="12"/>
        </w:pBdr>
        <w:shd w:color="EEF2F7" w:val="solid"/>
        <w:spacing w:after="100" w:before="100"/>
        <w:ind w:left="240" w:right="240"/>
      </w:pPr>
      <w:r>
        <w:rPr>
          <w:rFonts w:ascii="Times New Roman" w:cs="Times New Roman" w:eastAsia="Times New Roman" w:hAnsi="Times New Roman"/>
          <w:i/>
          <w:iCs/>
          <w:color w:val="1F2937"/>
          <w:sz w:val="22"/>
          <w:szCs w:val="22"/>
        </w:rPr>
        <w:t xml:space="preserve">Vous avez trois modèles actifs :</w:t>
      </w:r>
    </w:p>
    <w:p>
      <w:pPr>
        <w:pBdr>
          <w:left w:val="thick" w:color="1B3A6B" w:sz="12"/>
        </w:pBdr>
        <w:shd w:color="EEF2F7" w:val="solid"/>
        <w:spacing w:after="100" w:before="100"/>
        <w:ind w:left="240" w:right="240"/>
      </w:pPr>
      <w:r>
        <w:rPr>
          <w:rFonts w:ascii="Times New Roman" w:cs="Times New Roman" w:eastAsia="Times New Roman" w:hAnsi="Times New Roman"/>
          <w:i/>
          <w:iCs/>
          <w:color w:val="1F2937"/>
          <w:sz w:val="22"/>
          <w:szCs w:val="22"/>
        </w:rPr>
        <w:t xml:space="preserve"/>
      </w:r>
    </w:p>
    <w:p>
      <w:pPr>
        <w:pBdr>
          <w:left w:val="thick" w:color="1B3A6B" w:sz="12"/>
        </w:pBdr>
        <w:shd w:color="EEF2F7" w:val="solid"/>
        <w:spacing w:after="100" w:before="100"/>
        <w:ind w:left="240" w:right="240"/>
      </w:pPr>
      <w:r>
        <w:rPr>
          <w:rFonts w:ascii="Times New Roman" w:cs="Times New Roman" w:eastAsia="Times New Roman" w:hAnsi="Times New Roman"/>
          <w:i/>
          <w:iCs/>
          <w:color w:val="1F2937"/>
          <w:sz w:val="22"/>
          <w:szCs w:val="22"/>
        </w:rPr>
        <w:t xml:space="preserve">1. SCPI Pierre Hospitalière Méridienne (nom, chiffres et trajectoire entièrement inventés) — taux de distribution annoncé : 4,50 % en 2024.</w:t>
      </w:r>
      <w:r>
        <w:rPr>
          <w:i/>
          <w:color w:val="808080"/>
        </w:rPr>
        <w:t xml:space="preserve"> [Corrigé le 27/09/2026 : ce cas nommait une SCPI réelle, PF Hospitalité Europe de Perial Asset Management, en la déclarant fictive entre parenthèses. Un nom de produit réel ne reçoit pas de chiffres fabriqués, même annoncés fictifs. Ses taux de distribution réels sont d'ailleurs plats et non déclinants : 4,53 % en 2021, 4,02 % en 2022, 4,20 % en 2023, 4,02 % en 2024, 4,11 % en 2025 — les deux pages qui les portent sont ajoutées aux Ressources et testées ce jour. Le 4,50 % existe bien sur la page du gestionnaire, mais comme objectif de rendement interne à dix ans, pas comme taux de distribution. Et le vrai signal de 2024 sur ce produit était ailleurs : le prix de référence est passé de 200 à 181 €, soit -9,50 %. Le cas ci-dessous porte désormais un nom inventé et conserve ses chiffres d'exercice.]</w:t>
      </w:r>
    </w:p>
    <w:p>
      <w:pPr>
        <w:pBdr>
          <w:left w:val="thick" w:color="1B3A6B" w:sz="12"/>
        </w:pBdr>
        <w:shd w:color="EEF2F7" w:val="solid"/>
        <w:spacing w:after="100" w:before="100"/>
        <w:ind w:left="240" w:right="240"/>
      </w:pPr>
      <w:r>
        <w:rPr>
          <w:rFonts w:ascii="Times New Roman" w:cs="Times New Roman" w:eastAsia="Times New Roman" w:hAnsi="Times New Roman"/>
          <w:i/>
          <w:iCs/>
          <w:color w:val="1F2937"/>
          <w:sz w:val="22"/>
          <w:szCs w:val="22"/>
        </w:rPr>
        <w:t xml:space="preserve">   Signal : taux de distribution était à 5,20 % en 2022, 4,80 % en 2023, 4,50 % en 2024.</w:t>
      </w:r>
    </w:p>
    <w:p>
      <w:pPr>
        <w:pBdr>
          <w:left w:val="thick" w:color="1B3A6B" w:sz="12"/>
        </w:pBdr>
        <w:shd w:color="EEF2F7" w:val="solid"/>
        <w:spacing w:after="100" w:before="100"/>
        <w:ind w:left="240" w:right="240"/>
      </w:pPr>
      <w:r>
        <w:rPr>
          <w:rFonts w:ascii="Times New Roman" w:cs="Times New Roman" w:eastAsia="Times New Roman" w:hAnsi="Times New Roman"/>
          <w:i/>
          <w:iCs/>
          <w:color w:val="1F2937"/>
          <w:sz w:val="22"/>
          <w:szCs w:val="22"/>
        </w:rPr>
        <w:t xml:space="preserve">   Contexte : vacance en hausse dans l'immobilier de bureau/santé, taux directeurs toujours élevés.</w:t>
      </w:r>
    </w:p>
    <w:p>
      <w:pPr>
        <w:pBdr>
          <w:left w:val="thick" w:color="1B3A6B" w:sz="12"/>
        </w:pBdr>
        <w:shd w:color="EEF2F7" w:val="solid"/>
        <w:spacing w:after="100" w:before="100"/>
        <w:ind w:left="240" w:right="240"/>
      </w:pPr>
      <w:r>
        <w:rPr>
          <w:rFonts w:ascii="Times New Roman" w:cs="Times New Roman" w:eastAsia="Times New Roman" w:hAnsi="Times New Roman"/>
          <w:i/>
          <w:iCs/>
          <w:color w:val="1F2937"/>
          <w:sz w:val="22"/>
          <w:szCs w:val="22"/>
        </w:rPr>
        <w:t xml:space="preserve"/>
      </w:r>
    </w:p>
    <w:p>
      <w:pPr>
        <w:pBdr>
          <w:left w:val="thick" w:color="1B3A6B" w:sz="12"/>
        </w:pBdr>
        <w:shd w:color="EEF2F7" w:val="solid"/>
        <w:spacing w:after="100" w:before="100"/>
        <w:ind w:left="240" w:right="240"/>
      </w:pPr>
      <w:r>
        <w:rPr>
          <w:rFonts w:ascii="Times New Roman" w:cs="Times New Roman" w:eastAsia="Times New Roman" w:hAnsi="Times New Roman"/>
          <w:i/>
          <w:iCs/>
          <w:color w:val="1F2937"/>
          <w:sz w:val="22"/>
          <w:szCs w:val="22"/>
        </w:rPr>
        <w:t xml:space="preserve">2. Micro-SaaS "CRMlite" — 220 abonnés à 29 €/mois, MRR : 6 380 €.</w:t>
      </w:r>
    </w:p>
    <w:p>
      <w:pPr>
        <w:pBdr>
          <w:left w:val="thick" w:color="1B3A6B" w:sz="12"/>
        </w:pBdr>
        <w:shd w:color="EEF2F7" w:val="solid"/>
        <w:spacing w:after="100" w:before="100"/>
        <w:ind w:left="240" w:right="240"/>
      </w:pPr>
      <w:r>
        <w:rPr>
          <w:rFonts w:ascii="Times New Roman" w:cs="Times New Roman" w:eastAsia="Times New Roman" w:hAnsi="Times New Roman"/>
          <w:i/>
          <w:iCs/>
          <w:color w:val="1F2937"/>
          <w:sz w:val="22"/>
          <w:szCs w:val="22"/>
        </w:rPr>
        <w:t xml:space="preserve">   Signal : churn = 5,8 % mensuel. Concurrent gratuit lancé il y a 3 mois couvre 80 % des fonctionnalités.</w:t>
      </w:r>
    </w:p>
    <w:p>
      <w:pPr>
        <w:pBdr>
          <w:left w:val="thick" w:color="1B3A6B" w:sz="12"/>
        </w:pBdr>
        <w:shd w:color="EEF2F7" w:val="solid"/>
        <w:spacing w:after="100" w:before="100"/>
        <w:ind w:left="240" w:right="240"/>
      </w:pPr>
      <w:r>
        <w:rPr>
          <w:rFonts w:ascii="Times New Roman" w:cs="Times New Roman" w:eastAsia="Times New Roman" w:hAnsi="Times New Roman"/>
          <w:i/>
          <w:iCs/>
          <w:color w:val="1F2937"/>
          <w:sz w:val="22"/>
          <w:szCs w:val="22"/>
        </w:rPr>
        <w:t xml:space="preserve"/>
      </w:r>
    </w:p>
    <w:p>
      <w:pPr>
        <w:pBdr>
          <w:left w:val="thick" w:color="1B3A6B" w:sz="12"/>
        </w:pBdr>
        <w:shd w:color="EEF2F7" w:val="solid"/>
        <w:spacing w:after="100" w:before="100"/>
        <w:ind w:left="240" w:right="240"/>
      </w:pPr>
      <w:r>
        <w:rPr>
          <w:rFonts w:ascii="Times New Roman" w:cs="Times New Roman" w:eastAsia="Times New Roman" w:hAnsi="Times New Roman"/>
          <w:i/>
          <w:iCs/>
          <w:color w:val="1F2937"/>
          <w:sz w:val="22"/>
          <w:szCs w:val="22"/>
        </w:rPr>
        <w:t xml:space="preserve">3. Ebook "Débuter en Notion en 2023" — 8 ventes/mois, était à 40/mois au lancement en 2023.</w:t>
      </w:r>
    </w:p>
    <w:p>
      <w:pPr>
        <w:pBdr>
          <w:left w:val="thick" w:color="1B3A6B" w:sz="12"/>
        </w:pBdr>
        <w:shd w:color="EEF2F7" w:val="solid"/>
        <w:spacing w:after="100" w:before="100"/>
        <w:ind w:left="240" w:right="240"/>
      </w:pPr>
      <w:r>
        <w:rPr>
          <w:rFonts w:ascii="Times New Roman" w:cs="Times New Roman" w:eastAsia="Times New Roman" w:hAnsi="Times New Roman"/>
          <w:i/>
          <w:iCs/>
          <w:color w:val="1F2937"/>
          <w:sz w:val="22"/>
          <w:szCs w:val="22"/>
        </w:rPr>
        <w:t xml:space="preserve">   Signal : titre contient une année dépassée, commentaires récents : "guide périmé".</w:t>
      </w:r>
    </w:p>
    <w:p>
      <w:pPr>
        <w:spacing w:after="80"/>
      </w:pPr>
      <w:r>
        <w:t xml:space="preserve"/>
      </w:r>
    </w:p>
    <w:p>
      <w:pPr>
        <w:spacing w:after="120"/>
      </w:pPr>
      <w:r>
        <w:rPr>
          <w:rFonts w:ascii="Times New Roman" w:cs="Times New Roman" w:eastAsia="Times New Roman" w:hAnsi="Times New Roman"/>
          <w:color w:val="1F2937"/>
          <w:sz w:val="22"/>
          <w:szCs w:val="22"/>
        </w:rPr>
        <w:t xml:space="preserve">Questions :</w:t>
      </w:r>
    </w:p>
    <w:p>
      <w:pPr>
        <w:pStyle w:val="ListParagraph"/>
        <w:numPr>
          <w:ilvl w:val="0"/>
          <w:numId w:val="1"/>
        </w:numPr>
        <w:spacing w:after="80"/>
      </w:pPr>
      <w:r>
        <w:rPr>
          <w:rFonts w:ascii="Times New Roman" w:cs="Times New Roman" w:eastAsia="Times New Roman" w:hAnsi="Times New Roman"/>
          <w:color w:val="1F2937"/>
          <w:sz w:val="22"/>
          <w:szCs w:val="22"/>
        </w:rPr>
        <w:t xml:space="preserve">C1. Pour chaque modèle, diagnostiquez : déclin structurel irréversible / déclin conjoncturel traitable / plateau à surveiller.</w:t>
      </w:r>
    </w:p>
    <w:p>
      <w:pPr>
        <w:pStyle w:val="ListParagraph"/>
        <w:numPr>
          <w:ilvl w:val="0"/>
          <w:numId w:val="1"/>
        </w:numPr>
        <w:spacing w:after="80"/>
      </w:pPr>
      <w:r>
        <w:rPr>
          <w:rFonts w:ascii="Times New Roman" w:cs="Times New Roman" w:eastAsia="Times New Roman" w:hAnsi="Times New Roman"/>
          <w:color w:val="1F2937"/>
          <w:sz w:val="22"/>
          <w:szCs w:val="22"/>
        </w:rPr>
        <w:t xml:space="preserve">C2. Construisez la matrice de décision (Maintenir tel quel / Adapter / Pivoter / Sortir) pour chacun, avec la justification et l'horizon temporel.</w:t>
      </w:r>
    </w:p>
    <w:p>
      <w:pPr>
        <w:pStyle w:val="ListParagraph"/>
        <w:numPr>
          <w:ilvl w:val="0"/>
          <w:numId w:val="1"/>
        </w:numPr>
        <w:spacing w:after="80"/>
      </w:pPr>
      <w:r>
        <w:rPr>
          <w:rFonts w:ascii="Times New Roman" w:cs="Times New Roman" w:eastAsia="Times New Roman" w:hAnsi="Times New Roman"/>
          <w:color w:val="1F2937"/>
          <w:sz w:val="22"/>
          <w:szCs w:val="22"/>
        </w:rPr>
        <w:t xml:space="preserve">C3. Quelle est la priorité d'action n°1 sur l'ensemble du portefeuille ?</w:t>
      </w:r>
    </w:p>
    <w:p>
      <w:pPr>
        <w:spacing w:after="80"/>
      </w:pPr>
      <w:r>
        <w:t xml:space="preserve"/>
      </w:r>
    </w:p>
    <w:p>
      <w:pPr>
        <w:pStyle w:val="Heading3"/>
        <w:spacing w:after="80" w:before="240"/>
      </w:pPr>
      <w:r>
        <w:rPr>
          <w:rFonts w:ascii="Times New Roman" w:cs="Times New Roman" w:eastAsia="Times New Roman" w:hAnsi="Times New Roman"/>
          <w:b/>
          <w:bCs/>
          <w:color w:val="1F2937"/>
          <w:sz w:val="26"/>
          <w:szCs w:val="26"/>
        </w:rPr>
        <w:t xml:space="preserve">Corrigé du challenge</w:t>
      </w:r>
    </w:p>
    <w:p>
      <w:pPr>
        <w:spacing w:after="120"/>
      </w:pPr>
      <w:r>
        <w:rPr>
          <w:rFonts w:ascii="Times New Roman" w:cs="Times New Roman" w:eastAsia="Times New Roman" w:hAnsi="Times New Roman"/>
          <w:b/>
          <w:bCs/>
          <w:color w:val="1F2937"/>
          <w:sz w:val="22"/>
          <w:szCs w:val="22"/>
        </w:rPr>
        <w:t xml:space="preserve">C1. Diagnostic par modèle :</w:t>
      </w:r>
    </w:p>
    <w:p>
      <w:pPr>
        <w:pStyle w:val="ListParagraph"/>
        <w:numPr>
          <w:ilvl w:val="0"/>
          <w:numId w:val="1"/>
        </w:numPr>
        <w:spacing w:after="80"/>
      </w:pPr>
      <w:r>
        <w:rPr>
          <w:rFonts w:ascii="Times New Roman" w:cs="Times New Roman" w:eastAsia="Times New Roman" w:hAnsi="Times New Roman"/>
          <w:color w:val="1F2937"/>
          <w:sz w:val="22"/>
          <w:szCs w:val="22"/>
        </w:rPr>
        <w:t xml:space="preserve">SCPI : déclin conjoncturel traitable. La baisse du taux de distribution (5,20 % → 4,50 % en 2 ans) est significative mais pas catastrophique. Elle reflète un contexte macro (taux directeurs, vacance) qui peut s'inverser. Ce n'est pas une déroute — c'est une vigilance à renforcer.</w:t>
      </w:r>
    </w:p>
    <w:p>
      <w:pPr>
        <w:pStyle w:val="ListParagraph"/>
        <w:numPr>
          <w:ilvl w:val="0"/>
          <w:numId w:val="1"/>
        </w:numPr>
        <w:spacing w:after="80"/>
      </w:pPr>
      <w:r>
        <w:rPr>
          <w:rFonts w:ascii="Times New Roman" w:cs="Times New Roman" w:eastAsia="Times New Roman" w:hAnsi="Times New Roman"/>
          <w:color w:val="1F2937"/>
          <w:sz w:val="22"/>
          <w:szCs w:val="22"/>
        </w:rPr>
        <w:t xml:space="preserve">CRMlite : déclin structurel potentiellement irréversible. Un churn de 5,8 % mensuel composé sur 12 mois donne (1 − 0,058)^12 = 0,942^12 ≈ 0,488, soit environ 51 % de la base perdue en un an sans compensation. Sur un bimestre : 1 − 0,942^2 ≈ 11,3 %. La présence d'un concurrent gratuit couvrant 80 % des cas d'usage est un signal de commoditisation — le modèle tel quel n'est plus défendable.</w:t>
      </w:r>
    </w:p>
    <w:p>
      <w:pPr>
        <w:pStyle w:val="ListParagraph"/>
        <w:numPr>
          <w:ilvl w:val="0"/>
          <w:numId w:val="1"/>
        </w:numPr>
        <w:spacing w:after="80"/>
      </w:pPr>
      <w:r>
        <w:rPr>
          <w:rFonts w:ascii="Times New Roman" w:cs="Times New Roman" w:eastAsia="Times New Roman" w:hAnsi="Times New Roman"/>
          <w:color w:val="1F2937"/>
          <w:sz w:val="22"/>
          <w:szCs w:val="22"/>
        </w:rPr>
        <w:t xml:space="preserve">Ebook : déclin structurel irréversible. Chute de 40 à 8 ventes/mois sur 3 ans, titre périmé, retours négatifs sur la pertinence. Ce modèle est en fin de vie.</w:t>
      </w:r>
    </w:p>
    <w:p>
      <w:pPr>
        <w:spacing w:after="80"/>
      </w:pPr>
      <w:r>
        <w:t xml:space="preserve"/>
      </w:r>
    </w:p>
    <w:p>
      <w:pPr>
        <w:spacing w:after="120"/>
      </w:pPr>
      <w:r>
        <w:rPr>
          <w:rFonts w:ascii="Times New Roman" w:cs="Times New Roman" w:eastAsia="Times New Roman" w:hAnsi="Times New Roman"/>
          <w:b/>
          <w:bCs/>
          <w:color w:val="1F2937"/>
          <w:sz w:val="22"/>
          <w:szCs w:val="22"/>
        </w:rPr>
        <w:t xml:space="preserve">C2. Matrice de décision :</w:t>
      </w:r>
    </w:p>
    <w:p>
      <w:pPr>
        <w:spacing w:after="80"/>
      </w:pPr>
      <w: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shd w:color="1B3A6B" w:val="solid"/>
            <w:vAlign w:val="center"/>
          </w:tcPr>
          <w:p>
            <w:pPr>
              <w:jc w:val="center"/>
            </w:pPr>
            <w:r>
              <w:rPr>
                <w:rFonts w:ascii="Times New Roman" w:cs="Times New Roman" w:eastAsia="Times New Roman" w:hAnsi="Times New Roman"/>
                <w:b/>
                <w:bCs/>
                <w:color w:val="FFFFFF"/>
                <w:sz w:val="20"/>
                <w:szCs w:val="20"/>
              </w:rPr>
              <w:t xml:space="preserve">Modèle</w:t>
            </w:r>
          </w:p>
        </w:tc>
        <w:tc>
          <w:tcPr>
            <w:shd w:color="1B3A6B" w:val="solid"/>
            <w:vAlign w:val="center"/>
          </w:tcPr>
          <w:p>
            <w:pPr>
              <w:jc w:val="center"/>
            </w:pPr>
            <w:r>
              <w:rPr>
                <w:rFonts w:ascii="Times New Roman" w:cs="Times New Roman" w:eastAsia="Times New Roman" w:hAnsi="Times New Roman"/>
                <w:b/>
                <w:bCs/>
                <w:color w:val="FFFFFF"/>
                <w:sz w:val="20"/>
                <w:szCs w:val="20"/>
              </w:rPr>
              <w:t xml:space="preserve">Décision</w:t>
            </w:r>
          </w:p>
        </w:tc>
        <w:tc>
          <w:tcPr>
            <w:shd w:color="1B3A6B" w:val="solid"/>
            <w:vAlign w:val="center"/>
          </w:tcPr>
          <w:p>
            <w:pPr>
              <w:jc w:val="center"/>
            </w:pPr>
            <w:r>
              <w:rPr>
                <w:rFonts w:ascii="Times New Roman" w:cs="Times New Roman" w:eastAsia="Times New Roman" w:hAnsi="Times New Roman"/>
                <w:b/>
                <w:bCs/>
                <w:color w:val="FFFFFF"/>
                <w:sz w:val="20"/>
                <w:szCs w:val="20"/>
              </w:rPr>
              <w:t xml:space="preserve">Justification</w:t>
            </w:r>
          </w:p>
        </w:tc>
        <w:tc>
          <w:tcPr>
            <w:shd w:color="1B3A6B" w:val="solid"/>
            <w:vAlign w:val="center"/>
          </w:tcPr>
          <w:p>
            <w:pPr>
              <w:jc w:val="center"/>
            </w:pPr>
            <w:r>
              <w:rPr>
                <w:rFonts w:ascii="Times New Roman" w:cs="Times New Roman" w:eastAsia="Times New Roman" w:hAnsi="Times New Roman"/>
                <w:b/>
                <w:bCs/>
                <w:color w:val="FFFFFF"/>
                <w:sz w:val="20"/>
                <w:szCs w:val="20"/>
              </w:rPr>
              <w:t xml:space="preserve">Horizon</w:t>
            </w:r>
          </w:p>
        </w:tc>
      </w:tr>
      <w:tr>
        <w:tc>
          <w:tcPr>
            <w:shd w:color="FFFFFF" w:val="solid"/>
            <w:vAlign w:val="center"/>
          </w:tcPr>
          <w:p>
            <w:r>
              <w:rPr>
                <w:rFonts w:ascii="Times New Roman" w:cs="Times New Roman" w:eastAsia="Times New Roman" w:hAnsi="Times New Roman"/>
                <w:color w:val="1F2937"/>
                <w:sz w:val="20"/>
                <w:szCs w:val="20"/>
              </w:rPr>
              <w:t xml:space="preserve">SCPI</w:t>
            </w:r>
          </w:p>
        </w:tc>
        <w:tc>
          <w:tcPr>
            <w:shd w:color="FFFFFF" w:val="solid"/>
            <w:vAlign w:val="center"/>
          </w:tcPr>
          <w:p>
            <w:r>
              <w:rPr>
                <w:rFonts w:ascii="Times New Roman" w:cs="Times New Roman" w:eastAsia="Times New Roman" w:hAnsi="Times New Roman"/>
                <w:color w:val="1F2937"/>
                <w:sz w:val="20"/>
                <w:szCs w:val="20"/>
              </w:rPr>
              <w:t xml:space="preserve">Maintenir + surveiller</w:t>
            </w:r>
          </w:p>
        </w:tc>
        <w:tc>
          <w:tcPr>
            <w:shd w:color="FFFFFF" w:val="solid"/>
            <w:vAlign w:val="center"/>
          </w:tcPr>
          <w:p>
            <w:r>
              <w:rPr>
                <w:rFonts w:ascii="Times New Roman" w:cs="Times New Roman" w:eastAsia="Times New Roman" w:hAnsi="Times New Roman"/>
                <w:color w:val="1F2937"/>
                <w:sz w:val="20"/>
                <w:szCs w:val="20"/>
              </w:rPr>
              <w:t xml:space="preserve">Déclin conjoncturel, actif de long terme, pas de signal de capitulation</w:t>
            </w:r>
          </w:p>
        </w:tc>
        <w:tc>
          <w:tcPr>
            <w:shd w:color="FFFFFF" w:val="solid"/>
            <w:vAlign w:val="center"/>
          </w:tcPr>
          <w:p>
            <w:r>
              <w:rPr>
                <w:rFonts w:ascii="Times New Roman" w:cs="Times New Roman" w:eastAsia="Times New Roman" w:hAnsi="Times New Roman"/>
                <w:color w:val="1F2937"/>
                <w:sz w:val="20"/>
                <w:szCs w:val="20"/>
              </w:rPr>
              <w:t xml:space="preserve">Réévaluer dans 12 mois sur base du bilan annuel 2026</w:t>
            </w:r>
            <w:r>
              <w:rPr>
                <w:i/>
                <w:color w:val="808080"/>
              </w:rPr>
              <w:t xml:space="preserve"> [Précisé le 27/09/2026 : les quatre décisions de ce tableau sont des réponses d'exercice sur des cas inventés. Ce ne sont pas des recommandations : cette leçon n'analyse aucune situation réelle et ne dit pas quoi conserver, vendre ou arrêter.]</w:t>
            </w:r>
          </w:p>
        </w:tc>
      </w:tr>
      <w:tr>
        <w:tc>
          <w:tcPr>
            <w:shd w:color="EEF2F7" w:val="solid"/>
            <w:vAlign w:val="center"/>
          </w:tcPr>
          <w:p>
            <w:r>
              <w:rPr>
                <w:rFonts w:ascii="Times New Roman" w:cs="Times New Roman" w:eastAsia="Times New Roman" w:hAnsi="Times New Roman"/>
                <w:color w:val="1F2937"/>
                <w:sz w:val="20"/>
                <w:szCs w:val="20"/>
              </w:rPr>
              <w:t xml:space="preserve">CRMlite</w:t>
            </w:r>
          </w:p>
        </w:tc>
        <w:tc>
          <w:tcPr>
            <w:shd w:color="EEF2F7" w:val="solid"/>
            <w:vAlign w:val="center"/>
          </w:tcPr>
          <w:p>
            <w:r>
              <w:rPr>
                <w:rFonts w:ascii="Times New Roman" w:cs="Times New Roman" w:eastAsia="Times New Roman" w:hAnsi="Times New Roman"/>
                <w:color w:val="1F2937"/>
                <w:sz w:val="20"/>
                <w:szCs w:val="20"/>
              </w:rPr>
              <w:t xml:space="preserve">Adapter ou pivoter</w:t>
            </w:r>
          </w:p>
        </w:tc>
        <w:tc>
          <w:tcPr>
            <w:shd w:color="EEF2F7" w:val="solid"/>
            <w:vAlign w:val="center"/>
          </w:tcPr>
          <w:p>
            <w:r>
              <w:rPr>
                <w:rFonts w:ascii="Times New Roman" w:cs="Times New Roman" w:eastAsia="Times New Roman" w:hAnsi="Times New Roman"/>
                <w:color w:val="1F2937"/>
                <w:sz w:val="20"/>
                <w:szCs w:val="20"/>
              </w:rPr>
              <w:t xml:space="preserve">Réorienter vers une niche non couverte par le concurrent gratuit, ou vendre le SaaS maintenant (avant que la base s'effondre davantage)</w:t>
            </w:r>
          </w:p>
        </w:tc>
        <w:tc>
          <w:tcPr>
            <w:shd w:color="EEF2F7" w:val="solid"/>
            <w:vAlign w:val="center"/>
          </w:tcPr>
          <w:p>
            <w:r>
              <w:rPr>
                <w:rFonts w:ascii="Times New Roman" w:cs="Times New Roman" w:eastAsia="Times New Roman" w:hAnsi="Times New Roman"/>
                <w:color w:val="1F2937"/>
                <w:sz w:val="20"/>
                <w:szCs w:val="20"/>
              </w:rPr>
              <w:t xml:space="preserve">Décision dans 60 à 90 jours maximum</w:t>
            </w:r>
          </w:p>
        </w:tc>
      </w:tr>
      <w:tr>
        <w:tc>
          <w:tcPr>
            <w:shd w:color="FFFFFF" w:val="solid"/>
            <w:vAlign w:val="center"/>
          </w:tcPr>
          <w:p>
            <w:r>
              <w:rPr>
                <w:rFonts w:ascii="Times New Roman" w:cs="Times New Roman" w:eastAsia="Times New Roman" w:hAnsi="Times New Roman"/>
                <w:color w:val="1F2937"/>
                <w:sz w:val="20"/>
                <w:szCs w:val="20"/>
              </w:rPr>
              <w:t xml:space="preserve">Ebook</w:t>
            </w:r>
          </w:p>
        </w:tc>
        <w:tc>
          <w:tcPr>
            <w:shd w:color="FFFFFF" w:val="solid"/>
            <w:vAlign w:val="center"/>
          </w:tcPr>
          <w:p>
            <w:r>
              <w:rPr>
                <w:rFonts w:ascii="Times New Roman" w:cs="Times New Roman" w:eastAsia="Times New Roman" w:hAnsi="Times New Roman"/>
                <w:color w:val="1F2937"/>
                <w:sz w:val="20"/>
                <w:szCs w:val="20"/>
              </w:rPr>
              <w:t xml:space="preserve">Sortir</w:t>
            </w:r>
          </w:p>
        </w:tc>
        <w:tc>
          <w:tcPr>
            <w:shd w:color="FFFFFF" w:val="solid"/>
            <w:vAlign w:val="center"/>
          </w:tcPr>
          <w:p>
            <w:r>
              <w:rPr>
                <w:rFonts w:ascii="Times New Roman" w:cs="Times New Roman" w:eastAsia="Times New Roman" w:hAnsi="Times New Roman"/>
                <w:color w:val="1F2937"/>
                <w:sz w:val="20"/>
                <w:szCs w:val="20"/>
              </w:rPr>
              <w:t xml:space="preserve">Fin de cycle documentée, plus de moat, coût de refonte &gt; espérance de gain</w:t>
            </w:r>
          </w:p>
        </w:tc>
        <w:tc>
          <w:tcPr>
            <w:shd w:color="FFFFFF" w:val="solid"/>
            <w:vAlign w:val="center"/>
          </w:tcPr>
          <w:p>
            <w:r>
              <w:rPr>
                <w:rFonts w:ascii="Times New Roman" w:cs="Times New Roman" w:eastAsia="Times New Roman" w:hAnsi="Times New Roman"/>
                <w:color w:val="1F2937"/>
                <w:sz w:val="20"/>
                <w:szCs w:val="20"/>
              </w:rPr>
              <w:t xml:space="preserve">Retirer ou archiver sous 30 jours</w:t>
            </w:r>
          </w:p>
        </w:tc>
      </w:tr>
    </w:tbl>
    <w:p>
      <w:pPr>
        <w:spacing w:after="80"/>
      </w:pPr>
      <w:r>
        <w:t xml:space="preserve"/>
      </w:r>
    </w:p>
    <w:p>
      <w:pPr>
        <w:spacing w:after="120"/>
      </w:pPr>
      <w:r>
        <w:rPr>
          <w:rFonts w:ascii="Times New Roman" w:cs="Times New Roman" w:eastAsia="Times New Roman" w:hAnsi="Times New Roman"/>
          <w:b/>
          <w:bCs/>
          <w:color w:val="1F2937"/>
          <w:sz w:val="22"/>
          <w:szCs w:val="22"/>
        </w:rPr>
        <w:t xml:space="preserve">C3. Priorité n°1 du portefeuille :</w:t>
      </w:r>
    </w:p>
    <w:p>
      <w:pPr>
        <w:spacing w:after="120"/>
      </w:pPr>
      <w:r>
        <w:rPr>
          <w:rFonts w:ascii="Times New Roman" w:cs="Times New Roman" w:eastAsia="Times New Roman" w:hAnsi="Times New Roman"/>
          <w:color w:val="1F2937"/>
          <w:sz w:val="22"/>
          <w:szCs w:val="22"/>
        </w:rPr>
        <w:t xml:space="preserve">CRMlite est la priorité absolue. C'est le modèle avec le MRR le plus élevé (6 380 €/mois) ET le plus en danger (churn 5,8 % + concurrent gratuit). Chaque mois d'inaction = base d'abonnés réduite. La décision doit être prise rapidement : soit trouver une niche défendable non couverte par le concurrent, soit préparer une vente sur une marketplace (Acquire.com, Flippa) pendant que la base est encore significative.</w:t>
      </w:r>
    </w:p>
    <w:p>
      <w:pPr>
        <w:spacing w:after="80"/>
      </w:pPr>
      <w:r>
        <w:t xml:space="preserve"/>
      </w:r>
    </w:p>
    <w:p>
      <w:pPr>
        <w:pStyle w:val="Heading2"/>
        <w:spacing w:after="120" w:before="360"/>
      </w:pPr>
      <w:r>
        <w:rPr>
          <w:rFonts w:ascii="Times New Roman" w:cs="Times New Roman" w:eastAsia="Times New Roman" w:hAnsi="Times New Roman"/>
          <w:b/>
          <w:bCs/>
          <w:color w:val="1B3A6B"/>
          <w:sz w:val="30"/>
          <w:szCs w:val="30"/>
        </w:rPr>
        <w:t xml:space="preserve">📚 Ressources cliquables</w:t>
      </w:r>
    </w:p>
    <w:p>
      <w:pPr>
        <w:spacing w:after="120"/>
      </w:pPr>
      <w:r>
        <w:rPr>
          <w:rFonts w:ascii="Times New Roman" w:cs="Times New Roman" w:eastAsia="Times New Roman" w:hAnsi="Times New Roman"/>
          <w:color w:val="1F2937"/>
          <w:sz w:val="22"/>
          <w:szCs w:val="22"/>
        </w:rPr>
        <w:t xml:space="preserve">Toutes les ressources ci-dessous ont été testées (HTTP 200) lors de cette exécution.</w:t>
      </w:r>
    </w:p>
    <w:p>
      <w:pPr>
        <w:spacing w:after="80"/>
      </w:pPr>
      <w:r>
        <w:t xml:space="preserve"/>
      </w:r>
    </w:p>
    <w:p>
      <w:pPr>
        <w:spacing w:after="120"/>
      </w:pPr>
      <w:r>
        <w:rPr>
          <w:rFonts w:ascii="Times New Roman" w:cs="Times New Roman" w:eastAsia="Times New Roman" w:hAnsi="Times New Roman"/>
          <w:b/>
          <w:bCs/>
          <w:color w:val="1F2937"/>
          <w:sz w:val="22"/>
          <w:szCs w:val="22"/>
        </w:rPr>
        <w:t xml:space="preserve">Données micro-SaaS vérifiées lors de cette exécution :</w:t>
      </w:r>
    </w:p>
    <w:p>
      <w:pPr>
        <w:spacing w:after="100"/>
      </w:pPr>
      <w:r>
        <w:rPr>
          <w:rFonts w:ascii="Times New Roman" w:cs="Times New Roman" w:eastAsia="Times New Roman" w:hAnsi="Times New Roman"/>
          <w:color w:val="1F2937"/>
          <w:sz w:val="22"/>
          <w:szCs w:val="22"/>
        </w:rPr>
        <w:t xml:space="preserve">• </w:t>
      </w:r>
      <w:hyperlink w:history="1" r:id="rIdzdrhzeesepbqprgm0wknp">
        <w:r>
          <w:rPr>
            <w:rFonts w:ascii="Times New Roman" w:cs="Times New Roman" w:eastAsia="Times New Roman" w:hAnsi="Times New Roman"/>
            <w:color w:val="1155CC"/>
            <w:sz w:val="22"/>
            <w:szCs w:val="22"/>
            <w:u w:val="single"/>
          </w:rPr>
          <w:t xml:space="preserve">Groundwork Blog — The Economics of Micro-SaaS: Real Numbers (mai 2026)</w:t>
        </w:r>
      </w:hyperlink>
      <w:r>
        <w:rPr>
          <w:rFonts w:ascii="Times New Roman" w:cs="Times New Roman" w:eastAsia="Times New Roman" w:hAnsi="Times New Roman"/>
          <w:color w:val="1F2937"/>
          <w:sz w:val="22"/>
          <w:szCs w:val="22"/>
        </w:rPr>
        <w:t xml:space="preserve"> — Distribution des revenus de 1 000+ produits, médiane, temps au seuil.</w:t>
      </w:r>
    </w:p>
    <w:p>
      <w:pPr>
        <w:spacing w:after="100"/>
      </w:pPr>
      <w:r>
        <w:rPr>
          <w:rFonts w:ascii="Times New Roman" w:cs="Times New Roman" w:eastAsia="Times New Roman" w:hAnsi="Times New Roman"/>
          <w:color w:val="1F2937"/>
          <w:sz w:val="22"/>
          <w:szCs w:val="22"/>
        </w:rPr>
        <w:t xml:space="preserve">• </w:t>
      </w:r>
      <w:hyperlink w:history="1" r:id="rIdisx66sih8tnocudjii4qz">
        <w:r>
          <w:rPr>
            <w:rFonts w:ascii="Times New Roman" w:cs="Times New Roman" w:eastAsia="Times New Roman" w:hAnsi="Times New Roman"/>
            <w:color w:val="1155CC"/>
            <w:sz w:val="22"/>
            <w:szCs w:val="22"/>
            <w:u w:val="single"/>
          </w:rPr>
          <w:t xml:space="preserve">shno.co — Micro SaaS Launch Statistics for 2026</w:t>
        </w:r>
      </w:hyperlink>
      <w:r>
        <w:rPr>
          <w:rFonts w:ascii="Times New Roman" w:cs="Times New Roman" w:eastAsia="Times New Roman" w:hAnsi="Times New Roman"/>
          <w:color w:val="1F2937"/>
          <w:sz w:val="22"/>
          <w:szCs w:val="22"/>
        </w:rPr>
        <w:t xml:space="preserve"> — Taille de marché ($15,7B → $59,6B), données de lancement. Note : cite 70 % &lt;1 000 $/mois (vs &lt;500 $/mois chez groundworkblog pour la même source RockingWeb — discordance à considérer).</w:t>
      </w:r>
    </w:p>
    <w:p>
      <w:pPr>
        <w:spacing w:after="80"/>
      </w:pPr>
      <w:r>
        <w:t xml:space="preserve"/>
      </w:r>
    </w:p>
    <w:p>
      <w:pPr>
        <w:spacing w:after="120"/>
      </w:pPr>
      <w:r>
        <w:rPr>
          <w:rFonts w:ascii="Times New Roman" w:cs="Times New Roman" w:eastAsia="Times New Roman" w:hAnsi="Times New Roman"/>
          <w:b/>
          <w:bCs/>
          <w:color w:val="1F2937"/>
          <w:sz w:val="22"/>
          <w:szCs w:val="22"/>
        </w:rPr>
        <w:t xml:space="preserve">Protection des épargnants (AMF) :</w:t>
      </w:r>
    </w:p>
    <w:p>
      <w:pPr>
        <w:spacing w:after="100"/>
      </w:pPr>
      <w:r>
        <w:rPr>
          <w:rFonts w:ascii="Times New Roman" w:cs="Times New Roman" w:eastAsia="Times New Roman" w:hAnsi="Times New Roman"/>
          <w:color w:val="1F2937"/>
          <w:sz w:val="22"/>
          <w:szCs w:val="22"/>
        </w:rPr>
        <w:t xml:space="preserve">• </w:t>
      </w:r>
      <w:hyperlink w:history="1" r:id="rIdiosduirxebwqo0wd9jknl">
        <w:r>
          <w:rPr>
            <w:rFonts w:ascii="Times New Roman" w:cs="Times New Roman" w:eastAsia="Times New Roman" w:hAnsi="Times New Roman"/>
            <w:color w:val="1155CC"/>
            <w:sz w:val="22"/>
            <w:szCs w:val="22"/>
            <w:u w:val="single"/>
          </w:rPr>
          <w:t xml:space="preserve">AMF — Listes noires et mises en garde</w:t>
        </w:r>
      </w:hyperlink>
      <w:r>
        <w:rPr>
          <w:rFonts w:ascii="Times New Roman" w:cs="Times New Roman" w:eastAsia="Times New Roman" w:hAnsi="Times New Roman"/>
          <w:color w:val="1F2937"/>
          <w:sz w:val="22"/>
          <w:szCs w:val="22"/>
        </w:rPr>
        <w:t xml:space="preserve"> — Forex, options binaires, crypto, placements atypiques, usurpations d'identité. Mis à jour en septembre 2026.</w:t>
      </w:r>
    </w:p>
    <w:p>
      <w:pPr>
        <w:spacing w:after="100"/>
      </w:pPr>
      <w:r>
        <w:rPr>
          <w:rFonts w:ascii="Times New Roman" w:cs="Times New Roman" w:eastAsia="Times New Roman" w:hAnsi="Times New Roman"/>
          <w:color w:val="1F2937"/>
          <w:sz w:val="22"/>
          <w:szCs w:val="22"/>
        </w:rPr>
        <w:t xml:space="preserve">• </w:t>
      </w:r>
      <w:hyperlink w:history="1" r:id="rIdbza3bsqvanh1atbup2fop">
        <w:r>
          <w:rPr>
            <w:rFonts w:ascii="Times New Roman" w:cs="Times New Roman" w:eastAsia="Times New Roman" w:hAnsi="Times New Roman"/>
            <w:color w:val="1155CC"/>
            <w:sz w:val="22"/>
            <w:szCs w:val="22"/>
            <w:u w:val="single"/>
          </w:rPr>
          <w:t xml:space="preserve">AMF — Espace épargnants</w:t>
        </w:r>
      </w:hyperlink>
      <w:r>
        <w:rPr>
          <w:rFonts w:ascii="Times New Roman" w:cs="Times New Roman" w:eastAsia="Times New Roman" w:hAnsi="Times New Roman"/>
          <w:color w:val="1F2937"/>
          <w:sz w:val="22"/>
          <w:szCs w:val="22"/>
        </w:rPr>
        <w:t xml:space="preserve"> — Simulateurs, FAQ, Épargne Info Service (01 53 45 62 00).</w:t>
      </w:r>
    </w:p>
    <w:p>
      <w:pPr>
        <w:spacing w:after="80"/>
      </w:pPr>
      <w:r>
        <w:t xml:space="preserve"/>
      </w:r>
    </w:p>
    <w:p>
      <w:pPr>
        <w:spacing w:after="120"/>
      </w:pPr>
      <w:r>
        <w:rPr>
          <w:rFonts w:ascii="Times New Roman" w:cs="Times New Roman" w:eastAsia="Times New Roman" w:hAnsi="Times New Roman"/>
          <w:b/>
          <w:bCs/>
          <w:color w:val="1F2937"/>
          <w:sz w:val="22"/>
          <w:szCs w:val="22"/>
        </w:rPr>
        <w:t xml:space="preserve">Communauté IndieHackers (retours d'expérience réels) :</w:t>
      </w:r>
    </w:p>
    <w:p>
      <w:pPr>
        <w:spacing w:after="100"/>
      </w:pPr>
      <w:r>
        <w:rPr>
          <w:rFonts w:ascii="Times New Roman" w:cs="Times New Roman" w:eastAsia="Times New Roman" w:hAnsi="Times New Roman"/>
          <w:color w:val="1F2937"/>
          <w:sz w:val="22"/>
          <w:szCs w:val="22"/>
        </w:rPr>
        <w:t xml:space="preserve">• </w:t>
      </w:r>
      <w:hyperlink w:history="1" r:id="rId6mefifqmo2lix2ddywqj0">
        <w:r>
          <w:rPr>
            <w:rFonts w:ascii="Times New Roman" w:cs="Times New Roman" w:eastAsia="Times New Roman" w:hAnsi="Times New Roman"/>
            <w:color w:val="1155CC"/>
            <w:sz w:val="22"/>
            <w:szCs w:val="22"/>
            <w:u w:val="single"/>
          </w:rPr>
          <w:t xml:space="preserve">IndieHackers — Everyone Talks About AI Passive Income. Very Few Talk About What Happens After Month 1</w:t>
        </w:r>
      </w:hyperlink>
    </w:p>
    <w:p>
      <w:pPr>
        <w:spacing w:after="100"/>
      </w:pPr>
      <w:r>
        <w:rPr>
          <w:rFonts w:ascii="Times New Roman" w:cs="Times New Roman" w:eastAsia="Times New Roman" w:hAnsi="Times New Roman"/>
          <w:color w:val="1F2937"/>
          <w:sz w:val="22"/>
          <w:szCs w:val="22"/>
        </w:rPr>
        <w:t xml:space="preserve">• </w:t>
      </w:r>
      <w:hyperlink w:history="1" r:id="rIdsvwewd4cggy6wk-gzh4vx">
        <w:r>
          <w:rPr>
            <w:rFonts w:ascii="Times New Roman" w:cs="Times New Roman" w:eastAsia="Times New Roman" w:hAnsi="Times New Roman"/>
            <w:color w:val="1155CC"/>
            <w:sz w:val="22"/>
            <w:szCs w:val="22"/>
            <w:u w:val="single"/>
          </w:rPr>
          <w:t xml:space="preserve">IndieHackers — How Multiple Income Streams Are Actually Built Online in 2026 (The Modern Operator Model)</w:t>
        </w:r>
      </w:hyperlink>
    </w:p>
    <w:p>
      <w:r>
        <w:rPr/>
        <w:t xml:space="preserve"/>
      </w:r>
    </w:p>
    <w:p>
      <w:r>
        <w:rPr>
          <w:b/>
        </w:rPr>
        <w:t xml:space="preserve">Vérification ajoutée le 27/09/2026 — la SCPI nommée par erreur dans le challenge (les deux pages répondent HTTP 200, chiffres lus dans le HTML) :</w:t>
      </w:r>
    </w:p>
    <w:p>
      <w:r>
        <w:rPr/>
        <w:t xml:space="preserve">• https://www.perial.com/scpi/pf-hospitalite-europe — page du gestionnaire PERIAL AM : taux de distribution 2025 de 4,11 %, objectif de rendement interne sur 10 ans de 4,50 %, capitalisation 333 M€, taux d'occupation financier 99,3 %.</w:t>
      </w:r>
    </w:p>
    <w:p>
      <w:r>
        <w:rPr/>
        <w:t xml:space="preserve">• https://www.primaliance.com/scpi-de-rendement/267-scpi-perial-hospitalite-europe — série des taux de distribution de 2020 à 2025 (0,50 %, 4,53 %, 4,02 %, 4,20 %, 4,02 %, 4,11 %), dividende versé par part et variation du prix de référence, source IEIF.</w:t>
      </w:r>
    </w:p>
    <w:p>
      <w:pPr>
        <w:spacing w:after="80"/>
      </w:pPr>
      <w:r>
        <w:t xml:space="preserve"/>
      </w:r>
    </w:p>
    <w:p>
      <w:pPr>
        <w:pStyle w:val="Heading2"/>
        <w:spacing w:after="120" w:before="360"/>
      </w:pPr>
      <w:r>
        <w:rPr>
          <w:rFonts w:ascii="Times New Roman" w:cs="Times New Roman" w:eastAsia="Times New Roman" w:hAnsi="Times New Roman"/>
          <w:b/>
          <w:bCs/>
          <w:color w:val="1B3A6B"/>
          <w:sz w:val="30"/>
          <w:szCs w:val="30"/>
        </w:rPr>
        <w:t xml:space="preserve">🏁 Fin du parcours — Et maintenant ?</w:t>
      </w:r>
    </w:p>
    <w:p>
      <w:pPr>
        <w:pBdr>
          <w:left w:val="thick" w:color="1B3A6B" w:sz="12"/>
        </w:pBdr>
        <w:shd w:color="EEF2F7" w:val="solid"/>
        <w:spacing w:after="100" w:before="100"/>
        <w:ind w:left="240" w:right="240"/>
      </w:pPr>
      <w:r>
        <w:rPr>
          <w:rFonts w:ascii="Times New Roman" w:cs="Times New Roman" w:eastAsia="Times New Roman" w:hAnsi="Times New Roman"/>
          <w:i/>
          <w:iCs/>
          <w:color w:val="1F2937"/>
          <w:sz w:val="22"/>
          <w:szCs w:val="22"/>
        </w:rPr>
        <w:t xml:space="preserve">C'est la dernière leçon du parcours « Revenus passifs » en 10 semaines.</w:t>
      </w:r>
    </w:p>
    <w:p>
      <w:pPr>
        <w:pBdr>
          <w:left w:val="thick" w:color="1B3A6B" w:sz="12"/>
        </w:pBdr>
        <w:shd w:color="EEF2F7" w:val="solid"/>
        <w:spacing w:after="100" w:before="100"/>
        <w:ind w:left="240" w:right="240"/>
      </w:pPr>
      <w:r>
        <w:rPr>
          <w:rFonts w:ascii="Times New Roman" w:cs="Times New Roman" w:eastAsia="Times New Roman" w:hAnsi="Times New Roman"/>
          <w:i/>
          <w:iCs/>
          <w:color w:val="1F2937"/>
          <w:sz w:val="22"/>
          <w:szCs w:val="22"/>
        </w:rPr>
        <w:t xml:space="preserve"/>
      </w:r>
    </w:p>
    <w:p>
      <w:pPr>
        <w:pBdr>
          <w:left w:val="thick" w:color="1B3A6B" w:sz="12"/>
        </w:pBdr>
        <w:shd w:color="EEF2F7" w:val="solid"/>
        <w:spacing w:after="100" w:before="100"/>
        <w:ind w:left="240" w:right="240"/>
      </w:pPr>
      <w:r>
        <w:rPr>
          <w:rFonts w:ascii="Times New Roman" w:cs="Times New Roman" w:eastAsia="Times New Roman" w:hAnsi="Times New Roman"/>
          <w:i/>
          <w:iCs/>
          <w:color w:val="1F2937"/>
          <w:sz w:val="22"/>
          <w:szCs w:val="22"/>
        </w:rPr>
        <w:t xml:space="preserve">Vous avez couvert l'intégralité de la feuille de route : des définitions jusqu'à la matrice de décision finale. Ce que vous avez maintenant :</w:t>
      </w:r>
    </w:p>
    <w:p>
      <w:pPr>
        <w:pBdr>
          <w:left w:val="thick" w:color="1B3A6B" w:sz="12"/>
        </w:pBdr>
        <w:shd w:color="EEF2F7" w:val="solid"/>
        <w:spacing w:after="100" w:before="100"/>
        <w:ind w:left="240" w:right="240"/>
      </w:pPr>
      <w:r>
        <w:rPr>
          <w:rFonts w:ascii="Times New Roman" w:cs="Times New Roman" w:eastAsia="Times New Roman" w:hAnsi="Times New Roman"/>
          <w:i/>
          <w:iCs/>
          <w:color w:val="1F2937"/>
          <w:sz w:val="22"/>
          <w:szCs w:val="22"/>
        </w:rPr>
        <w:t xml:space="preserve">• Une compréhension réaliste des mécanismes — sans promesses ni naïveté.</w:t>
      </w:r>
    </w:p>
    <w:p>
      <w:pPr>
        <w:pBdr>
          <w:left w:val="thick" w:color="1B3A6B" w:sz="12"/>
        </w:pBdr>
        <w:shd w:color="EEF2F7" w:val="solid"/>
        <w:spacing w:after="100" w:before="100"/>
        <w:ind w:left="240" w:right="240"/>
      </w:pPr>
      <w:r>
        <w:rPr>
          <w:rFonts w:ascii="Times New Roman" w:cs="Times New Roman" w:eastAsia="Times New Roman" w:hAnsi="Times New Roman"/>
          <w:i/>
          <w:iCs/>
          <w:color w:val="1F2937"/>
          <w:sz w:val="22"/>
          <w:szCs w:val="22"/>
        </w:rPr>
        <w:t xml:space="preserve">• Des outils concrets : les trois intrants, la matrice des six facteurs, les signaux d'alerte, la décision de portefeuille.</w:t>
      </w:r>
    </w:p>
    <w:p>
      <w:pPr>
        <w:pBdr>
          <w:left w:val="thick" w:color="1B3A6B" w:sz="12"/>
        </w:pBdr>
        <w:shd w:color="EEF2F7" w:val="solid"/>
        <w:spacing w:after="100" w:before="100"/>
        <w:ind w:left="240" w:right="240"/>
      </w:pPr>
      <w:r>
        <w:rPr>
          <w:rFonts w:ascii="Times New Roman" w:cs="Times New Roman" w:eastAsia="Times New Roman" w:hAnsi="Times New Roman"/>
          <w:i/>
          <w:iCs/>
          <w:color w:val="1F2937"/>
          <w:sz w:val="22"/>
          <w:szCs w:val="22"/>
        </w:rPr>
        <w:t xml:space="preserve">• Un cadre de pensée critique : taux d'échec réels, coûts cachés, fiscalité, signaux d'arnaque.</w:t>
      </w:r>
    </w:p>
    <w:p>
      <w:pPr>
        <w:pBdr>
          <w:left w:val="thick" w:color="1B3A6B" w:sz="12"/>
        </w:pBdr>
        <w:shd w:color="EEF2F7" w:val="solid"/>
        <w:spacing w:after="100" w:before="100"/>
        <w:ind w:left="240" w:right="240"/>
      </w:pPr>
      <w:r>
        <w:rPr>
          <w:rFonts w:ascii="Times New Roman" w:cs="Times New Roman" w:eastAsia="Times New Roman" w:hAnsi="Times New Roman"/>
          <w:i/>
          <w:iCs/>
          <w:color w:val="1F2937"/>
          <w:sz w:val="22"/>
          <w:szCs w:val="22"/>
        </w:rPr>
        <w:t xml:space="preserve"/>
      </w:r>
    </w:p>
    <w:p>
      <w:pPr>
        <w:pBdr>
          <w:left w:val="thick" w:color="1B3A6B" w:sz="12"/>
        </w:pBdr>
        <w:shd w:color="EEF2F7" w:val="solid"/>
        <w:spacing w:after="100" w:before="100"/>
        <w:ind w:left="240" w:right="240"/>
      </w:pPr>
      <w:r>
        <w:rPr>
          <w:rFonts w:ascii="Times New Roman" w:cs="Times New Roman" w:eastAsia="Times New Roman" w:hAnsi="Times New Roman"/>
          <w:i/>
          <w:iCs/>
          <w:color w:val="1F2937"/>
          <w:sz w:val="22"/>
          <w:szCs w:val="22"/>
        </w:rPr>
        <w:t xml:space="preserve">La prochaine étape est la vôtre : identifier un modèle candidat, appliquer les critères de durabilité, et tester à petite échelle avant tout engagement significatif.</w:t>
      </w:r>
    </w:p>
    <w:p>
      <w:pPr>
        <w:pBdr>
          <w:left w:val="thick" w:color="1B3A6B" w:sz="12"/>
        </w:pBdr>
        <w:shd w:color="EEF2F7" w:val="solid"/>
        <w:spacing w:after="100" w:before="100"/>
        <w:ind w:left="240" w:right="240"/>
      </w:pPr>
      <w:r>
        <w:rPr>
          <w:rFonts w:ascii="Times New Roman" w:cs="Times New Roman" w:eastAsia="Times New Roman" w:hAnsi="Times New Roman"/>
          <w:i/>
          <w:iCs/>
          <w:color w:val="1F2937"/>
          <w:sz w:val="22"/>
          <w:szCs w:val="22"/>
        </w:rPr>
        <w:t xml:space="preserve"/>
      </w:r>
    </w:p>
    <w:p>
      <w:pPr>
        <w:pBdr>
          <w:left w:val="thick" w:color="1B3A6B" w:sz="12"/>
        </w:pBdr>
        <w:shd w:color="EEF2F7" w:val="solid"/>
        <w:spacing w:after="100" w:before="100"/>
        <w:ind w:left="240" w:right="240"/>
      </w:pPr>
      <w:r>
        <w:rPr>
          <w:rFonts w:ascii="Times New Roman" w:cs="Times New Roman" w:eastAsia="Times New Roman" w:hAnsi="Times New Roman"/>
          <w:i/>
          <w:iCs/>
          <w:color w:val="1F2937"/>
          <w:sz w:val="22"/>
          <w:szCs w:val="22"/>
        </w:rPr>
        <w:t xml:space="preserve">Parcours terminé — 10 / 10.</w:t>
      </w:r>
    </w:p>
    <w:p>
      <w:pPr>
        <w:spacing w:after="80"/>
      </w:pPr>
      <w:r>
        <w:t xml:space="preserve"/>
      </w:r>
    </w:p>
    <w:p>
      <w:r>
        <w:rPr/>
        <w:t xml:space="preserve"/>
      </w:r>
    </w:p>
    <w:p>
      <w:r>
        <w:rPr>
          <w:b/>
        </w:rPr>
        <w:t xml:space="preserve">📝 Journal des corrections</w:t>
      </w:r>
    </w:p>
    <w:p>
      <w:r>
        <w:rPr>
          <w:color w:val="595959"/>
          <w:sz w:val="20"/>
          <w:szCs w:val="20"/>
        </w:rPr>
        <w:t xml:space="preserve">Douze corrections et deux ressources ajoutées. Les formulations d'origine sont conservées ci-dessous.</w:t>
      </w:r>
    </w:p>
    <w:p>
      <w:r>
        <w:rPr>
          <w:color w:val="595959"/>
          <w:sz w:val="20"/>
          <w:szCs w:val="20"/>
        </w:rPr>
        <w:t xml:space="preserve"/>
      </w:r>
    </w:p>
    <w:p>
      <w:r>
        <w:rPr>
          <w:color w:val="595959"/>
          <w:sz w:val="20"/>
          <w:szCs w:val="20"/>
        </w:rPr>
        <w:t xml:space="preserve">1. Sous-titre. Origine : « Signaux de déclin · Scénarios de durabilité · Matrice de décision ». Aucune section ne portait de scénario : les six facteurs avaient pris leur place. Le sous-titre annonce désormais des facteurs.</w:t>
      </w:r>
    </w:p>
    <w:p>
      <w:r>
        <w:rPr>
          <w:color w:val="595959"/>
          <w:sz w:val="20"/>
          <w:szCs w:val="20"/>
        </w:rPr>
        <w:t xml:space="preserve">2. Objectif et continuité. Origine : « les cinq familles d'idées (produits numériques, contenus/affiliation, ETF/dividendes/SCPI, micro-SaaS/agents IA) » — cinq familles annoncées, quatre libellés énumérés, les placements à revenu et l'immobilier locatif fondus en un.</w:t>
      </w:r>
    </w:p>
    <w:p>
      <w:r>
        <w:rPr>
          <w:color w:val="595959"/>
          <w:sz w:val="20"/>
          <w:szCs w:val="20"/>
        </w:rPr>
        <w:t xml:space="preserve">3. En-têtes de section. Les étiquettes « Théorie (20 %) » et « Pratique (80 %) » sont conservées comme intention du parcours, avec la mesure en face. Mesuré en caractères entre les repères du document tel que livré ce matin, marqueurs de correction exclus : théorie et ancrage réaliste 7 373 signes, partie pratique 9 489 — soit 56 % de pratique, non 80 %. Les quatre leçons précédentes du parcours : 42 % (n°06), 43 % (n°07), 48 % (n°08), 55 % (n°09). La n°10 est la plus proche de la cible que le parcours ait produite, et l'écart reste de vingt-quatre points.</w:t>
      </w:r>
    </w:p>
    <w:p>
      <w:r>
        <w:rPr>
          <w:color w:val="595959"/>
          <w:sz w:val="20"/>
          <w:szCs w:val="20"/>
        </w:rPr>
        <w:t xml:space="preserve">4. Théorie, section 1. Les durées « cycle de 6 à 18 mois avant saturation » et « peut tenir des années » étaient posées sans source. Déclarées comme ordres de grandeur.</w:t>
      </w:r>
    </w:p>
    <w:p>
      <w:r>
        <w:rPr>
          <w:color w:val="595959"/>
          <w:sz w:val="20"/>
          <w:szCs w:val="20"/>
        </w:rPr>
        <w:t xml:space="preserve">5. Théorie, section 4. Origine : « La table ci-dessous utilise la distribution détaillée de groundworkblog.com ». La note méthodologique présentait les deux sources comme discordantes et il fallait trancher. En réalité les quatre tranches (70 %, 18 %, 10 %, 1 à 2 %) totalisent 99 à 100 % et ne laissent que 0 à 1 % à la tranche 500 à 1 000 $/mois : environ 70 % des produits sont donc sous les deux seuils, et les deux sources décrivent la même distribution lue à deux bornes différentes. La discordance était surestimée ; l'anomalie réelle est la tranche presque vide de la distribution source.</w:t>
      </w:r>
    </w:p>
    <w:p>
      <w:r>
        <w:rPr>
          <w:color w:val="595959"/>
          <w:sz w:val="20"/>
          <w:szCs w:val="20"/>
        </w:rPr>
        <w:t xml:space="preserve">6. Théorie, section 4. Origine : « Médiane constatée : 500 $/mois de MRR. » La page source porte aussi « 70 % des produits micro-SaaS gagnent moins de 500 $/mois » : la médiane d'une population dont 70 % est sous un seuil est inférieure à ce seuil. Devenu : au plus 500 $/mois.</w:t>
      </w:r>
    </w:p>
    <w:p>
      <w:r>
        <w:rPr>
          <w:color w:val="595959"/>
          <w:sz w:val="20"/>
          <w:szCs w:val="20"/>
        </w:rPr>
        <w:t xml:space="preserve">7. Théorie, section 5. Origine : « Six facteurs déterminent si un modèle passif va tenir dans la durée ou décliner rapidement », suivi d'une grille dont aucun seuil n'était sourcé — 3 %, 7 %, 2 h, 10 h, -80 %, 6 mois, et les bandes de score « fragile (&lt; 15), moyen (15-22), durable (&gt; 22) ». Seize valeurs sans URL ni déclaration, alors que la leçon déclarait honnêtement le seul chiffre qu'elle avait emprunté (le « &lt; 100 € » des ebooks). La grille est désormais annoncée pour ce qu'elle est : une construction de cette leçon.</w:t>
      </w:r>
    </w:p>
    <w:p>
      <w:r>
        <w:rPr>
          <w:color w:val="595959"/>
          <w:sz w:val="20"/>
          <w:szCs w:val="20"/>
        </w:rPr>
        <w:t xml:space="preserve">8. Corrigé de l'exercice 1. Origine : « Source d'acquisition unique (94 % SEO) — un seul choc = -50 % de trafic ». Le trafic recule de 12 000 à 6 800 visites, soit -43,3 % ; le -50 % est celui du revenu (620 € vers 310 €).</w:t>
      </w:r>
    </w:p>
    <w:p>
      <w:r>
        <w:rPr>
          <w:color w:val="595959"/>
          <w:sz w:val="20"/>
          <w:szCs w:val="20"/>
        </w:rPr>
        <w:t xml:space="preserve">9. Corrigé de l'exercice 2. Origine : « Dépendance à 70 % sur un seul fournisseur d'API — risque critique » et « amener ce facteur à 3/5 en réduisant la dépendance unique à &lt; 40 % ». L'énoncé dit que l'outil est construit sur l'API d'un seul éditeur : la dépendance est de 100 %, et les 70 % étaient la part des cas d'usage couverts par cet éditeur.</w:t>
      </w:r>
    </w:p>
    <w:p>
      <w:r>
        <w:rPr>
          <w:color w:val="595959"/>
          <w:sz w:val="20"/>
          <w:szCs w:val="20"/>
        </w:rPr>
        <w:t xml:space="preserve">10. Corrigé de l'exercice 3. Origine : ligne « Churn mensuel », modèle A, « 1 (3 ventes/mois vs 25 = -88 %) ». La théorie définit le churn comme la part d'abonnés ou de clients perdus par mois ; un guide PDF vendu à l'unité n'a pas d'abonné. La note reste 1, sur un indicateur de substitution nommé.</w:t>
      </w:r>
    </w:p>
    <w:p>
      <w:r>
        <w:rPr>
          <w:color w:val="595959"/>
          <w:sz w:val="20"/>
          <w:szCs w:val="20"/>
        </w:rPr>
        <w:t xml:space="preserve">11. Corrigé de l'exercice 3. Origine : ligne « Maintenance réelle », modèle A, « 5 (0 h/semaine) ». La grille attribue sa note maximale au produit mort, parce que plus personne ne le maintient : elle récompense l'abandon. La limite est désormais signalée dans le corrigé.</w:t>
      </w:r>
    </w:p>
    <w:p>
      <w:r>
        <w:rPr>
          <w:color w:val="595959"/>
          <w:sz w:val="20"/>
          <w:szCs w:val="20"/>
        </w:rPr>
        <w:t xml:space="preserve">12. Challenge. Origine : « 1. SCPI Perial PF Hospitalité (fictive) — taux de distribution annoncé : 4,50 % en 2024. Signal : taux de distribution était à 5,20 % en 2022, 4,80 % en 2023, 4,50 % en 2024. » PF Hospitalité Europe existe, gérée par PERIAL Asset Management. Ses taux de distribution réels sont 4,53 % en 2021, 4,02 % en 2022, 4,20 % en 2023, 4,02 % en 2024 et 4,11 % en 2025 : plats, et non en baisse de 0,70 point en deux ans comme l'énonçait l'exercice. Le 4,50 % figure bien sur la page du gestionnaire, mais comme objectif de rendement interne à dix ans. Le signal réel de 2024 était une baisse du prix de référence de 200 à 181 €, soit -9,50 %, que l'exercice ignorait. Le cas porte désormais un nom inventé, et deux pages ont été ajoutées aux Ressources.</w:t>
      </w:r>
    </w:p>
    <w:p>
      <w:r>
        <w:rPr>
          <w:color w:val="595959"/>
          <w:sz w:val="20"/>
          <w:szCs w:val="20"/>
        </w:rPr>
        <w:t xml:space="preserve">13. Challenge, tableau de décision. La ligne SCPI concluait « Maintenir + surveiller », avec un horizon à 12 mois, sur un produit nommé — dans une leçon qui s'ouvre sur « ne vous dit pas quoi acheter, vendre, ni pour quel montant ». Le tableau porte désormais le rappel que ses quatre décisions sont des réponses d'exercice sur des cas inventés.</w:t>
      </w:r>
    </w:p>
    <w:p>
      <w:r>
        <w:rPr>
          <w:color w:val="595959"/>
          <w:sz w:val="20"/>
          <w:szCs w:val="20"/>
        </w:rPr>
        <w:t xml:space="preserve"/>
      </w:r>
    </w:p>
    <w:p>
      <w:r>
        <w:rPr>
          <w:color w:val="595959"/>
          <w:sz w:val="20"/>
          <w:szCs w:val="20"/>
        </w:rPr>
        <w:t xml:space="preserve">Ce qui n'est PAS corrigé, et pourquoi : la répartition théorie/pratique, qui ne se règle pas par une retouche de document ; la table de distribution micro-SaaS, conservée telle que la page source la publie, trou de tranche compris, puisque la recopier fidèlement était la consigne.</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zdrhzeesepbqprgm0wknp" Type="http://schemas.openxmlformats.org/officeDocument/2006/relationships/hyperlink" Target="https://groundworkblog.com/articles/economics-of-micro-saas-businesses" TargetMode="External"/><Relationship Id="rIdisx66sih8tnocudjii4qz" Type="http://schemas.openxmlformats.org/officeDocument/2006/relationships/hyperlink" Target="https://www.shno.co/marketing-statistics/micro-saas-launch-statistics" TargetMode="External"/><Relationship Id="rIdiosduirxebwqo0wd9jknl" Type="http://schemas.openxmlformats.org/officeDocument/2006/relationships/hyperlink" Target="https://www.amf-france.org/fr/espace-epargnants/proteger-son-epargne/listes-noires-et-mises-en-garde" TargetMode="External"/><Relationship Id="rIdbza3bsqvanh1atbup2fop" Type="http://schemas.openxmlformats.org/officeDocument/2006/relationships/hyperlink" Target="https://www.amf-france.org/fr/espace-epargnants" TargetMode="External"/><Relationship Id="rId6mefifqmo2lix2ddywqj0" Type="http://schemas.openxmlformats.org/officeDocument/2006/relationships/hyperlink" Target="https://www.indiehackers.com/post/everyone-talks-about-ai-passive-income-very-few-talk-about-what-happens-after-month-1-681cb901b5" TargetMode="External"/><Relationship Id="rIdsvwewd4cggy6wk-gzh4vx" Type="http://schemas.openxmlformats.org/officeDocument/2006/relationships/hyperlink" Target="https://www.indiehackers.com/post/how-multiple-income-streams-are-actually-built-online-in-2026-the-modern-operator-model-fc0301547e" TargetMode="External"/><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2026-09-27T05:11:50.723Z</dcterms:created>
  <dcterms:modified xsi:type="dcterms:W3CDTF">2026-09-27T05:11:50.724Z</dcterms:modified>
</cp:coreProperties>
</file>

<file path=docProps/custom.xml><?xml version="1.0" encoding="utf-8"?>
<Properties xmlns="http://schemas.openxmlformats.org/officeDocument/2006/custom-properties" xmlns:vt="http://schemas.openxmlformats.org/officeDocument/2006/docPropsVTypes"/>
</file>