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Psychopathologie clinique n°08</w:t>
      </w:r>
    </w:p>
    <w:p>
      <w:pPr>
        <w:pStyle w:val="Heading1"/>
        <w:spacing w:after="200" w:before="300"/>
        <w:jc w:val="center"/>
      </w:pPr>
      <w:r>
        <w:rPr>
          <w:rFonts w:ascii="Times New Roman" w:cs="Times New Roman" w:eastAsia="Times New Roman" w:hAnsi="Times New Roman"/>
          <w:b/>
          <w:bCs/>
          <w:color w:val="1B3A6B"/>
          <w:sz w:val="52"/>
          <w:szCs w:val="52"/>
        </w:rPr>
        <w:t xml:space="preserve">Les troubles de la personnalité</w:t>
      </w:r>
    </w:p>
    <w:p>
      <w:pPr>
        <w:spacing w:after="100"/>
      </w:pPr>
      <w:r>
        <w:rPr>
          <w:rFonts w:ascii="Times New Roman" w:cs="Times New Roman" w:eastAsia="Times New Roman" w:hAnsi="Times New Roman"/>
          <w:b/>
          <w:bCs/>
          <w:i w:val="false"/>
          <w:iCs w:val="false"/>
          <w:color w:val="1B3A6B"/>
          <w:sz w:val="22"/>
          <w:szCs w:val="22"/>
        </w:rPr>
        <w:t xml:space="preserve">Clusters A, B, C et trouble borderline en détail</w:t>
      </w:r>
    </w:p>
    <w:p>
      <w:pPr>
        <w:spacing w:after="100"/>
      </w:pPr>
      <w:r>
        <w:rPr>
          <w:rFonts w:ascii="Times New Roman" w:cs="Times New Roman" w:eastAsia="Times New Roman" w:hAnsi="Times New Roman"/>
          <w:b w:val="false"/>
          <w:bCs w:val="false"/>
          <w:i/>
          <w:iCs/>
          <w:color w:val="1F2937"/>
          <w:sz w:val="22"/>
          <w:szCs w:val="22"/>
        </w:rPr>
        <w:t xml:space="preserve">Date : 4 août 2026  |  Parcours fondamental — leçon 08 / 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8/16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00"/>
      </w:pPr>
      <w:r>
        <w:rPr>
          <w:rFonts w:ascii="Times New Roman" w:cs="Times New Roman" w:eastAsia="Times New Roman" w:hAnsi="Times New Roman"/>
          <w:b w:val="false"/>
          <w:bCs w:val="false"/>
          <w:i/>
          <w:iCs/>
          <w:color w:val="1F2937"/>
          <w:sz w:val="22"/>
          <w:szCs w:val="22"/>
        </w:rPr>
        <w:t xml:space="preserve">Domaine : Psychopathologie clinique — du fondamental à l'avancé</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pPr>
      <w:r>
        <w:rPr>
          <w:rFonts w:ascii="Times New Roman" w:cs="Times New Roman" w:eastAsia="Times New Roman" w:hAnsi="Times New Roman"/>
          <w:color w:val="1F2937"/>
          <w:sz w:val="22"/>
          <w:szCs w:val="22"/>
        </w:rPr>
        <w:t xml:space="preserve">Nommer et distinguer les dix troubles de personnalité du DSM-5 et leur cluster d'appartenance (A, B, C)</w:t>
      </w:r>
    </w:p>
    <w:p>
      <w:pPr>
        <w:pStyle w:val="ListParagraph"/>
        <w:numPr>
          <w:ilvl w:val="0"/>
          <w:numId w:val="1"/>
        </w:numPr>
        <w:spacing w:after="60"/>
      </w:pPr>
      <w:r>
        <w:rPr>
          <w:rFonts w:ascii="Times New Roman" w:cs="Times New Roman" w:eastAsia="Times New Roman" w:hAnsi="Times New Roman"/>
          <w:color w:val="1F2937"/>
          <w:sz w:val="22"/>
          <w:szCs w:val="22"/>
        </w:rPr>
        <w:t xml:space="preserve">Décrire les critères diagnostiques généraux d'un trouble de la personnalité et repérer les traits pathologiques dans une vignette clinique</w:t>
      </w:r>
    </w:p>
    <w:p>
      <w:pPr>
        <w:pStyle w:val="ListParagraph"/>
        <w:numPr>
          <w:ilvl w:val="0"/>
          <w:numId w:val="1"/>
        </w:numPr>
        <w:spacing w:after="60"/>
      </w:pPr>
      <w:r>
        <w:rPr>
          <w:rFonts w:ascii="Times New Roman" w:cs="Times New Roman" w:eastAsia="Times New Roman" w:hAnsi="Times New Roman"/>
          <w:color w:val="1F2937"/>
          <w:sz w:val="22"/>
          <w:szCs w:val="22"/>
        </w:rPr>
        <w:t xml:space="preserve">Expliquer le modèle dimensionnel de la CIM-11 et le comparer à l'approche catégorielle du DSM-5</w:t>
      </w:r>
    </w:p>
    <w:p>
      <w:pPr>
        <w:pStyle w:val="ListParagraph"/>
        <w:numPr>
          <w:ilvl w:val="0"/>
          <w:numId w:val="1"/>
        </w:numPr>
        <w:spacing w:after="60"/>
      </w:pPr>
      <w:r>
        <w:rPr>
          <w:rFonts w:ascii="Times New Roman" w:cs="Times New Roman" w:eastAsia="Times New Roman" w:hAnsi="Times New Roman"/>
          <w:color w:val="1F2937"/>
          <w:sz w:val="22"/>
          <w:szCs w:val="22"/>
        </w:rPr>
        <w:t xml:space="preserve">Présenter les principaux axes thérapeutiques pour le trouble borderline (TCD, MBT)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Lien avec la leçon précédente (n°07 — Troubles psychotiques) : tu as appris à repérer symptômes positifs, négatifs et désorganisation dans la schizophrénie. Ici, on change de registre : les troubles de la personnalité ne sont pas des épisodes discrets mais des patterns stables, persistants, inscrits dans la manière d'être de la personne. Le lien existe néanmoins : certains traits schizotypiques (cluster A) s'inscrivent dans un continuum avec la vulnérabilité psychotique.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Qu'est-ce qu'un trouble de la personnalité ?</w:t>
      </w:r>
    </w:p>
    <w:p>
      <w:pPr>
        <w:pStyle w:val="Heading3"/>
        <w:spacing w:after="80" w:before="200"/>
      </w:pPr>
      <w:r>
        <w:rPr>
          <w:rFonts w:ascii="Times New Roman" w:cs="Times New Roman" w:eastAsia="Times New Roman" w:hAnsi="Times New Roman"/>
          <w:b/>
          <w:bCs/>
          <w:color w:val="1F2937"/>
          <w:sz w:val="26"/>
          <w:szCs w:val="26"/>
        </w:rPr>
        <w:t xml:space="preserve">1. Définition générale</w:t>
      </w:r>
    </w:p>
    <w:p>
      <w:pPr>
        <w:spacing w:after="100"/>
      </w:pPr>
      <w:r>
        <w:rPr>
          <w:rFonts w:ascii="Times New Roman" w:cs="Times New Roman" w:eastAsia="Times New Roman" w:hAnsi="Times New Roman"/>
          <w:b w:val="false"/>
          <w:bCs w:val="false"/>
          <w:i w:val="false"/>
          <w:iCs w:val="false"/>
          <w:color w:val="1F2937"/>
          <w:sz w:val="22"/>
          <w:szCs w:val="22"/>
        </w:rPr>
        <w:t xml:space="preserve">Un trouble de la personnalité se définit comme un ensemble de traits cognitifs, affectifs, relationnels et comportementaux rigides, envahissants et inadaptés, présents depuis l'adolescence ou le début de l'âge adulte, stables dans le temps et à travers les situations, et entraînant une souffrance cliniquement significative ou une altération du fonctionnement social et professionnel.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Quatre domaines sont impliqués (DSM-5-TR) :</w:t>
      </w:r>
    </w:p>
    <w:p>
      <w:pPr>
        <w:pStyle w:val="ListParagraph"/>
        <w:numPr>
          <w:ilvl w:val="0"/>
          <w:numId w:val="1"/>
        </w:numPr>
        <w:spacing w:after="60"/>
      </w:pPr>
      <w:r>
        <w:rPr>
          <w:rFonts w:ascii="Times New Roman" w:cs="Times New Roman" w:eastAsia="Times New Roman" w:hAnsi="Times New Roman"/>
          <w:color w:val="1F2937"/>
          <w:sz w:val="22"/>
          <w:szCs w:val="22"/>
        </w:rPr>
        <w:t xml:space="preserve">La cognition : manière de percevoir et d'interpréter soi-même, les autres, les événements</w:t>
      </w:r>
    </w:p>
    <w:p>
      <w:pPr>
        <w:pStyle w:val="ListParagraph"/>
        <w:numPr>
          <w:ilvl w:val="0"/>
          <w:numId w:val="1"/>
        </w:numPr>
        <w:spacing w:after="60"/>
      </w:pPr>
      <w:r>
        <w:rPr>
          <w:rFonts w:ascii="Times New Roman" w:cs="Times New Roman" w:eastAsia="Times New Roman" w:hAnsi="Times New Roman"/>
          <w:color w:val="1F2937"/>
          <w:sz w:val="22"/>
          <w:szCs w:val="22"/>
        </w:rPr>
        <w:t xml:space="preserve">L'affectivité : nature, intensité, labilité et adéquation de la réponse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Le fonctionnement interpersonnel : qualité des relations, empathie, réciprocité</w:t>
      </w:r>
    </w:p>
    <w:p>
      <w:pPr>
        <w:pStyle w:val="ListParagraph"/>
        <w:numPr>
          <w:ilvl w:val="0"/>
          <w:numId w:val="1"/>
        </w:numPr>
        <w:spacing w:after="60"/>
      </w:pPr>
      <w:r>
        <w:rPr>
          <w:rFonts w:ascii="Times New Roman" w:cs="Times New Roman" w:eastAsia="Times New Roman" w:hAnsi="Times New Roman"/>
          <w:color w:val="1F2937"/>
          <w:sz w:val="22"/>
          <w:szCs w:val="22"/>
        </w:rPr>
        <w:t xml:space="preserve">Le contrôle des impulsions : régulation des comportements et de l'agir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 Cadre déontologique : les troubles de la personnalité constituent des catégories diagnostiques réservées aux médecins psychiatres et psychologues cliniciens. En tant que professionnel éducatif, ton rôle est d'observer et de décrire des comportements, d'alerter les équipes soignantes, et d'adapter l'accompagnement — en aucun cas de poser ou d'avancer un diagnostic.</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Critères diagnostiques formels (DSM-5-TR)</w:t>
      </w:r>
    </w:p>
    <w:p>
      <w:pPr>
        <w:spacing w:after="100"/>
      </w:pPr>
      <w:r>
        <w:rPr>
          <w:rFonts w:ascii="Times New Roman" w:cs="Times New Roman" w:eastAsia="Times New Roman" w:hAnsi="Times New Roman"/>
          <w:b w:val="false"/>
          <w:bCs w:val="false"/>
          <w:i w:val="false"/>
          <w:iCs w:val="false"/>
          <w:color w:val="1F2937"/>
          <w:sz w:val="22"/>
          <w:szCs w:val="22"/>
        </w:rPr>
        <w:t xml:space="preserve">Pour être diagnostiqué, le pattern doit répondre à l'ensemble des critères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S'écarter notablement des attentes culturelles dans au moins deux domaines (cognition, affectivité, fonctionnement interpersonnel, contrôle des impulsions)</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envahissant et rigide : apparaître dans une large palette de situations personnelles et sociales</w:t>
      </w:r>
    </w:p>
    <w:p>
      <w:pPr>
        <w:pStyle w:val="ListParagraph"/>
        <w:numPr>
          <w:ilvl w:val="0"/>
          <w:numId w:val="1"/>
        </w:numPr>
        <w:spacing w:after="60"/>
      </w:pPr>
      <w:r>
        <w:rPr>
          <w:rFonts w:ascii="Times New Roman" w:cs="Times New Roman" w:eastAsia="Times New Roman" w:hAnsi="Times New Roman"/>
          <w:color w:val="1F2937"/>
          <w:sz w:val="22"/>
          <w:szCs w:val="22"/>
        </w:rPr>
        <w:t xml:space="preserve">Entraîner une souffrance ou une altération significative du fonctionnement</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stable et de longue durée : débuter au plus tard à l'adolescence ou au début de l'âge adulte</w:t>
      </w:r>
    </w:p>
    <w:p>
      <w:pPr>
        <w:pStyle w:val="ListParagraph"/>
        <w:numPr>
          <w:ilvl w:val="0"/>
          <w:numId w:val="1"/>
        </w:numPr>
        <w:spacing w:after="60"/>
      </w:pPr>
      <w:r>
        <w:rPr>
          <w:rFonts w:ascii="Times New Roman" w:cs="Times New Roman" w:eastAsia="Times New Roman" w:hAnsi="Times New Roman"/>
          <w:color w:val="1F2937"/>
          <w:sz w:val="22"/>
          <w:szCs w:val="22"/>
        </w:rPr>
        <w:t xml:space="preserve">Ne pas être imputable à un autre trouble mental, à une substance ou à une affection médicale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L'approche catégorielle DSM-5 : les trois clusters</w:t>
      </w:r>
    </w:p>
    <w:p>
      <w:pPr>
        <w:spacing w:after="100"/>
      </w:pPr>
      <w:r>
        <w:rPr>
          <w:rFonts w:ascii="Times New Roman" w:cs="Times New Roman" w:eastAsia="Times New Roman" w:hAnsi="Times New Roman"/>
          <w:b w:val="false"/>
          <w:bCs w:val="false"/>
          <w:i w:val="false"/>
          <w:iCs w:val="false"/>
          <w:color w:val="1F2937"/>
          <w:sz w:val="22"/>
          <w:szCs w:val="22"/>
        </w:rPr>
        <w:t xml:space="preserve">Le DSM-5 distingue dix troubles de la personnalité regroupés en trois clusters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Qualificatif</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Troubles inclus</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Fil conducteur</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Étrange / excentrique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 Schizoïde, 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social, méfiance, pensée idiosyncrasique ; continuum avec le spectre psychotique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Dramatique / émotionnel / impulsif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 Borderline, Histrionique, 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Régulation émotionnelle défaillante, impulsivité, instabilité relationnelle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Anxieux / craintif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 Dépendante, 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Peur, inhibition, besoin de contrôle ou de protection</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La révolution CIM-11 : vers un modèle dimensionnel</w:t>
      </w:r>
    </w:p>
    <w:p>
      <w:pPr>
        <w:spacing w:after="100"/>
      </w:pPr>
      <w:r>
        <w:rPr>
          <w:rFonts w:ascii="Times New Roman" w:cs="Times New Roman" w:eastAsia="Times New Roman" w:hAnsi="Times New Roman"/>
          <w:b w:val="false"/>
          <w:bCs w:val="false"/>
          <w:i w:val="false"/>
          <w:iCs w:val="false"/>
          <w:color w:val="1F2937"/>
          <w:sz w:val="22"/>
          <w:szCs w:val="22"/>
        </w:rPr>
        <w:t xml:space="preserve">La CIM-11 (OMS, 2022) rompt avec l'approche catégorielle. Elle propose un seul diagnostic de « Trouble de la personnalité » assorti de deux axes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Sévérité : légère, modérée, sévère (basée sur le retentissement fonctionnel)</w:t>
      </w:r>
    </w:p>
    <w:p>
      <w:pPr>
        <w:pStyle w:val="ListParagraph"/>
        <w:numPr>
          <w:ilvl w:val="0"/>
          <w:numId w:val="1"/>
        </w:numPr>
        <w:spacing w:after="60"/>
      </w:pPr>
      <w:r>
        <w:rPr>
          <w:rFonts w:ascii="Times New Roman" w:cs="Times New Roman" w:eastAsia="Times New Roman" w:hAnsi="Times New Roman"/>
          <w:color w:val="1F2937"/>
          <w:sz w:val="22"/>
          <w:szCs w:val="22"/>
        </w:rPr>
        <w:t xml:space="preserve">Qualificateurs de traits — ils sont CINQ : négativisme affectif, détachement, dissocialité, désinhibition, anankastie (le domaine qui correspond à la personnalité obsessionnelle-compulsive du cluster C). ⚠️ Corrigé le 06/09/2026, deux points. ① Le « borderline » figurait ici comme un sixième trait ; ce n'en est pas un. La source écrit : « In addition to the traits, a Borderline pattern […] may be specified » — c'est un SPÉCIFICATEUR DISTINCT, qui s'ajoute aux traits. Le tableau de l'exercice 3 de cette leçon l'écrivait correctement, « qualificateur spécifique “borderline pattern” ». ② L'anankastie était présentée comme « ancêtre du cluster C OCD » : la CIM-11 est POSTÉRIEURE au DSM-5, elle n'en est pas l'ancêtre. À noter enfin, et la leçon ne le disait pas : la CIM-11 sort le trouble schizotypique des troubles de la personnalité pour le classer parmi les troubles psychotiques primaires.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Cette approche dimensionnelle reflète mieux la réalité clinique — la comorbidité entre troubles de la personnalité est la règle plutôt que l'exception — et évite la prolifération de catégories artificiellement distinctes.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Le trouble de la personnalité borderline (TPB) — Focus</w:t>
      </w:r>
    </w:p>
    <w:p>
      <w:pPr>
        <w:spacing w:after="100"/>
      </w:pPr>
      <w:r>
        <w:rPr>
          <w:rFonts w:ascii="Times New Roman" w:cs="Times New Roman" w:eastAsia="Times New Roman" w:hAnsi="Times New Roman"/>
          <w:b w:val="false"/>
          <w:bCs w:val="false"/>
          <w:i w:val="false"/>
          <w:iCs w:val="false"/>
          <w:color w:val="1F2937"/>
          <w:sz w:val="22"/>
          <w:szCs w:val="22"/>
        </w:rPr>
        <w:t xml:space="preserve">Le TPB (ou trouble de la personnalité limite) est le plus étudié cliniquement et le plus souvent rencontré en pratique. Il se caractérise par une instabilité envahissante touchant les émotions, l'identité et les relations interpersonnelles.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Critères : au moins 5 des 9 signes suivants. ⚠️ Précision ajoutée le 06/09/2026 — la leçon annonçait « Critères DSM-5 », mais la source utilisée (Wikipédia FR) présente cette liste sous l'intitulé « Selon le DSM-IV », et sa section porte un bandeau « à actualiser (juin 2022) ». Le contenu des neuf critères est effectivement quasi inchangé entre DSM-IV et DSM-5 pour ce trouble, mais aucune source consultée ici ne l'atteste : à vérifier dans le DSM-5-TR avant tout usage de l'attribution.</w:t>
      </w:r>
    </w:p>
    <w:p>
      <w:pPr>
        <w:pStyle w:val="ListParagraph"/>
        <w:numPr>
          <w:ilvl w:val="0"/>
          <w:numId w:val="1"/>
        </w:numPr>
        <w:spacing w:after="60"/>
      </w:pPr>
      <w:r>
        <w:rPr>
          <w:rFonts w:ascii="Times New Roman" w:cs="Times New Roman" w:eastAsia="Times New Roman" w:hAnsi="Times New Roman"/>
          <w:color w:val="1F2937"/>
          <w:sz w:val="22"/>
          <w:szCs w:val="22"/>
        </w:rPr>
        <w:t xml:space="preserve">1. Efforts effrénés pour éviter les abandons réels ou imaginaires</w:t>
      </w:r>
    </w:p>
    <w:p>
      <w:pPr>
        <w:pStyle w:val="ListParagraph"/>
        <w:numPr>
          <w:ilvl w:val="0"/>
          <w:numId w:val="1"/>
        </w:numPr>
        <w:spacing w:after="60"/>
      </w:pPr>
      <w:r>
        <w:rPr>
          <w:rFonts w:ascii="Times New Roman" w:cs="Times New Roman" w:eastAsia="Times New Roman" w:hAnsi="Times New Roman"/>
          <w:color w:val="1F2937"/>
          <w:sz w:val="22"/>
          <w:szCs w:val="22"/>
        </w:rPr>
        <w:t xml:space="preserve">2. Relations interpersonnelles instables alternant entre idéalisation et dévalorisation (clivage)</w:t>
      </w:r>
    </w:p>
    <w:p>
      <w:pPr>
        <w:pStyle w:val="ListParagraph"/>
        <w:numPr>
          <w:ilvl w:val="0"/>
          <w:numId w:val="1"/>
        </w:numPr>
        <w:spacing w:after="60"/>
      </w:pPr>
      <w:r>
        <w:rPr>
          <w:rFonts w:ascii="Times New Roman" w:cs="Times New Roman" w:eastAsia="Times New Roman" w:hAnsi="Times New Roman"/>
          <w:color w:val="1F2937"/>
          <w:sz w:val="22"/>
          <w:szCs w:val="22"/>
        </w:rPr>
        <w:t xml:space="preserve">3. Perturbation de l'identité : instabilité marquée et persistante de l'image ou de la notion de soi. ⚠️ Corrigé le 06/09/2026 : ce critère portait ici la mention « sentiment chronique de vide », qui appartient au critère 7 et à lui seul. Un même signe pouvait donc être compté DEUX FOIS dans une liste dont le seuil est « au moins 5 sur 9 » — et faire franchir ce seuil à tort. Le corrigé de l'exercice 2 de cette leçon employait, lui, la bonne version.</w:t>
      </w:r>
    </w:p>
    <w:p>
      <w:pPr>
        <w:pStyle w:val="ListParagraph"/>
        <w:numPr>
          <w:ilvl w:val="0"/>
          <w:numId w:val="1"/>
        </w:numPr>
        <w:spacing w:after="60"/>
      </w:pPr>
      <w:r>
        <w:rPr>
          <w:rFonts w:ascii="Times New Roman" w:cs="Times New Roman" w:eastAsia="Times New Roman" w:hAnsi="Times New Roman"/>
          <w:color w:val="1F2937"/>
          <w:sz w:val="22"/>
          <w:szCs w:val="22"/>
        </w:rPr>
        <w:t xml:space="preserve">4. Impulsivité dans au moins deux domaines potentiellement dommageables (dépenses, sexualité, substances, conduite)</w:t>
      </w:r>
    </w:p>
    <w:p>
      <w:pPr>
        <w:pStyle w:val="ListParagraph"/>
        <w:numPr>
          <w:ilvl w:val="0"/>
          <w:numId w:val="1"/>
        </w:numPr>
        <w:spacing w:after="60"/>
      </w:pPr>
      <w:r>
        <w:rPr>
          <w:rFonts w:ascii="Times New Roman" w:cs="Times New Roman" w:eastAsia="Times New Roman" w:hAnsi="Times New Roman"/>
          <w:color w:val="1F2937"/>
          <w:sz w:val="22"/>
          <w:szCs w:val="22"/>
        </w:rPr>
        <w:t xml:space="preserve">5. Comportements, gestes ou menaces suicidaires récurrents, ou automutilation</w:t>
      </w:r>
    </w:p>
    <w:p>
      <w:pPr>
        <w:pStyle w:val="ListParagraph"/>
        <w:numPr>
          <w:ilvl w:val="0"/>
          <w:numId w:val="1"/>
        </w:numPr>
        <w:spacing w:after="60"/>
      </w:pPr>
      <w:r>
        <w:rPr>
          <w:rFonts w:ascii="Times New Roman" w:cs="Times New Roman" w:eastAsia="Times New Roman" w:hAnsi="Times New Roman"/>
          <w:color w:val="1F2937"/>
          <w:sz w:val="22"/>
          <w:szCs w:val="22"/>
        </w:rPr>
        <w:t xml:space="preserve">6. Instabilité affective : réactivité marquée de l'humeur (dysphorie, irritabilité, anxiété) en général de quelques heures à quelques jours</w:t>
      </w:r>
    </w:p>
    <w:p>
      <w:pPr>
        <w:pStyle w:val="ListParagraph"/>
        <w:numPr>
          <w:ilvl w:val="0"/>
          <w:numId w:val="1"/>
        </w:numPr>
        <w:spacing w:after="60"/>
      </w:pPr>
      <w:r>
        <w:rPr>
          <w:rFonts w:ascii="Times New Roman" w:cs="Times New Roman" w:eastAsia="Times New Roman" w:hAnsi="Times New Roman"/>
          <w:color w:val="1F2937"/>
          <w:sz w:val="22"/>
          <w:szCs w:val="22"/>
        </w:rPr>
        <w:t xml:space="preserve">7.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8. Colères intenses et inadaptées, difficile à contrôler</w:t>
      </w:r>
    </w:p>
    <w:p>
      <w:pPr>
        <w:pStyle w:val="ListParagraph"/>
        <w:numPr>
          <w:ilvl w:val="0"/>
          <w:numId w:val="1"/>
        </w:numPr>
        <w:spacing w:after="60"/>
      </w:pPr>
      <w:r>
        <w:rPr>
          <w:rFonts w:ascii="Times New Roman" w:cs="Times New Roman" w:eastAsia="Times New Roman" w:hAnsi="Times New Roman"/>
          <w:color w:val="1F2937"/>
          <w:sz w:val="22"/>
          <w:szCs w:val="22"/>
        </w:rPr>
        <w:t xml:space="preserve">9. Survenue transitoire, en situation de stress, d'une idéation persécutoire ou de symptômes dissociatifs SÉVÈRES (le qualificatif « sévères », présent dans la source, avait été supprimé — rétabli le 06/09/2026)</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Données épidémiologiques. ⚠️ Mise au point du 06/09/2026 : les valeurs qui figuraient ici — 0,5 à 5,9 % de la population générale, 10 % des patients ambulatoires, 15 à 25 % des patients hospitalisés — ne proviennent D'AUCUNE des six sources de cette leçon. La mention « (synthèse, non citation) » disait qu'il ne s'agissait pas d'une citation, pas qu'il ne s'agissait pas d'une source. Elles sont retirées. Ce qui EST sourcé, sur le Merck Manual cité en ressources : environ 9 % de la population générale et jusqu'à la moitié des patients suivis en unité psychiatrique présentent UN trouble de la personnalité — toutes catégories confondues, et non le seul trouble borderline. Le risque suicidaire dans le TPB est par ailleurs élevé : la page de Wikipédia FR citée en ressources indique qu'au moins 75 % des personnes concernées font une tentative et que 10 % en meurent.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6. Étiologie : une compréhension bio-psycho-sociale</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biologiques : anomalies de régulation de l'amygdale et du cortex préfrontal, dysrégulation sérotoninergique, héritabilité estimée entre 46 % et 69 %</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psychosociaux : expériences traumatiques précoces, attachement insécure, environnement invalidant — le modèle biosocial de Linehan souligne l'interaction entre vulnérabilité émotionnelle biologique et environnement invalidant</w:t>
      </w:r>
    </w:p>
    <w:p>
      <w:pPr>
        <w:pStyle w:val="ListParagraph"/>
        <w:numPr>
          <w:ilvl w:val="0"/>
          <w:numId w:val="1"/>
        </w:numPr>
        <w:spacing w:after="60"/>
      </w:pPr>
      <w:r>
        <w:rPr>
          <w:rFonts w:ascii="Times New Roman" w:cs="Times New Roman" w:eastAsia="Times New Roman" w:hAnsi="Times New Roman"/>
          <w:color w:val="1F2937"/>
          <w:sz w:val="22"/>
          <w:szCs w:val="22"/>
        </w:rPr>
        <w:t xml:space="preserve">Approche psychanalytique : les travaux sur l'organisation limite de la personnalité (Kernberg) insistent sur le mécanisme de clivage comme défense centrale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7. Traitements : l'accent sur la psychothérapie</w:t>
      </w:r>
    </w:p>
    <w:p>
      <w:pPr>
        <w:spacing w:after="100"/>
      </w:pPr>
      <w:r>
        <w:rPr>
          <w:rFonts w:ascii="Times New Roman" w:cs="Times New Roman" w:eastAsia="Times New Roman" w:hAnsi="Times New Roman"/>
          <w:b w:val="false"/>
          <w:bCs w:val="false"/>
          <w:i w:val="false"/>
          <w:iCs w:val="false"/>
          <w:color w:val="1F2937"/>
          <w:sz w:val="22"/>
          <w:szCs w:val="22"/>
        </w:rPr>
        <w:t xml:space="preserve">Les médicaments n'ont pas d'indication spécifique dans le TROUBLE BORDERLINE (recommandations du NICE britannique, 2009, citées par la source Wikipédia FR) ; ils peuvent cibler des symptômes associés (anxiété, dépression). ⚠️ Corrigé le 06/09/2026 : la leçon étendait cette recommandation à L'ENSEMBLE des troubles de la personnalité, alors qu'elle porte sur le seul trouble borderline, et elle ne la datait pas. Le Merck Manual, lui, écrit que la psychothérapie est le traitement de référence des troubles de la personnalité et que les médicaments servent « parfois » sur des symptômes spécifiques ou des troubles associés.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Psychothérapies recommandées :</w:t>
      </w:r>
    </w:p>
    <w:p>
      <w:pPr>
        <w:pStyle w:val="ListParagraph"/>
        <w:numPr>
          <w:ilvl w:val="0"/>
          <w:numId w:val="1"/>
        </w:numPr>
        <w:spacing w:after="60"/>
      </w:pPr>
      <w:r>
        <w:rPr>
          <w:rFonts w:ascii="Times New Roman" w:cs="Times New Roman" w:eastAsia="Times New Roman" w:hAnsi="Times New Roman"/>
          <w:color w:val="1F2937"/>
          <w:sz w:val="22"/>
          <w:szCs w:val="22"/>
        </w:rPr>
        <w:t xml:space="preserve">TCD (Thérapie Comportementale Dialectique, Linehan) : développée spécifiquement pour le TPB ; combine psychothérapie individuelle, groupe d'entraînement aux compétences (pleine conscience, régulation émotionnelle, efficacité interpersonnelle, tolérance à la détresse) ; efficacité rapportée sur les comportements auto-dommageables et les hospitalisations. ⚠️ Réserve ajoutée le 06/09/2026 : cette affirmation d'efficacité s'appuie, dans cette leçon, sur dbt-france.com — un cabinet qui pratique et enseigne la TCD, donc juge et partie — et sur une page associative aujourd'hui hors service. Aucune revue systématique, aucune source institutionnelle française n'a été consultée. L'affirmation est courante dans la littérature, mais elle n'est pas étayée ici au rang qu'elle mérite</w:t>
      </w:r>
    </w:p>
    <w:p>
      <w:pPr>
        <w:pStyle w:val="ListParagraph"/>
        <w:numPr>
          <w:ilvl w:val="0"/>
          <w:numId w:val="1"/>
        </w:numPr>
        <w:spacing w:after="60"/>
      </w:pPr>
      <w:r>
        <w:rPr>
          <w:rFonts w:ascii="Times New Roman" w:cs="Times New Roman" w:eastAsia="Times New Roman" w:hAnsi="Times New Roman"/>
          <w:color w:val="1F2937"/>
          <w:sz w:val="22"/>
          <w:szCs w:val="22"/>
        </w:rPr>
        <w:t xml:space="preserve">MBT (Mentalization-Based Treatment, Fonagy &amp; Bateman) : travaille la capacité à se représenter ses propres états mentaux et ceux d'autrui</w:t>
      </w:r>
    </w:p>
    <w:p>
      <w:pPr>
        <w:pStyle w:val="ListParagraph"/>
        <w:numPr>
          <w:ilvl w:val="0"/>
          <w:numId w:val="1"/>
        </w:numPr>
        <w:spacing w:after="60"/>
      </w:pPr>
      <w:r>
        <w:rPr>
          <w:rFonts w:ascii="Times New Roman" w:cs="Times New Roman" w:eastAsia="Times New Roman" w:hAnsi="Times New Roman"/>
          <w:color w:val="1F2937"/>
          <w:sz w:val="22"/>
          <w:szCs w:val="22"/>
        </w:rPr>
        <w:t xml:space="preserve">TCC standard et schémathérapie (Young) : identification et modification des schémas précoces inadaptés</w:t>
      </w:r>
    </w:p>
    <w:p>
      <w:pPr>
        <w:pStyle w:val="ListParagraph"/>
        <w:numPr>
          <w:ilvl w:val="0"/>
          <w:numId w:val="1"/>
        </w:numPr>
        <w:spacing w:after="60"/>
      </w:pPr>
      <w:r>
        <w:rPr>
          <w:rFonts w:ascii="Times New Roman" w:cs="Times New Roman" w:eastAsia="Times New Roman" w:hAnsi="Times New Roman"/>
          <w:color w:val="1F2937"/>
          <w:sz w:val="22"/>
          <w:szCs w:val="22"/>
        </w:rPr>
        <w:t xml:space="preserve">Thérapie psychodynamique aménagée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Cartographie des clusters (compréhension active)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consolider la mémorisation de la structure en clusters en passant de la théorie à la représentation visuelle.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Sur une feuille, dessine trois colonnes (A / B / C). Sans regarder tes notes, place chacun des dix troubles dans la bonne colonne en notant pour chacun : son nom, son trait dominant (une phrase courte), et un exemple de comportement observable.</w:t>
      </w:r>
    </w:p>
    <w:p>
      <w:pPr>
        <w:spacing w:after="100"/>
      </w:pPr>
      <w:r>
        <w:rPr>
          <w:rFonts w:ascii="Times New Roman" w:cs="Times New Roman" w:eastAsia="Times New Roman" w:hAnsi="Times New Roman"/>
          <w:b w:val="false"/>
          <w:bCs w:val="false"/>
          <w:i w:val="false"/>
          <w:iCs w:val="false"/>
          <w:color w:val="1F2937"/>
          <w:sz w:val="22"/>
          <w:szCs w:val="22"/>
        </w:rPr>
        <w:t xml:space="preserve">Puis corrige à partir de la théorie ci-dessus.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attendu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Trait dominant</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Exemple observable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Méfiance généralisée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Interprète une remarque neutre comme une attaque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Schizoïde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affectif et social</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Préfère toujours être seul, n'exprime pas d'émotions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Pensée magique, idiosyncrasique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Croit percevoir des signes dans les événements du quotidien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Mépris des droits d'autrui</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Ment de façon répétée pour son profit sans remords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Instabilité émotionnelle, relationnelle, identitaire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Passage rapide de l'idéalisation à la dévalorisation d'une même personne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Histrionique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Quête d'attention, dramatisation</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Se sent mal à l'aise quand elle n'est pas au centre de l'attention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Grandiosité, manque d'empathie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S'attend à être reconnu comme supérieur sans mérites proportionnels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Inhibition, peur du rejet</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Refuse toute activité de groupe par peur d'être ridiculisé</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Dépendante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Besoin excessif d'être pris en charge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 besoin d'une réassurance constante pour prendre les décisions les plus banales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Perfectionnisme, rigidité, contrôle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Ne peut déléguer aucune tâche, de peur qu'elle ne soit pas faite parfaitement</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Vignette clinique : qui est Nadia ?</w:t>
      </w:r>
    </w:p>
    <w:p>
      <w:pPr>
        <w:spacing w:after="100"/>
      </w:pPr>
      <w:r>
        <w:rPr>
          <w:rFonts w:ascii="Times New Roman" w:cs="Times New Roman" w:eastAsia="Times New Roman" w:hAnsi="Times New Roman"/>
          <w:b w:val="false"/>
          <w:bCs w:val="false"/>
          <w:i w:val="false"/>
          <w:iCs w:val="false"/>
          <w:color w:val="1F2937"/>
          <w:sz w:val="22"/>
          <w:szCs w:val="22"/>
        </w:rPr>
        <w:t xml:space="preserve">Objectif : appliquer les critères DSM-5 à une situation concrète et identifier le cluster probable.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Vignette :</w:t>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Nadia, 29 ans, est accompagnée dans un SAVS depuis 8 mois. Les éducateurs décrivent des allers-retours spectaculaires : une semaine elle idéalise son référent (« le seul qui me comprend vraiment »), la semaine suivante elle l'accuse de la négliger et exige de changer de référent. Elle a appelé l'astreinte 4 fois en une semaine pour des « crises » qui s'avèrent difficiles à objectiver. Elle présente des traces de coupures sur les avant-bras qu'elle explique par une « douleur insupportable à l'intérieur ». Elle dit ne « jamais savoir qui elle est » et cherche en permanence quelqu'un pour la rassurer sur le fait qu'on ne va pas l'abandonner.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Questions :</w:t>
      </w:r>
    </w:p>
    <w:p>
      <w:pPr>
        <w:pStyle w:val="ListParagraph"/>
        <w:numPr>
          <w:ilvl w:val="0"/>
          <w:numId w:val="1"/>
        </w:numPr>
        <w:spacing w:after="60"/>
      </w:pPr>
      <w:r>
        <w:rPr>
          <w:rFonts w:ascii="Times New Roman" w:cs="Times New Roman" w:eastAsia="Times New Roman" w:hAnsi="Times New Roman"/>
          <w:color w:val="1F2937"/>
          <w:sz w:val="22"/>
          <w:szCs w:val="22"/>
        </w:rPr>
        <w:t xml:space="preserve">1. Combien de critères DSM-5 du TPB identifies-tu dans cette vignette ? Lesquels ?</w:t>
      </w:r>
    </w:p>
    <w:p>
      <w:pPr>
        <w:pStyle w:val="ListParagraph"/>
        <w:numPr>
          <w:ilvl w:val="0"/>
          <w:numId w:val="1"/>
        </w:numPr>
        <w:spacing w:after="60"/>
      </w:pPr>
      <w:r>
        <w:rPr>
          <w:rFonts w:ascii="Times New Roman" w:cs="Times New Roman" w:eastAsia="Times New Roman" w:hAnsi="Times New Roman"/>
          <w:color w:val="1F2937"/>
          <w:sz w:val="22"/>
          <w:szCs w:val="22"/>
        </w:rPr>
        <w:t xml:space="preserve">2. À quel cluster appartient ce trouble et pourquoi ?</w:t>
      </w:r>
    </w:p>
    <w:p>
      <w:pPr>
        <w:pStyle w:val="ListParagraph"/>
        <w:numPr>
          <w:ilvl w:val="0"/>
          <w:numId w:val="1"/>
        </w:numPr>
        <w:spacing w:after="60"/>
      </w:pPr>
      <w:r>
        <w:rPr>
          <w:rFonts w:ascii="Times New Roman" w:cs="Times New Roman" w:eastAsia="Times New Roman" w:hAnsi="Times New Roman"/>
          <w:color w:val="1F2937"/>
          <w:sz w:val="22"/>
          <w:szCs w:val="22"/>
        </w:rPr>
        <w:t xml:space="preserve">3. Quelle posture d'accompagnement ce profil appelle-t-il (sans diagnostic)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w:t>
      </w:r>
    </w:p>
    <w:p>
      <w:pPr>
        <w:spacing w:after="100"/>
      </w:pPr>
      <w:r>
        <w:rPr>
          <w:rFonts w:ascii="Times New Roman" w:cs="Times New Roman" w:eastAsia="Times New Roman" w:hAnsi="Times New Roman"/>
          <w:b w:val="false"/>
          <w:bCs w:val="false"/>
          <w:i w:val="false"/>
          <w:iCs w:val="false"/>
          <w:color w:val="1F2937"/>
          <w:sz w:val="22"/>
          <w:szCs w:val="22"/>
        </w:rPr>
        <w:t xml:space="preserve">1. On identifie au moins 5 critères :</w:t>
      </w:r>
    </w:p>
    <w:p>
      <w:pPr>
        <w:pStyle w:val="ListParagraph"/>
        <w:numPr>
          <w:ilvl w:val="0"/>
          <w:numId w:val="1"/>
        </w:numPr>
        <w:spacing w:after="60"/>
      </w:pPr>
      <w:r>
        <w:rPr>
          <w:rFonts w:ascii="Times New Roman" w:cs="Times New Roman" w:eastAsia="Times New Roman" w:hAnsi="Times New Roman"/>
          <w:color w:val="1F2937"/>
          <w:sz w:val="22"/>
          <w:szCs w:val="22"/>
        </w:rPr>
        <w:t xml:space="preserve">Clivage idéalisation/dévalorisation (critère 2) : le passage brutal d'une semaine à l'autre entre idéalisation et dévalorisation du référent</w:t>
      </w:r>
    </w:p>
    <w:p>
      <w:pPr>
        <w:pStyle w:val="ListParagraph"/>
        <w:numPr>
          <w:ilvl w:val="0"/>
          <w:numId w:val="1"/>
        </w:numPr>
        <w:spacing w:after="60"/>
      </w:pPr>
      <w:r>
        <w:rPr>
          <w:rFonts w:ascii="Times New Roman" w:cs="Times New Roman" w:eastAsia="Times New Roman" w:hAnsi="Times New Roman"/>
          <w:color w:val="1F2937"/>
          <w:sz w:val="22"/>
          <w:szCs w:val="22"/>
        </w:rPr>
        <w:t xml:space="preserve">Peurs d'abandon (critère 1) : la recherche permanente de réassurance sur la peur d'être abandonnée</w:t>
      </w:r>
    </w:p>
    <w:p>
      <w:pPr>
        <w:pStyle w:val="ListParagraph"/>
        <w:numPr>
          <w:ilvl w:val="0"/>
          <w:numId w:val="1"/>
        </w:numPr>
        <w:spacing w:after="60"/>
      </w:pPr>
      <w:r>
        <w:rPr>
          <w:rFonts w:ascii="Times New Roman" w:cs="Times New Roman" w:eastAsia="Times New Roman" w:hAnsi="Times New Roman"/>
          <w:color w:val="1F2937"/>
          <w:sz w:val="22"/>
          <w:szCs w:val="22"/>
        </w:rPr>
        <w:t xml:space="preserve">Automutilation (critère 5) : les traces de coupures associées à une souffrance émotionnelle aiguë</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affective avec crises répétées (critère 6)</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identitaire, sentiment de ne pas savoir qui elle est (critère 3)</w:t>
      </w:r>
    </w:p>
    <w:p>
      <w:pPr>
        <w:spacing w:after="100"/>
      </w:pPr>
      <w:r>
        <w:rPr>
          <w:rFonts w:ascii="Times New Roman" w:cs="Times New Roman" w:eastAsia="Times New Roman" w:hAnsi="Times New Roman"/>
          <w:b w:val="false"/>
          <w:bCs w:val="false"/>
          <w:i w:val="false"/>
          <w:iCs w:val="false"/>
          <w:color w:val="1F2937"/>
          <w:sz w:val="22"/>
          <w:szCs w:val="22"/>
        </w:rPr>
        <w:t xml:space="preserve">Nota : le corrigé se limite à ce qui est explicitement observable dans la vignette — on ne « complète » pas avec des inférences non fondées sur le texte.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2. Cluster B : le fil conducteur est l'instabilité émotionnelle, relationnelle et identitaire, et l'impulsivité.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3. Posture adaptée (sans poser de diagnostic) : cohérence de l'équipe et prévisibilité du cadre (lutter contre le clivage), limites claires et stables sur les contacts (ni trop ni trop peu), psychoéducation sur la régulation émotionnelle si une thérapie adaptée est en cours, orientation vers le psychiatre ou le psychologue en cas d'automutilation récurrente ou d'idées suicidaires.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Comparaison DSM-5 / CIM-11 (tableau à compléter)</w:t>
      </w:r>
    </w:p>
    <w:p>
      <w:pPr>
        <w:spacing w:after="100"/>
      </w:pPr>
      <w:r>
        <w:rPr>
          <w:rFonts w:ascii="Times New Roman" w:cs="Times New Roman" w:eastAsia="Times New Roman" w:hAnsi="Times New Roman"/>
          <w:b w:val="false"/>
          <w:bCs w:val="false"/>
          <w:i w:val="false"/>
          <w:iCs w:val="false"/>
          <w:color w:val="1F2937"/>
          <w:sz w:val="22"/>
          <w:szCs w:val="22"/>
        </w:rPr>
        <w:t xml:space="preserve">Objectif : comprendre en quoi le passage à la CIM-11 change la façon de penser les troubles de la personnalité.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Consigne : à partir de la théorie, complète le tableau suivant — d'abord de mémoire, puis corrige.</w:t>
      </w:r>
    </w:p>
    <w:p>
      <w:pPr>
        <w:spacing w:after="10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DSM-5</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CIM-11</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Approche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Catégorielle : 10 diagnostics distincts</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Dimensionnelle : un seul diagnostic + sévérité + qualificateurs de traits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Sévérité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Non évaluée de manière transversale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Axe central : légère / modérée / sévère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Comorbidité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Plusieurs diagnostics possibles simultanément (fréquent)</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Mieux intégrée : un diagnostic, plusieurs traits qualificateurs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 distincte (Cluster 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Qualificateur spécifique « borderline pattern »</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Utilité clinique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Précision diagnostique catégorielle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Meilleure continuité avec la pratique réelle ; réduit l'étiquetage</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Réflexion personnelle : le passage à la CIM-11 illustre l'évolution du champ vers une vision moins stigmatisante et plus nuancée de la personnalité pathologique. Pour toi en tant qu'accompagnant, cela rappelle que les « étiquettes » sont des outils de communication clinique, pas des identités.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Synthèse intégrative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mobiliser l'ensemble de la leçon dans un exercice de transfert exigeant.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Imagine que tu dois expliquer à un nouveau collègue éducateur spécialisé, sans jargon excessif, pourquoi la TCD (Thérapie Comportementale Dialectique) est particulièrement adaptée au TPB et comment son modèle théorique (biosocial de Linehan) s'articule avec les symptômes clés du trouble.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Rédige une explication en 10 à 15 lignes, en évitant toute citation inventée. Utilise des formulations indirectes du type : « Linehan a développé... », « la TCD repose sur l'idée que...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Éléments-clés attendus dans ta réponse :</w:t>
      </w:r>
    </w:p>
    <w:p>
      <w:pPr>
        <w:pStyle w:val="ListParagraph"/>
        <w:numPr>
          <w:ilvl w:val="0"/>
          <w:numId w:val="1"/>
        </w:numPr>
        <w:spacing w:after="60"/>
      </w:pPr>
      <w:r>
        <w:rPr>
          <w:rFonts w:ascii="Times New Roman" w:cs="Times New Roman" w:eastAsia="Times New Roman" w:hAnsi="Times New Roman"/>
          <w:color w:val="1F2937"/>
          <w:sz w:val="22"/>
          <w:szCs w:val="22"/>
        </w:rPr>
        <w:t xml:space="preserve">Le modèle biosocial : vulnérabilité émotionnelle biologique + environnement invalidant → dérégulation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La dialectique : tension entre acceptation (« tu souffres vraiment ») et changement (« tu peux apprendre à gérer différemment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Les quatre modules d'entraînement aux compétences : pleine conscience, régulation émotionnelle, efficacité interpersonnelle, tolérance à la détresse</w:t>
      </w:r>
    </w:p>
    <w:p>
      <w:pPr>
        <w:pStyle w:val="ListParagraph"/>
        <w:numPr>
          <w:ilvl w:val="0"/>
          <w:numId w:val="1"/>
        </w:numPr>
        <w:spacing w:after="60"/>
      </w:pPr>
      <w:r>
        <w:rPr>
          <w:rFonts w:ascii="Times New Roman" w:cs="Times New Roman" w:eastAsia="Times New Roman" w:hAnsi="Times New Roman"/>
          <w:color w:val="1F2937"/>
          <w:sz w:val="22"/>
          <w:szCs w:val="22"/>
        </w:rPr>
        <w:t xml:space="preserve">Le double format : thérapie individuelle + groupe de compétences</w:t>
      </w:r>
    </w:p>
    <w:p>
      <w:pPr>
        <w:pStyle w:val="ListParagraph"/>
        <w:numPr>
          <w:ilvl w:val="0"/>
          <w:numId w:val="1"/>
        </w:numPr>
        <w:spacing w:after="60"/>
      </w:pPr>
      <w:r>
        <w:rPr>
          <w:rFonts w:ascii="Times New Roman" w:cs="Times New Roman" w:eastAsia="Times New Roman" w:hAnsi="Times New Roman"/>
          <w:color w:val="1F2937"/>
          <w:sz w:val="22"/>
          <w:szCs w:val="22"/>
        </w:rPr>
        <w:t xml:space="preserve">L'adéquation au TPB : réduction des comportements auto-dommageables, de l'impulsivité, des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La posture non stigmatisante : la dérégulation émotionnelle est comprise, non jugée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professionnel (optionnel)</w:t>
      </w:r>
    </w:p>
    <w:p>
      <w:pPr>
        <w:spacing w:after="100"/>
      </w:pPr>
      <w:r>
        <w:rPr>
          <w:rFonts w:ascii="Times New Roman" w:cs="Times New Roman" w:eastAsia="Times New Roman" w:hAnsi="Times New Roman"/>
          <w:b w:val="false"/>
          <w:bCs w:val="false"/>
          <w:i w:val="false"/>
          <w:iCs w:val="false"/>
          <w:color w:val="1F2937"/>
          <w:sz w:val="22"/>
          <w:szCs w:val="22"/>
        </w:rPr>
        <w:t xml:space="preserve">En tant que chef de service en foyer d'hébergement pour adultes avec handicap mental et psychique, tu peux rencontrer des personnes présentant des traits de personnalité marqués — parfois un TPB avéré, parfois des traits du cluster A ou C intégrés dans le tableau clinique général.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 que tu peux faire concrètement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Observer et décrire (sans diagnostiquer) les patterns relationnels stables : « lors des changements d'équipe, X présente systématiquement des comportements d'alerte — refus de se lever, appels répétés »</w:t>
      </w:r>
    </w:p>
    <w:p>
      <w:pPr>
        <w:pStyle w:val="ListParagraph"/>
        <w:numPr>
          <w:ilvl w:val="0"/>
          <w:numId w:val="1"/>
        </w:numPr>
        <w:spacing w:after="60"/>
      </w:pPr>
      <w:r>
        <w:rPr>
          <w:rFonts w:ascii="Times New Roman" w:cs="Times New Roman" w:eastAsia="Times New Roman" w:hAnsi="Times New Roman"/>
          <w:color w:val="1F2937"/>
          <w:sz w:val="22"/>
          <w:szCs w:val="22"/>
        </w:rPr>
        <w:t xml:space="preserve">Travailler la cohérence d'équipe : le clivage est une souffrance réelle de la personne, pas une manipulation consciente — le prévenir par des transmissions rigoureuses et des positions communes</w:t>
      </w:r>
    </w:p>
    <w:p>
      <w:pPr>
        <w:pStyle w:val="ListParagraph"/>
        <w:numPr>
          <w:ilvl w:val="0"/>
          <w:numId w:val="1"/>
        </w:numPr>
        <w:spacing w:after="60"/>
      </w:pPr>
      <w:r>
        <w:rPr>
          <w:rFonts w:ascii="Times New Roman" w:cs="Times New Roman" w:eastAsia="Times New Roman" w:hAnsi="Times New Roman"/>
          <w:color w:val="1F2937"/>
          <w:sz w:val="22"/>
          <w:szCs w:val="22"/>
        </w:rPr>
        <w:t xml:space="preserve">Anticiper les périodes de transitions (déménagement, changement de référent, fin de contrat) comme moments de risque accru</w:t>
      </w:r>
    </w:p>
    <w:p>
      <w:pPr>
        <w:pStyle w:val="ListParagraph"/>
        <w:numPr>
          <w:ilvl w:val="0"/>
          <w:numId w:val="1"/>
        </w:numPr>
        <w:spacing w:after="60"/>
      </w:pPr>
      <w:r>
        <w:rPr>
          <w:rFonts w:ascii="Times New Roman" w:cs="Times New Roman" w:eastAsia="Times New Roman" w:hAnsi="Times New Roman"/>
          <w:color w:val="1F2937"/>
          <w:sz w:val="22"/>
          <w:szCs w:val="22"/>
        </w:rPr>
        <w:t xml:space="preserve">Orienter vers les équipes soignantes (psy, psychiatre) dès que les comportements auto-dommageables ou les crises aiguës dépassent le cadre éducatif</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 pour approfondir</w:t>
      </w:r>
    </w:p>
    <w:p>
      <w:pPr>
        <w:spacing w:after="100"/>
      </w:pPr>
      <w:r>
        <w:rPr>
          <w:rFonts w:ascii="Times New Roman" w:cs="Times New Roman" w:eastAsia="Times New Roman" w:hAnsi="Times New Roman"/>
          <w:b/>
          <w:bCs/>
          <w:i w:val="false"/>
          <w:iCs w:val="false"/>
          <w:color w:val="1F2937"/>
          <w:sz w:val="22"/>
          <w:szCs w:val="22"/>
        </w:rPr>
        <w:t xml:space="preserve">Sources consultées et vérifiées pour cette leçon :</w:t>
      </w:r>
    </w:p>
    <w:p>
      <w:pPr>
        <w:spacing w:after="80"/>
      </w:pPr>
      <w:r>
        <w:rPr>
          <w:rFonts w:ascii="Times New Roman" w:cs="Times New Roman" w:eastAsia="Times New Roman" w:hAnsi="Times New Roman"/>
          <w:b/>
          <w:bCs/>
          <w:color w:val="1F2937"/>
          <w:sz w:val="22"/>
          <w:szCs w:val="22"/>
        </w:rPr>
        <w:t xml:space="preserve">1. </w:t>
      </w:r>
      <w:hyperlink w:history="1" r:id="rIdoaekiz7hn5vc8gjejfssj">
        <w:r>
          <w:rPr>
            <w:rFonts w:ascii="Times New Roman" w:cs="Times New Roman" w:eastAsia="Times New Roman" w:hAnsi="Times New Roman"/>
            <w:color w:val="1155CC"/>
            <w:sz w:val="22"/>
            <w:szCs w:val="22"/>
            <w:u w:val="single"/>
          </w:rPr>
          <w:t xml:space="preserve">Personality disorder — Wikipedia (EN)</w:t>
        </w:r>
      </w:hyperlink>
      <w:r>
        <w:rPr>
          <w:rFonts w:ascii="Times New Roman" w:cs="Times New Roman" w:eastAsia="Times New Roman" w:hAnsi="Times New Roman"/>
          <w:color w:val="1F2937"/>
          <w:sz w:val="20"/>
          <w:szCs w:val="20"/>
        </w:rPr>
        <w:t xml:space="preserve"> — définition, clusters DSM-5, CIM-11, traitements</w:t>
      </w:r>
    </w:p>
    <w:p>
      <w:pPr>
        <w:spacing w:after="80"/>
      </w:pPr>
      <w:r>
        <w:rPr>
          <w:rFonts w:ascii="Times New Roman" w:cs="Times New Roman" w:eastAsia="Times New Roman" w:hAnsi="Times New Roman"/>
          <w:b/>
          <w:bCs/>
          <w:color w:val="1F2937"/>
          <w:sz w:val="22"/>
          <w:szCs w:val="22"/>
        </w:rPr>
        <w:t xml:space="preserve">2. </w:t>
      </w:r>
      <w:hyperlink w:history="1" r:id="rIdoijnhd8wdpi9b4gacohny">
        <w:r>
          <w:rPr>
            <w:rFonts w:ascii="Times New Roman" w:cs="Times New Roman" w:eastAsia="Times New Roman" w:hAnsi="Times New Roman"/>
            <w:color w:val="1155CC"/>
            <w:sz w:val="22"/>
            <w:szCs w:val="22"/>
            <w:u w:val="single"/>
          </w:rPr>
          <w:t xml:space="preserve">Trouble de la personnalité borderline — Wikipédia (FR)</w:t>
        </w:r>
      </w:hyperlink>
      <w:r>
        <w:rPr>
          <w:rFonts w:ascii="Times New Roman" w:cs="Times New Roman" w:eastAsia="Times New Roman" w:hAnsi="Times New Roman"/>
          <w:color w:val="1F2937"/>
          <w:sz w:val="20"/>
          <w:szCs w:val="20"/>
        </w:rPr>
        <w:t xml:space="preserve"> — critères DSM-5, étiologie, traitements, épidémiologie</w:t>
      </w:r>
    </w:p>
    <w:p>
      <w:pPr>
        <w:spacing w:after="80"/>
      </w:pPr>
      <w:r>
        <w:rPr>
          <w:rFonts w:ascii="Times New Roman" w:cs="Times New Roman" w:eastAsia="Times New Roman" w:hAnsi="Times New Roman"/>
          <w:b/>
          <w:bCs/>
          <w:color w:val="1F2937"/>
          <w:sz w:val="22"/>
          <w:szCs w:val="22"/>
        </w:rPr>
        <w:t xml:space="preserve">3. </w:t>
      </w:r>
      <w:hyperlink w:history="1" r:id="rIdvyy_sah40f1w3o6hh_2nc">
        <w:r>
          <w:rPr>
            <w:rFonts w:ascii="Times New Roman" w:cs="Times New Roman" w:eastAsia="Times New Roman" w:hAnsi="Times New Roman"/>
            <w:color w:val="1155CC"/>
            <w:sz w:val="22"/>
            <w:szCs w:val="22"/>
            <w:u w:val="single"/>
          </w:rPr>
          <w:t xml:space="preserve">Thérapie comportementale dialectique — Wikipédia (FR)</w:t>
        </w:r>
      </w:hyperlink>
      <w:r>
        <w:rPr>
          <w:rFonts w:ascii="Times New Roman" w:cs="Times New Roman" w:eastAsia="Times New Roman" w:hAnsi="Times New Roman"/>
          <w:color w:val="1F2937"/>
          <w:sz w:val="20"/>
          <w:szCs w:val="20"/>
        </w:rPr>
        <w:t xml:space="preserve"> — Linehan, modules TCD, efficacité clinique</w:t>
      </w:r>
    </w:p>
    <w:p>
      <w:pPr>
        <w:spacing w:after="80"/>
      </w:pPr>
      <w:r>
        <w:rPr>
          <w:rFonts w:ascii="Times New Roman" w:cs="Times New Roman" w:eastAsia="Times New Roman" w:hAnsi="Times New Roman"/>
          <w:b/>
          <w:bCs/>
          <w:color w:val="1F2937"/>
          <w:sz w:val="22"/>
          <w:szCs w:val="22"/>
        </w:rPr>
        <w:t xml:space="preserve">4. </w:t>
      </w:r>
      <w:hyperlink w:history="1" r:id="rIdzur6ruvs2lsxcokz2cwwz">
        <w:r>
          <w:rPr>
            <w:rFonts w:ascii="Times New Roman" w:cs="Times New Roman" w:eastAsia="Times New Roman" w:hAnsi="Times New Roman"/>
            <w:color w:val="1155CC"/>
            <w:sz w:val="22"/>
            <w:szCs w:val="22"/>
            <w:u w:val="single"/>
          </w:rPr>
          <w:t xml:space="preserve">Overview of Personality Disorders — Merck Manual Professional</w:t>
        </w:r>
      </w:hyperlink>
      <w:r>
        <w:rPr>
          <w:rFonts w:ascii="Times New Roman" w:cs="Times New Roman" w:eastAsia="Times New Roman" w:hAnsi="Times New Roman"/>
          <w:color w:val="1F2937"/>
          <w:sz w:val="20"/>
          <w:szCs w:val="20"/>
        </w:rPr>
        <w:t xml:space="preserve"> — référence clinique (EN) : critères, prévalence (9 % pop. générale, 50 % inpatients), traitement</w:t>
      </w:r>
    </w:p>
    <w:p>
      <w:pPr>
        <w:spacing w:after="80"/>
      </w:pPr>
      <w:r>
        <w:rPr>
          <w:rFonts w:ascii="Times New Roman" w:cs="Times New Roman" w:eastAsia="Times New Roman" w:hAnsi="Times New Roman"/>
          <w:b/>
          <w:bCs/>
          <w:color w:val="1F2937"/>
          <w:sz w:val="22"/>
          <w:szCs w:val="22"/>
        </w:rPr>
        <w:t xml:space="preserve">5. </w:t>
      </w:r>
      <w:hyperlink w:history="1" r:id="rIduvho8sa6fc0jsddt4savu">
        <w:r>
          <w:rPr>
            <w:rFonts w:ascii="Times New Roman" w:cs="Times New Roman" w:eastAsia="Times New Roman" w:hAnsi="Times New Roman"/>
            <w:color w:val="1155CC"/>
            <w:sz w:val="22"/>
            <w:szCs w:val="22"/>
            <w:u w:val="single"/>
          </w:rPr>
          <w:t xml:space="preserve">DBT France — thérapie des troubles de la personnalité borderline</w:t>
        </w:r>
      </w:hyperlink>
      <w:r>
        <w:rPr>
          <w:rFonts w:ascii="Times New Roman" w:cs="Times New Roman" w:eastAsia="Times New Roman" w:hAnsi="Times New Roman"/>
          <w:color w:val="1F2937"/>
          <w:sz w:val="20"/>
          <w:szCs w:val="20"/>
        </w:rPr>
        <w:t xml:space="preserve"> — ressource francophone de référence sur la TCD</w:t>
      </w:r>
    </w:p>
    <w:p>
      <w:pPr>
        <w:spacing w:after="80"/>
      </w:pPr>
      <w:r>
        <w:rPr>
          <w:rFonts w:ascii="Times New Roman" w:cs="Times New Roman" w:eastAsia="Times New Roman" w:hAnsi="Times New Roman"/>
          <w:b/>
          <w:bCs/>
          <w:color w:val="1F2937"/>
          <w:sz w:val="22"/>
          <w:szCs w:val="22"/>
        </w:rPr>
        <w:t xml:space="preserve">6. </w:t>
      </w:r>
      <w:r>
        <w:rPr>
          <w:rFonts w:ascii="Times New Roman" w:cs="Times New Roman" w:eastAsia="Times New Roman" w:hAnsi="Times New Roman"/>
          <w:color w:val="1F2937"/>
          <w:sz w:val="22"/>
          <w:szCs w:val="22"/>
        </w:rPr>
        <w:t xml:space="preserve">AAPEL — Trouble borderline et TCD ⚠️ PAGE MORTE (aapel.org/bdp/BLDBTresumeFR.html , lien retiré)</w:t>
      </w:r>
      <w:r>
        <w:rPr>
          <w:rFonts w:ascii="Times New Roman" w:cs="Times New Roman" w:eastAsia="Times New Roman" w:hAnsi="Times New Roman"/>
          <w:color w:val="1F2937"/>
          <w:sz w:val="20"/>
          <w:szCs w:val="20"/>
        </w:rPr>
        <w:t xml:space="preserve"> — ⚠️ VÉRIFIÉE LE 06/09/2026 : cette adresse répond toujours HTTP 200, mais son contenu intégral est désormais « Account Suspended. This Account has been suspended. » La ressource n'existe plus. Elle est conservée ici, barrée, parce qu'elle illustre ce qu'un code 200 ne prouve pas — et parce qu'elle comptait, avec dbt-france.com, parmi les appuis de l'affirmation d'efficacité de la TCD.</w:t>
      </w:r>
      <w:r>
        <w:rPr>
          <w:rFonts w:ascii="Times New Roman" w:cs="Times New Roman" w:eastAsia="Times New Roman" w:hAnsi="Times New Roman"/>
          <w:i/>
          <w:iCs/>
          <w:color w:val="6B7280"/>
          <w:sz w:val="20"/>
          <w:szCs w:val="20"/>
        </w:rPr>
        <w:t xml:space="preserve">   [Corrigé le 25/10/2026 : hyperlien RETIRÉ, adresse conservée en clair. Ce paragraphe déclarait la page morte depuis le 06/09/2026 mais son lien restait CLIQUABLE : le lecteur était envoyé sur la page qu'on lui annonçait vide. Et l'état a empiré — depuis le 17/10/2026 le certificat de aapel.org est EXPIRÉ (Let's Encrypt, NotAfter 17/10/2026 13:37:55 GMT, curl exit 60), donc l'adresse n'est même plus joignable en https ; en http elle rend toujours 200 avec « Account Suspended », 7 612 octets mesurés le 25/10/2026. Détail au journal.]</w:t>
      </w:r>
    </w:p>
    <w:p>
      <w:pPr>
        <w:spacing w:after="80"/>
      </w:pPr>
      <w:r>
        <w:rPr>
          <w:rFonts w:ascii="Times New Roman" w:cs="Times New Roman" w:eastAsia="Times New Roman" w:hAnsi="Times New Roman"/>
          <w:b/>
          <w:bCs/>
          <w:color w:val="1F2937"/>
          <w:sz w:val="22"/>
          <w:szCs w:val="22"/>
        </w:rPr>
        <w:t xml:space="preserve">7. </w:t>
      </w:r>
      <w:hyperlink w:history="1" r:id="rIddsmapa20260911">
        <w:r>
          <w:rPr>
            <w:rFonts w:ascii="Times New Roman" w:cs="Times New Roman" w:eastAsia="Times New Roman" w:hAnsi="Times New Roman"/>
            <w:color w:val="1155CC"/>
            <w:sz w:val="22"/>
            <w:szCs w:val="22"/>
            <w:u w:val="single"/>
          </w:rPr>
          <w:t xml:space="preserve">DSM-5-TR (American Psychiatric Association) — page officielle du manuel</w:t>
        </w:r>
      </w:hyperlink>
      <w:r>
        <w:rPr>
          <w:rFonts w:ascii="Times New Roman" w:cs="Times New Roman" w:eastAsia="Times New Roman" w:hAnsi="Times New Roman"/>
          <w:color w:val="1F2937"/>
          <w:sz w:val="22"/>
          <w:szCs w:val="22"/>
        </w:rPr>
        <w:t xml:space="preserve"> — l'éditeur du DSM, qui décrit le manuel, ses révisions et la différence entre DSM-5 et DSM-5-TR. Vérifiée le 11/09/2026 : HTTP 200, 21 859 caractères utiles, « DSM-5-TR » y figure 19 fois. AJOUTÉE LE 11/09/2026 : cette classification était nommée dans le corps de la leçon sans aucune adresse.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n°09</w:t>
      </w:r>
    </w:p>
    <w:p>
      <w:pPr>
        <w:spacing w:after="100"/>
      </w:pPr>
      <w:r>
        <w:rPr>
          <w:rFonts w:ascii="Times New Roman" w:cs="Times New Roman" w:eastAsia="Times New Roman" w:hAnsi="Times New Roman"/>
          <w:b/>
          <w:bCs/>
          <w:i w:val="false"/>
          <w:iCs w:val="false"/>
          <w:color w:val="1F2937"/>
          <w:sz w:val="22"/>
          <w:szCs w:val="22"/>
        </w:rPr>
        <w:t xml:space="preserve">Thème : Les troubles du neurodéveloppement : TSA, TDAH, trouble du développement intellectuel (TDI)</w:t>
      </w:r>
    </w:p>
    <w:p>
      <w:pPr>
        <w:spacing w:after="100"/>
      </w:pPr>
      <w:r>
        <w:rPr>
          <w:rFonts w:ascii="Times New Roman" w:cs="Times New Roman" w:eastAsia="Times New Roman" w:hAnsi="Times New Roman"/>
          <w:b w:val="false"/>
          <w:bCs w:val="false"/>
          <w:i w:val="false"/>
          <w:iCs w:val="false"/>
          <w:color w:val="1F2937"/>
          <w:sz w:val="22"/>
          <w:szCs w:val="22"/>
        </w:rPr>
        <w:t xml:space="preserve">On passera des patterns de personnalité pathologiques aux troubles qui s'inscrivent dans le développement neurologique de la personne — un registre différent, particulièrement central dans le champ du handicap mental et du médico-social.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bottom w:val="single" w:color="CCCCCC" w:sz="2"/>
        </w:pBdr>
        <w:spacing w:after="160" w:before="160"/>
      </w:pPr>
    </w:p>
    <w:p>
      <w:pPr>
        <w:spacing w:after="100"/>
      </w:pPr>
      <w:r>
        <w:rPr>
          <w:rFonts w:ascii="Times New Roman" w:cs="Times New Roman" w:eastAsia="Times New Roman" w:hAnsi="Times New Roman"/>
          <w:b w:val="false"/>
          <w:bCs w:val="false"/>
          <w:i/>
          <w:iCs/>
          <w:color w:val="888888"/>
          <w:sz w:val="22"/>
          <w:szCs w:val="22"/>
        </w:rPr>
        <w:t xml:space="preserve">Document produit le 4 août 2026 — Parcours Psychopathologie clinique — Leçon 08/20</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4 août 2026, relue le 06/09/2026 : les six URL répondent 200 — mais l’une d’elles est une page supprimée. Huit corrections. Les formulations d’origine sont conservées ci-dessous.</w:t>
      </w:r>
    </w:p>
    <w:p>
      <w:pPr>
        <w:spacing w:after="80"/>
      </w:pPr>
      <w:r>
        <w:rPr>
          <w:rFonts w:ascii="Times New Roman" w:cs="Times New Roman" w:eastAsia="Times New Roman" w:hAnsi="Times New Roman"/>
          <w:color w:val="1F2937"/>
          <w:sz w:val="22"/>
          <w:szCs w:val="22"/>
        </w:rPr>
        <w:t xml:space="preserve">① Le critère 3 du trouble borderline dupliquait le critère 7 — c’est la correction la plus importante. Version d’origine : « 3. Perturbation de l’identité : image de soi instable, SENTIMENT CHRONIQUE DE VIDE ». La source écrit : « perturbation de l’identité : instabilité marquée et persistante de l’image ou de la notion de soi ». Le sentiment chronique de vide est le critère 7, et lui seul. Dans une liste dont le seuil est « au moins 5 sur 9 », un même signe pouvait être compté deux fois et faire franchir ce seuil à tort — sur un diagnostic qui engage le regard porté sur une personne. À relever : le corrigé de l’exercice 2 de cette même leçon employait la BONNE version du critère 3, sans le vide et sans double comptage. La leçon portait sa propre correction.</w:t>
      </w:r>
    </w:p>
    <w:p>
      <w:pPr>
        <w:spacing w:after="80"/>
      </w:pPr>
      <w:r>
        <w:rPr>
          <w:rFonts w:ascii="Times New Roman" w:cs="Times New Roman" w:eastAsia="Times New Roman" w:hAnsi="Times New Roman"/>
          <w:color w:val="1F2937"/>
          <w:sz w:val="22"/>
          <w:szCs w:val="22"/>
        </w:rPr>
        <w:t xml:space="preserve">② Le modèle de la CIM-11 : le borderline n’est pas un trait. Version d’origine : « Qualificateurs de traits : négativisme affectif, détachement, dissocialité, désinhibition, anankastie (ancêtre du cluster C OCD), borderline » — six items alignés. La source écrit : cinq traits, puis « In addition to the traits, a Borderline pattern […] may be specified ». C’est un spécificateur distinct, qui s’ajoute aux traits. Là encore, le tableau de l’exercice 3 de cette leçon l’écrivait correctement. Corrigé aussi : l’anankastie était dite « ancêtre du cluster C OCD » alors que la CIM-11 est postérieure au DSM-5. Ajouté enfin, car la leçon l’omettait dans une section intitulée « la révolution CIM-11 » : la CIM-11 sort le trouble schizotypique des troubles de la personnalité.</w:t>
      </w:r>
    </w:p>
    <w:p>
      <w:pPr>
        <w:spacing w:after="80"/>
      </w:pPr>
      <w:r>
        <w:rPr>
          <w:rFonts w:ascii="Times New Roman" w:cs="Times New Roman" w:eastAsia="Times New Roman" w:hAnsi="Times New Roman"/>
          <w:color w:val="1F2937"/>
          <w:sz w:val="22"/>
          <w:szCs w:val="22"/>
        </w:rPr>
        <w:t xml:space="preserve">③ Un qualificatif supprimé au critère 9. La source écrit « symptômes dissociatifs SÉVÈRES » ; la leçon avait retiré l’adjectif. Un adjectif retiré est un critère modifié.</w:t>
      </w:r>
    </w:p>
    <w:p>
      <w:pPr>
        <w:spacing w:after="80"/>
      </w:pPr>
      <w:r>
        <w:rPr>
          <w:rFonts w:ascii="Times New Roman" w:cs="Times New Roman" w:eastAsia="Times New Roman" w:hAnsi="Times New Roman"/>
          <w:color w:val="1F2937"/>
          <w:sz w:val="22"/>
          <w:szCs w:val="22"/>
        </w:rPr>
        <w:t xml:space="preserve">④ Une recommandation élargie au-delà de son objet. Version d’origine : « Les médicaments n’ont pas d’indication spécifique pour LES TROUBLES DE LA PERSONNALITÉ (recommandation NICE) ». Les recommandations du NICE citées par la source portent sur le seul trouble borderline, et datent de 2009 — la leçon ne les datait pas. C’est le même geste que dans deux autres leçons du parcours : un énoncé exact rattaché à un ensemble plus large que celui qu’il concerne.</w:t>
      </w:r>
    </w:p>
    <w:p>
      <w:pPr>
        <w:spacing w:after="80"/>
      </w:pPr>
      <w:r>
        <w:rPr>
          <w:rFonts w:ascii="Times New Roman" w:cs="Times New Roman" w:eastAsia="Times New Roman" w:hAnsi="Times New Roman"/>
          <w:color w:val="1F2937"/>
          <w:sz w:val="22"/>
          <w:szCs w:val="22"/>
        </w:rPr>
        <w:t xml:space="preserve">⑤ Une épidémiologie qui ne venait d’aucune source citée. Version d’origine : « le TPB touche entre 0,5 % et 5,9 % de la population générale, 10 % des patients ambulatoires, et jusqu’à 15-25 % des patients hospitalisés en psychiatrie », précédée de la mention « (synthèse, non citation) ». Cette mention dit qu’il ne s’agit pas d’une citation ; elle ne dit pas qu’il ne s’agit pas d’une source. Aucune des six ressources ne porte ces valeurs. Elles sont retirées et remplacées par ce qui EST sourcé : les 9 % et la moitié des patients hospitalisés du Merck Manual, qui portent sur l’ensemble des troubles de la personnalité et non sur le seul borderline.</w:t>
      </w:r>
    </w:p>
    <w:p>
      <w:pPr>
        <w:spacing w:after="80"/>
      </w:pPr>
      <w:r>
        <w:rPr>
          <w:rFonts w:ascii="Times New Roman" w:cs="Times New Roman" w:eastAsia="Times New Roman" w:hAnsi="Times New Roman"/>
          <w:color w:val="1F2937"/>
          <w:sz w:val="22"/>
          <w:szCs w:val="22"/>
        </w:rPr>
        <w:t xml:space="preserve">⑥ Une ressource « consultée et vérifiée » qui n’existe plus. L’adresse aapel.org/bdp/BLDBTresumeFR.html répond HTTP 200, et son contenu intégral est : « Account Suspended. This Account has been suspended. » 123 octets. Elle figurait sous l’intitulé « Sources consultées et vérifiées pour cette leçon ». C’est le cas d’école du code 200 qui ne prouve rien — plus net encore que les pages rendues en JavaScript rencontrées le même jour sur has-sante.fr et icd.who.int, puisque celle-ci est supprimée et non masquée.</w:t>
      </w:r>
    </w:p>
    <w:p>
      <w:pPr>
        <w:spacing w:after="80"/>
      </w:pPr>
      <w:r>
        <w:rPr>
          <w:rFonts w:ascii="Times New Roman" w:cs="Times New Roman" w:eastAsia="Times New Roman" w:hAnsi="Times New Roman"/>
          <w:color w:val="1F2937"/>
          <w:sz w:val="22"/>
          <w:szCs w:val="22"/>
        </w:rPr>
        <w:t xml:space="preserve">⑦ Le rang des sources sur l’affirmation la plus engageante. L’efficacité de la TCD sur les comportements auto-dommageables et les hospitalisations s’appuie ici sur dbt-france.com — cabinet qui pratique et enseigne la TCD, donc juge et partie sur l’efficacité de sa propre méthode — et sur la page associative désormais hors service. Aucune revue systématique, aucune source institutionnelle française. L’affirmation est courante dans la littérature ; elle n’est pas étayée ici au rang qu’elle mérite. Une réserve a été ajoutée à l’endroit où elle est faite.</w:t>
      </w:r>
    </w:p>
    <w:p>
      <w:pPr>
        <w:spacing w:after="80"/>
      </w:pPr>
      <w:r>
        <w:rPr>
          <w:rFonts w:ascii="Times New Roman" w:cs="Times New Roman" w:eastAsia="Times New Roman" w:hAnsi="Times New Roman"/>
          <w:color w:val="1F2937"/>
          <w:sz w:val="22"/>
          <w:szCs w:val="22"/>
        </w:rPr>
        <w:t xml:space="preserve">⑧ L’attribution des neuf critères au DSM-5 n’est pas étayée par la source, qui les présente « Selon le DSM-IV » et dont la section porte un bandeau « à actualiser (juin 2022) ». Le contenu est de fait quasi inchangé entre les deux éditions pour ce trouble, mais l’attribution reste à vérifier dans le DSM-5-TR.</w:t>
      </w:r>
    </w:p>
    <w:p>
      <w:pPr>
        <w:spacing w:after="80"/>
      </w:pPr>
      <w:r>
        <w:rPr>
          <w:rFonts w:ascii="Times New Roman" w:cs="Times New Roman" w:eastAsia="Times New Roman" w:hAnsi="Times New Roman"/>
          <w:color w:val="1F2937"/>
          <w:sz w:val="22"/>
          <w:szCs w:val="22"/>
        </w:rPr>
        <w:t xml:space="preserve">Vérifié lors de la relecture et inchangé : les dix troubles et leurs clusters ; les quatre domaines du DSM-5-TR (cognition, affectivité, fonctionnement interpersonnel, contrôle des impulsions) ; les cinq critères généraux ; l’héritabilité de 46 à 69 %, exacte ; le modèle biosocial de Linehan et l’organisation limite de Kernberg, attribués correctement ; les quatre modules de la TCD ; le tableau comparatif DSM-5 / CIM-11 de l’exercice 3 ; et l’annonce de la leçon suivante, qui a bien porté sur les troubles du neurodéveloppement. Le corrigé de l’exercice 2 mérite d’être signalé : il porte un « Nota » précisant qu’il se limite à ce qui est explicitement observable dans la vignette et ne complète pas par des inférences — c’est la discipline exacte que ce parcours demande. Le pont professionnel n’a pas été touché : il n’invoque aucune autorité, et il contient la phrase la plus juste de la leçon — le clivage est une souffrance réelle de la personne, pas une manipulation consciente.</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11 septembre 2026</w:t>
      </w:r>
    </w:p>
    <w:p>
      <w:pPr>
        <w:spacing w:after="80"/>
      </w:pPr>
      <w:r>
        <w:rPr>
          <w:rFonts w:ascii="Times New Roman" w:cs="Times New Roman" w:eastAsia="Times New Roman" w:hAnsi="Times New Roman"/>
          <w:b/>
          <w:bCs/>
          <w:color w:val="1F2937"/>
          <w:sz w:val="22"/>
          <w:szCs w:val="22"/>
        </w:rPr>
        <w:t xml:space="preserve">Relue le 11/09/2026 par le test d'attribution des pages, passé sur les 135 leçons du dépôt. UNE correction.</w:t>
      </w:r>
    </w:p>
    <w:p>
      <w:pPr>
        <w:spacing w:after="80"/>
      </w:pPr>
      <w:r>
        <w:rPr>
          <w:rFonts w:ascii="Times New Roman" w:cs="Times New Roman" w:eastAsia="Times New Roman" w:hAnsi="Times New Roman"/>
          <w:color w:val="1F2937"/>
          <w:sz w:val="22"/>
          <w:szCs w:val="22"/>
        </w:rPr>
        <w:t xml:space="preserve">① Une nosographie était nommée sans adresse. Cette leçon invoque DSM-5 / DSM-5-TR dans son corps sans qu'aucune adresse ne figure dans ses ressources. Ce sont pourtant les instruments qui fondent ses catégories : un lecteur voulant savoir laquelle des deux classifications dit quoi — et elles divergent, notamment sur les troubles de la personnalité — devait la chercher lui-même. Le défaut est répandu dans le parcours : HUIT leçons sur quinze nommaient au moins une nosographie sans adresse — DSM-5-TR dans cinq, CIM-11 dans trois, CIM-10 dans deux, DSM-5 dans deux.</w:t>
      </w:r>
    </w:p>
    <w:p>
      <w:pPr>
        <w:spacing w:after="80"/>
      </w:pPr>
      <w:r>
        <w:rPr>
          <w:rFonts w:ascii="Times New Roman" w:cs="Times New Roman" w:eastAsia="Times New Roman" w:hAnsi="Times New Roman"/>
          <w:color w:val="1F2937"/>
          <w:sz w:val="22"/>
          <w:szCs w:val="22"/>
        </w:rPr>
        <w:t xml:space="preserve">À ne pas confondre avec les quatre leçons — 02, 05, 09 et 11 — qui nommaient déjà leur classification dans le LIBELLÉ d'une ressource, à côté du lien : celles-là n'avaient aucun défaut et n'ont pas été touchées. Une première version de ce contrôle les avait signalées à tort, parce qu'elle ne cherchait le nom de la nosographie que dans l'URL — or ni icd.who.int/fr ni l'adresse de l'APA ne contiennent la chaîne cherchée. Le contrôle regarde désormais tout le texte de la section Ressources.</w:t>
      </w:r>
    </w:p>
    <w:p>
      <w:pPr>
        <w:spacing w:after="80"/>
      </w:pPr>
      <w:r>
        <w:rPr>
          <w:rFonts w:ascii="Times New Roman" w:cs="Times New Roman" w:eastAsia="Times New Roman" w:hAnsi="Times New Roman"/>
          <w:color w:val="1F2937"/>
          <w:sz w:val="22"/>
          <w:szCs w:val="22"/>
        </w:rPr>
        <w:t xml:space="preserve">Ce qui a été fait. Les adresses officielles sont ajoutées, testées le 11/09/2026 : icd.who.int/fr pour la CIM-11, icd.who.int/browse10/2019/en pour la CIM-10 (3 612 caractères utiles), psychiatry.org/psychiatrists/practice/dsm pour le DSM (21 859 caractères, où « DSM-5-TR » figure dix-neuf fois). Une réserve écrite plutôt que tue : le navigateur de la CIM-11 est une application rendue côté client, qui ne sert que 808 caractères au téléchargement direct — elle donne accès à la classification, elle ne se cite pas comme une page de contenu.</w:t>
      </w:r>
    </w:p>
    <w:p>
      <w:pPr>
        <w:spacing w:after="80"/>
      </w:pPr>
      <w:r>
        <w:rPr>
          <w:rFonts w:ascii="Times New Roman" w:cs="Times New Roman" w:eastAsia="Times New Roman" w:hAnsi="Times New Roman"/>
          <w:color w:val="1F2937"/>
          <w:sz w:val="22"/>
          <w:szCs w:val="22"/>
        </w:rPr>
        <w:t xml:space="preserve">Ce que cette relecture apprend, et qui n’était apparu dans aucune des quatre précédentes : LA LEÇON CONTENAIT DEUX FOIS SA PROPRE CORRECTION. Le bon critère 3 figurait dans le corrigé de son exercice 2 ; le bon statut du borderline dans le tableau de son exercice 3. Les deux défauts les plus lourds ne demandaient aucune source pour être vus — seulement de relire la théorie à la lumière des exercices qui la suivent.</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Hyperlien retiré sur la ressource n°6, adresse conservée en clair. Le paragraphe disait juste depuis le 06/09/2026 — « PAGE MORTE », contenu réduit à « Account Suspended » — mais son lien restait cliquable : le lecteur cliquait sur une ligne qui lui annonçait une page vide et y atterrissait. **Détecter un lien mort et le dire n'est pas le retirer** : c'est le défaut relevé sur quatre documents du dépôt le 25/10/2026, et celui-ci en faisait partie.</w:t>
      </w:r>
    </w:p>
    <w:p>
      <w:pPr>
        <w:spacing w:after="80"/>
      </w:pPr>
      <w:r>
        <w:rPr>
          <w:rFonts w:ascii="Times New Roman" w:cs="Times New Roman" w:eastAsia="Times New Roman" w:hAnsi="Times New Roman"/>
          <w:color w:val="1F2937"/>
          <w:sz w:val="22"/>
          <w:szCs w:val="22"/>
        </w:rPr>
        <w:t xml:space="preserve">L'état a empiré depuis, et c'est mesuré le 25/10/2026 : le certificat de aapel.org a EXPIRÉ le 17/10/2026 (Let's Encrypt, chaîne YR2 → Root YR → ISRG Root X1, NotAfter 17/10/2026 13:37:55 GMT), donc l'adresse rend désormais HTTP 000 et curl exit 60 en https. En http elle répond encore 200, avec la même page « Account Suspended » — 7 612 octets, contre les 123 octets relevés le 06/09 : la page de suspension de l'hébergeur a changé, la ressource n'est pas revenue.</w:t>
      </w:r>
    </w:p>
    <w:p>
      <w:pPr>
        <w:spacing w:after="80"/>
      </w:pPr>
      <w:r>
        <w:rPr>
          <w:rFonts w:ascii="Times New Roman" w:cs="Times New Roman" w:eastAsia="Times New Roman" w:hAnsi="Times New Roman"/>
          <w:color w:val="1F2937"/>
          <w:sz w:val="22"/>
          <w:szCs w:val="22"/>
        </w:rPr>
        <w:t xml:space="preserve">La valeur pédagogique du paragraphe est conservée intacte : il reste l'exemple du code 200 qui ne prouve rien. Ce qui change est seulement qu'on n'y envoie plus personne. L'adresse est écrite en clair dans le libellé pour qu'elle reste vérifiable.</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ekiz7hn5vc8gjejfssj" Type="http://schemas.openxmlformats.org/officeDocument/2006/relationships/hyperlink" Target="https://en.wikipedia.org/wiki/Personality_disorder" TargetMode="External"/><Relationship Id="rIdoijnhd8wdpi9b4gacohny" Type="http://schemas.openxmlformats.org/officeDocument/2006/relationships/hyperlink" Target="https://fr.wikipedia.org/wiki/Trouble_de_la_personnalit%C3%A9_borderline" TargetMode="External"/><Relationship Id="rIdvyy_sah40f1w3o6hh_2nc" Type="http://schemas.openxmlformats.org/officeDocument/2006/relationships/hyperlink" Target="https://fr.wikipedia.org/wiki/Th%C3%A9rapie_comportementale_dialectique" TargetMode="External"/><Relationship Id="rIdzur6ruvs2lsxcokz2cwwz" Type="http://schemas.openxmlformats.org/officeDocument/2006/relationships/hyperlink" Target="https://www.merckmanuals.com/professional/psychiatric-disorders/personality-disorders/overview-of-personality-disorders" TargetMode="External"/><Relationship Id="rIduvho8sa6fc0jsddt4savu" Type="http://schemas.openxmlformats.org/officeDocument/2006/relationships/hyperlink" Target="https://dbt-france.com/" TargetMode="External"/><Relationship Id="rId13" Type="http://schemas.openxmlformats.org/officeDocument/2006/relationships/fontTable" Target="fontTable.xml"/><Relationship Id="rIddsmapa20260911" Type="http://schemas.openxmlformats.org/officeDocument/2006/relationships/hyperlink" Target="https://www.psychiatry.org/psychiatrists/practice/ds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2026-08-03T06:07:48.398Z</dcterms:created>
  <dcterms:modified xsi:type="dcterms:W3CDTF">2026-08-03T06:07:48.420Z</dcterms:modified>
</cp:coreProperties>
</file>

<file path=docProps/custom.xml><?xml version="1.0" encoding="utf-8"?>
<Properties xmlns="http://schemas.openxmlformats.org/officeDocument/2006/custom-properties" xmlns:vt="http://schemas.openxmlformats.org/officeDocument/2006/docPropsVTypes"/>
</file>