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olor w:val="1B3A6B"/>
          <w:sz w:val="52"/>
          <w:szCs w:val="52"/>
        </w:rPr>
        <w:t xml:space="preserve">Leçon Stoïcisme n°04</w:t>
      </w:r>
    </w:p>
    <w:p>
      <w:pPr>
        <w:pStyle w:val="Heading1"/>
        <w:spacing w:after="120" w:before="240"/>
        <w:jc w:val="center"/>
      </w:pPr>
      <w:r>
        <w:rPr>
          <w:rFonts w:ascii="Times New Roman" w:cs="Times New Roman" w:eastAsia="Times New Roman" w:hAnsi="Times New Roman"/>
          <w:b/>
          <w:bCs/>
          <w:color w:val="1B3A6B"/>
          <w:sz w:val="52"/>
          <w:szCs w:val="52"/>
        </w:rPr>
        <w:t xml:space="preserve">Épictète et le Manuel (Enchiridion)</w:t>
      </w:r>
    </w:p>
    <w:p>
      <w:pPr>
        <w:spacing w:after="40" w:before="60"/>
        <w:jc w:val="center"/>
      </w:pPr>
      <w:r>
        <w:rPr>
          <w:rFonts w:ascii="Times New Roman" w:cs="Times New Roman" w:eastAsia="Times New Roman" w:hAnsi="Times New Roman"/>
          <w:i/>
          <w:iCs/>
          <w:color w:val="6B7280"/>
          <w:sz w:val="20"/>
          <w:szCs w:val="20"/>
        </w:rPr>
        <w:t xml:space="preserve">25 juin 2026  •  Module Fondamental — Leçon 4/12</w:t>
      </w:r>
    </w:p>
    <w:p>
      <w:pPr>
        <w:spacing w:after="200" w:before="0"/>
        <w:jc w:val="center"/>
      </w:pPr>
      <w:r>
        <w:rPr>
          <w:rFonts w:ascii="Times New Roman" w:cs="Times New Roman" w:eastAsia="Times New Roman" w:hAnsi="Times New Roman"/>
          <w:i/>
          <w:iCs/>
          <w:color w:val="6B7280"/>
          <w:sz w:val="20"/>
          <w:szCs w:val="20"/>
        </w:rPr>
        <w:t xml:space="preserve">Parcours Stoïcisme : du fondamental à l'avancé — 12 leçons</w:t>
      </w:r>
    </w:p>
    <w:p>
      <w:pPr>
        <w:pBdr>
          <w:bottom w:val="single" w:color="1B3A6B" w:sz="6"/>
        </w:pBdr>
        <w:spacing w:after="60" w:before="60"/>
      </w:pPr>
    </w:p>
    <w:p>
      <w:r>
        <w:t xml:space="preserve"/>
      </w:r>
    </w:p>
    <w:p>
      <w:pPr>
        <w:pStyle w:val="Heading2"/>
        <w:spacing w:after="80" w:before="300"/>
      </w:pPr>
      <w:r>
        <w:rPr>
          <w:rFonts w:ascii="Times New Roman" w:cs="Times New Roman" w:eastAsia="Times New Roman" w:hAnsi="Times New Roman"/>
          <w:b/>
          <w:bCs/>
          <w:color w:val="1B3A6B"/>
          <w:sz w:val="30"/>
          <w:szCs w:val="30"/>
        </w:rPr>
        <w:t xml:space="preserve">🎯 Objectif et continuité</w:t>
      </w:r>
    </w:p>
    <w:p>
      <w:pPr>
        <w:spacing w:after="60" w:before="60"/>
      </w:pPr>
      <w:r>
        <w:rPr>
          <w:rFonts w:ascii="Times New Roman" w:cs="Times New Roman" w:eastAsia="Times New Roman" w:hAnsi="Times New Roman"/>
          <w:b w:val="false"/>
          <w:bCs w:val="false"/>
          <w:i w:val="false"/>
          <w:iCs w:val="false"/>
          <w:color w:val="1F2937"/>
          <w:sz w:val="22"/>
          <w:szCs w:val="22"/>
        </w:rPr>
        <w:t xml:space="preserve">À l'issue de cette leçon, tu sauras : identifier qui était Épictète et pourquoi son parcours (esclave devenu maître en philosophie) est inseparable de sa doctrine ; lire et utiliser les maximes de l'Enchiridion comme un outil quotidien de navigation intérieure ; appliquer concrètement la prohairesis — la faculté de choix — dans des situations vécues.</w:t>
      </w:r>
    </w:p>
    <w:p>
      <w:r>
        <w:t xml:space="preserve"/>
      </w:r>
    </w:p>
    <w:p>
      <w:pPr>
        <w:spacing w:after="60" w:before="60"/>
      </w:pPr>
      <w:r>
        <w:rPr>
          <w:rFonts w:ascii="Times New Roman" w:cs="Times New Roman" w:eastAsia="Times New Roman" w:hAnsi="Times New Roman"/>
          <w:b w:val="false"/>
          <w:bCs w:val="false"/>
          <w:i/>
          <w:iCs/>
          <w:color w:val="1F2937"/>
          <w:sz w:val="22"/>
          <w:szCs w:val="22"/>
        </w:rPr>
        <w:t xml:space="preserve">Lien avec la leçon précédente : en leçon 03, nous avons exploré les 4 vertus cardinales (sagesse, courage, justice, tempérance) — la boussole morale du stoïcisme. L'Enchiridion est la mise en pratique de ces vertus : c'est le "manuel d'utilisation" que tout philosophe stoïcien devait garder à portée de main, comme un soldat garde son poignard.</w:t>
      </w:r>
    </w:p>
    <w:p>
      <w:r>
        <w:t xml:space="preserve"/>
      </w:r>
    </w:p>
    <w:p>
      <w:pPr>
        <w:pBdr>
          <w:bottom w:val="single" w:color="1B3A6B" w:sz="6"/>
        </w:pBdr>
        <w:spacing w:after="60" w:before="60"/>
      </w:pPr>
    </w:p>
    <w:p>
      <w:pPr>
        <w:pStyle w:val="Heading2"/>
        <w:spacing w:after="80" w:before="300"/>
      </w:pPr>
      <w:r>
        <w:rPr>
          <w:rFonts w:ascii="Times New Roman" w:cs="Times New Roman" w:eastAsia="Times New Roman" w:hAnsi="Times New Roman"/>
          <w:b/>
          <w:bCs/>
          <w:color w:val="1B3A6B"/>
          <w:sz w:val="30"/>
          <w:szCs w:val="30"/>
        </w:rPr>
        <w:t xml:space="preserve">🔬 Théorie (20 %) — Épictète et l'Enchiridion</w:t>
      </w:r>
    </w:p>
    <w:p>
      <w:pPr>
        <w:pStyle w:val="Heading3"/>
        <w:spacing w:after="60" w:before="200"/>
      </w:pPr>
      <w:r>
        <w:rPr>
          <w:rFonts w:ascii="Times New Roman" w:cs="Times New Roman" w:eastAsia="Times New Roman" w:hAnsi="Times New Roman"/>
          <w:b/>
          <w:bCs/>
          <w:color w:val="1F2937"/>
          <w:sz w:val="26"/>
          <w:szCs w:val="26"/>
        </w:rPr>
        <w:t xml:space="preserve">1. Qui était Épictète ? (v. 50–135 apr. J.-C.)</w:t>
      </w:r>
    </w:p>
    <w:p>
      <w:pPr>
        <w:spacing w:after="60" w:before="60"/>
      </w:pPr>
      <w:r>
        <w:rPr>
          <w:rFonts w:ascii="Times New Roman" w:cs="Times New Roman" w:eastAsia="Times New Roman" w:hAnsi="Times New Roman"/>
          <w:b w:val="false"/>
          <w:bCs w:val="false"/>
          <w:i w:val="false"/>
          <w:iCs w:val="false"/>
          <w:color w:val="1F2937"/>
          <w:sz w:val="22"/>
          <w:szCs w:val="22"/>
        </w:rPr>
        <w:t xml:space="preserve">Épictète est l'une des figures les plus singulières de toute la philosophie antique. Il est né esclave à Hiérapolis (actuelle Pamukkale, Turquie) dans la maison d'Épaphrodite, un affranchi proche de l'empereur Néron. Son maître lui permit d'étudier auprès de Musonius Rufus, philosophe stoïcien réputé pour sa rigueur. Après la mort de Néron, il fut affranchi et enseigna la philosophie à Rome pendant vingt-cinq ans.</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En 93 apr. J.-C., l'empereur Domitien — méfiant envers les philosophes — le bannit de Rome avec tous ses collègues. Épictète fonda alors une école à Nicopolis (Grèce) qui attira des disciples de tout l'Empire, dont le jeune Arrien. Ce dernier transcrivit fidèlement les leçons orales de son maître et produisit deux œuvres majeures :</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Les Entretiens (Diatribes) — 8 livres à l'origine, 4 conservés : conversations vivantes, dialectiques, souvent ironiques.</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Le Manuel (Enchiridion) — un résumé de 53 chapitres, extraits des Entretiens par Arrien pour en faire un aide-mémoire pratique.</w:t>
      </w:r>
    </w:p>
    <w:p>
      <w:r>
        <w:t xml:space="preserve"/>
      </w:r>
    </w:p>
    <w:p>
      <w:pPr>
        <w:shd w:fill="EEF2F7" w:val="clear"/>
        <w:spacing w:after="120" w:before="120"/>
        <w:ind w:left="576" w:right="576"/>
      </w:pPr>
      <w:r>
        <w:rPr>
          <w:rFonts w:ascii="Times New Roman" w:cs="Times New Roman" w:eastAsia="Times New Roman" w:hAnsi="Times New Roman"/>
          <w:i/>
          <w:iCs/>
          <w:color w:val="1B3A6B"/>
          <w:sz w:val="22"/>
          <w:szCs w:val="22"/>
        </w:rPr>
        <w:t xml:space="preserve">“Il ne m'a pas dit comment écrire, mais comment vivre.”</w:t>
      </w:r>
      <w:r>
        <w:rPr>
          <w:rFonts w:ascii="Times New Roman" w:cs="Times New Roman" w:eastAsia="Times New Roman" w:hAnsi="Times New Roman"/>
          <w:b/>
          <w:bCs/>
          <w:color w:val="1B3A6B"/>
          <w:sz w:val="20"/>
          <w:szCs w:val="20"/>
        </w:rPr>
        <w:t xml:space="preserve">  — Arrien, dédicace des Entretiens</w:t>
      </w:r>
    </w:p>
    <w:p>
      <w:r>
        <w:t xml:space="preserve"/>
      </w:r>
    </w:p>
    <w:p>
      <w:pPr>
        <w:pStyle w:val="Heading3"/>
        <w:spacing w:after="60" w:before="200"/>
      </w:pPr>
      <w:r>
        <w:rPr>
          <w:rFonts w:ascii="Times New Roman" w:cs="Times New Roman" w:eastAsia="Times New Roman" w:hAnsi="Times New Roman"/>
          <w:b/>
          <w:bCs/>
          <w:color w:val="1F2937"/>
          <w:sz w:val="26"/>
          <w:szCs w:val="26"/>
        </w:rPr>
        <w:t xml:space="preserve">2. Pourquoi "Enchiridion" ?</w:t>
      </w:r>
    </w:p>
    <w:p>
      <w:pPr>
        <w:spacing w:after="60" w:before="60"/>
      </w:pPr>
      <w:r>
        <w:rPr>
          <w:rFonts w:ascii="Times New Roman" w:cs="Times New Roman" w:eastAsia="Times New Roman" w:hAnsi="Times New Roman"/>
          <w:b w:val="false"/>
          <w:bCs w:val="false"/>
          <w:i w:val="false"/>
          <w:iCs w:val="false"/>
          <w:color w:val="1F2937"/>
          <w:sz w:val="22"/>
          <w:szCs w:val="22"/>
        </w:rPr>
        <w:t xml:space="preserve">En grec, enkheiridion signifie littéralement "ce que l'on tient dans la main" — mais aussi "poignard" ou "dague". Simplicius (VIe s.), dans son commentaire, explique l'image : tout comme un soldat garde toujours son poignard à portée de main, le philosophe doit garder ces principes disponibles immédiatement pour répondre aux assauts de la vie. Ce n'est pas un traité à lire une fois : c'est un compagnon quotidien.</w:t>
      </w:r>
    </w:p>
    <w:p>
      <w:r>
        <w:t xml:space="preserve"/>
      </w:r>
    </w:p>
    <w:p>
      <w:pPr>
        <w:pStyle w:val="Heading3"/>
        <w:spacing w:after="60" w:before="200"/>
      </w:pPr>
      <w:r>
        <w:rPr>
          <w:rFonts w:ascii="Times New Roman" w:cs="Times New Roman" w:eastAsia="Times New Roman" w:hAnsi="Times New Roman"/>
          <w:b/>
          <w:bCs/>
          <w:color w:val="1F2937"/>
          <w:sz w:val="26"/>
          <w:szCs w:val="26"/>
        </w:rPr>
        <w:t xml:space="preserve">3. La Prohairesis — le concept central d'Épictète</w:t>
      </w:r>
    </w:p>
    <w:p>
      <w:pPr>
        <w:spacing w:after="60" w:before="60"/>
      </w:pPr>
      <w:r>
        <w:rPr>
          <w:rFonts w:ascii="Times New Roman" w:cs="Times New Roman" w:eastAsia="Times New Roman" w:hAnsi="Times New Roman"/>
          <w:b w:val="false"/>
          <w:bCs w:val="false"/>
          <w:i w:val="false"/>
          <w:iCs w:val="false"/>
          <w:color w:val="1F2937"/>
          <w:sz w:val="22"/>
          <w:szCs w:val="22"/>
        </w:rPr>
        <w:t xml:space="preserve">Épictète radicalise et personnalise la dichotomie stoïcienne (vue en leçon 01) autour d'un seul concept central : la prohairesis.</w:t>
      </w:r>
    </w:p>
    <w:p>
      <w:r>
        <w:t xml:space="preserve"/>
      </w:r>
    </w:p>
    <w:p>
      <w:pPr>
        <w:shd w:fill="EEF2F7" w:val="clear"/>
        <w:spacing w:after="120" w:before="120"/>
        <w:ind w:left="576" w:right="576"/>
      </w:pPr>
      <w:r>
        <w:rPr>
          <w:rFonts w:ascii="Times New Roman" w:cs="Times New Roman" w:eastAsia="Times New Roman" w:hAnsi="Times New Roman"/>
          <w:i/>
          <w:iCs/>
          <w:color w:val="1B3A6B"/>
          <w:sz w:val="22"/>
          <w:szCs w:val="22"/>
        </w:rPr>
        <w:t xml:space="preserve">“Ce qui relève de nous (eph' hêmin) : opinions, élans, désirs, aversions — en un mot, tout ce qui est notre activité propre. Ce qui ne relève pas de nous (ouk eph' hêmin) : le corps, la réputation, les charges, en un mot tout ce qui n'est pas notre activité propre.”</w:t>
      </w:r>
      <w:r>
        <w:rPr>
          <w:rFonts w:ascii="Times New Roman" w:cs="Times New Roman" w:eastAsia="Times New Roman" w:hAnsi="Times New Roman"/>
          <w:b/>
          <w:bCs/>
          <w:color w:val="1B3A6B"/>
          <w:sz w:val="20"/>
          <w:szCs w:val="20"/>
        </w:rPr>
        <w:t xml:space="preserve">  — Enchiridion, ch. 1</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La prohairesis désigne la faculté de choix délibéré — la seule chose qui soit vraiment « nôtre » et que nul ne peut nous enlever, pas même un maître ou un tyran. C'est notre capacité à dire oui ou non, à assigner une valeur aux impressions que nous recevons. Épictète, lui-même ancien esclave, en fait le fondement de la liberté : on peut enchaîner le corps, jamais la volonté.</w:t>
      </w:r>
    </w:p>
    <w:p>
      <w:r>
        <w:t xml:space="preserve"/>
      </w:r>
    </w:p>
    <w:p>
      <w:pPr>
        <w:pStyle w:val="Heading3"/>
        <w:spacing w:after="60" w:before="200"/>
      </w:pPr>
      <w:r>
        <w:rPr>
          <w:rFonts w:ascii="Times New Roman" w:cs="Times New Roman" w:eastAsia="Times New Roman" w:hAnsi="Times New Roman"/>
          <w:b/>
          <w:bCs/>
          <w:color w:val="1F2937"/>
          <w:sz w:val="26"/>
          <w:szCs w:val="26"/>
        </w:rPr>
        <w:t xml:space="preserve">4. Les impressions (phantasiai) et l'assentiment (sunkatathesis)</w:t>
      </w:r>
    </w:p>
    <w:p>
      <w:pPr>
        <w:spacing w:after="60" w:before="60"/>
      </w:pPr>
      <w:r>
        <w:rPr>
          <w:rFonts w:ascii="Times New Roman" w:cs="Times New Roman" w:eastAsia="Times New Roman" w:hAnsi="Times New Roman"/>
          <w:b w:val="false"/>
          <w:bCs w:val="false"/>
          <w:i w:val="false"/>
          <w:iCs w:val="false"/>
          <w:color w:val="1F2937"/>
          <w:sz w:val="22"/>
          <w:szCs w:val="22"/>
        </w:rPr>
        <w:t xml:space="preserve">Quand un événement se produit, il nous arrive d'abord comme une impression (phantasia) : une image mentale qui frappe la conscience. Épictète insiste sur le fait que nous ne subissons pas les événements directement — nous subissons notre interprétation des événements. Entre l'impression et la réaction, il existe un espace : celui de l'assentiment (sunkatathesis), le moment où nous décidons d'adhérer ou non à ce que l'impression nous présente.</w:t>
      </w:r>
    </w:p>
    <w:p>
      <w:r>
        <w:t xml:space="preserve"/>
      </w:r>
    </w:p>
    <w:p>
      <w:pPr>
        <w:shd w:fill="EEF2F7" w:val="clear"/>
        <w:spacing w:after="120" w:before="120"/>
        <w:ind w:left="576" w:right="576"/>
      </w:pPr>
      <w:r>
        <w:rPr>
          <w:rFonts w:ascii="Times New Roman" w:cs="Times New Roman" w:eastAsia="Times New Roman" w:hAnsi="Times New Roman"/>
          <w:i/>
          <w:iCs/>
          <w:color w:val="1B3A6B"/>
          <w:sz w:val="22"/>
          <w:szCs w:val="22"/>
        </w:rPr>
        <w:t xml:space="preserve">“Ce ne sont pas les événements qui troublent les hommes, mais les opinions qu'ils ont des événements.”</w:t>
      </w:r>
      <w:r>
        <w:rPr>
          <w:rFonts w:ascii="Times New Roman" w:cs="Times New Roman" w:eastAsia="Times New Roman" w:hAnsi="Times New Roman"/>
          <w:b/>
          <w:bCs/>
          <w:color w:val="1B3A6B"/>
          <w:sz w:val="20"/>
          <w:szCs w:val="20"/>
        </w:rPr>
        <w:t xml:space="preserve">  — Enchiridion, ch. 5</w:t>
      </w:r>
    </w:p>
    <w:p>
      <w:r>
        <w:t xml:space="preserve"/>
      </w:r>
    </w:p>
    <w:p>
      <w:pPr>
        <w:pStyle w:val="Heading3"/>
        <w:spacing w:after="60" w:before="200"/>
      </w:pPr>
      <w:r>
        <w:rPr>
          <w:rFonts w:ascii="Times New Roman" w:cs="Times New Roman" w:eastAsia="Times New Roman" w:hAnsi="Times New Roman"/>
          <w:b/>
          <w:bCs/>
          <w:color w:val="1F2937"/>
          <w:sz w:val="26"/>
          <w:szCs w:val="26"/>
        </w:rPr>
        <w:t xml:space="preserve">5. Carte mentale des concepts clés</w:t>
      </w:r>
    </w:p>
    <w:p>
      <w:pPr>
        <w:spacing w:after="60" w:before="60"/>
      </w:pPr>
      <w:r>
        <w:rPr>
          <w:rFonts w:ascii="Times New Roman" w:cs="Times New Roman" w:eastAsia="Times New Roman" w:hAnsi="Times New Roman"/>
          <w:b w:val="false"/>
          <w:bCs w:val="false"/>
          <w:i w:val="false"/>
          <w:iCs w:val="false"/>
          <w:color w:val="1F2937"/>
          <w:sz w:val="22"/>
          <w:szCs w:val="22"/>
        </w:rPr>
        <w:t xml:space="preserve">Architecture de la pensée d'Épictète dans l'Enchiridion :</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1B3A6B" w:val="clear"/>
          </w:tcPr>
          <w:p>
            <w:r>
              <w:rPr>
                <w:rFonts w:ascii="Times New Roman" w:cs="Times New Roman" w:eastAsia="Times New Roman" w:hAnsi="Times New Roman"/>
                <w:b/>
                <w:bCs/>
                <w:color w:val="FFFFFF"/>
                <w:sz w:val="20"/>
                <w:szCs w:val="20"/>
              </w:rPr>
              <w:t xml:space="preserve">Chapitre</w:t>
            </w:r>
          </w:p>
        </w:tc>
        <w:tc>
          <w:tcPr>
            <w:tcW w:type="pct" w:w="35%"/>
            <w:shd w:fill="1B3A6B" w:val="clear"/>
          </w:tcPr>
          <w:p>
            <w:r>
              <w:rPr>
                <w:rFonts w:ascii="Times New Roman" w:cs="Times New Roman" w:eastAsia="Times New Roman" w:hAnsi="Times New Roman"/>
                <w:b/>
                <w:bCs/>
                <w:color w:val="FFFFFF"/>
                <w:sz w:val="20"/>
                <w:szCs w:val="20"/>
              </w:rPr>
              <w:t xml:space="preserve">Maxime / Concept</w:t>
            </w:r>
          </w:p>
        </w:tc>
        <w:tc>
          <w:tcPr>
            <w:tcW w:type="pct" w:w="53%"/>
            <w:shd w:fill="1B3A6B" w:val="clear"/>
          </w:tcPr>
          <w:p>
            <w:r>
              <w:rPr>
                <w:rFonts w:ascii="Times New Roman" w:cs="Times New Roman" w:eastAsia="Times New Roman" w:hAnsi="Times New Roman"/>
                <w:b/>
                <w:bCs/>
                <w:color w:val="FFFFFF"/>
                <w:sz w:val="20"/>
                <w:szCs w:val="20"/>
              </w:rPr>
              <w:t xml:space="preserve">Enseignement essentiel</w:t>
            </w:r>
          </w:p>
        </w:tc>
      </w:tr>
      <w:tr>
        <w:tc>
          <w:tcPr>
            <w:shd w:fill="FFFFFF" w:val="clear"/>
          </w:tcPr>
          <w:p>
            <w:r>
              <w:rPr>
                <w:rFonts w:ascii="Times New Roman" w:cs="Times New Roman" w:eastAsia="Times New Roman" w:hAnsi="Times New Roman"/>
                <w:sz w:val="20"/>
                <w:szCs w:val="20"/>
              </w:rPr>
              <w:t xml:space="preserve">Ch. 1</w:t>
            </w:r>
          </w:p>
        </w:tc>
        <w:tc>
          <w:tcPr>
            <w:shd w:fill="FFFFFF" w:val="clear"/>
          </w:tcPr>
          <w:p>
            <w:r>
              <w:rPr>
                <w:rFonts w:ascii="Times New Roman" w:cs="Times New Roman" w:eastAsia="Times New Roman" w:hAnsi="Times New Roman"/>
                <w:i/>
                <w:iCs/>
                <w:sz w:val="20"/>
                <w:szCs w:val="20"/>
              </w:rPr>
              <w:t xml:space="preserve">La dichotomie fondamentale</w:t>
            </w:r>
          </w:p>
        </w:tc>
        <w:tc>
          <w:tcPr>
            <w:shd w:fill="FFFFFF" w:val="clear"/>
          </w:tcPr>
          <w:p>
            <w:r>
              <w:rPr>
                <w:rFonts w:ascii="Times New Roman" w:cs="Times New Roman" w:eastAsia="Times New Roman" w:hAnsi="Times New Roman"/>
                <w:sz w:val="20"/>
                <w:szCs w:val="20"/>
              </w:rPr>
              <w:t xml:space="preserve">Séparer ce qui dépend de nous (prohairesis) de ce qui n'en dépend pas.</w:t>
            </w:r>
          </w:p>
        </w:tc>
      </w:tr>
      <w:tr>
        <w:tc>
          <w:tcPr>
            <w:shd w:fill="EEF2F7" w:val="clear"/>
          </w:tcPr>
          <w:p>
            <w:r>
              <w:rPr>
                <w:rFonts w:ascii="Times New Roman" w:cs="Times New Roman" w:eastAsia="Times New Roman" w:hAnsi="Times New Roman"/>
                <w:sz w:val="20"/>
                <w:szCs w:val="20"/>
              </w:rPr>
              <w:t xml:space="preserve">Ch. 5</w:t>
            </w:r>
          </w:p>
        </w:tc>
        <w:tc>
          <w:tcPr>
            <w:shd w:fill="EEF2F7" w:val="clear"/>
          </w:tcPr>
          <w:p>
            <w:r>
              <w:rPr>
                <w:rFonts w:ascii="Times New Roman" w:cs="Times New Roman" w:eastAsia="Times New Roman" w:hAnsi="Times New Roman"/>
                <w:i/>
                <w:iCs/>
                <w:sz w:val="20"/>
                <w:szCs w:val="20"/>
              </w:rPr>
              <w:t xml:space="preserve">Impressions et jugements</w:t>
            </w:r>
          </w:p>
        </w:tc>
        <w:tc>
          <w:tcPr>
            <w:shd w:fill="EEF2F7" w:val="clear"/>
          </w:tcPr>
          <w:p>
            <w:r>
              <w:rPr>
                <w:rFonts w:ascii="Times New Roman" w:cs="Times New Roman" w:eastAsia="Times New Roman" w:hAnsi="Times New Roman"/>
                <w:sz w:val="20"/>
                <w:szCs w:val="20"/>
              </w:rPr>
              <w:t xml:space="preserve">Les troubles viennent de nos opinions, pas des faits.</w:t>
            </w:r>
          </w:p>
        </w:tc>
      </w:tr>
      <w:tr>
        <w:tc>
          <w:tcPr>
            <w:shd w:fill="FFFFFF" w:val="clear"/>
          </w:tcPr>
          <w:p>
            <w:r>
              <w:rPr>
                <w:rFonts w:ascii="Times New Roman" w:cs="Times New Roman" w:eastAsia="Times New Roman" w:hAnsi="Times New Roman"/>
                <w:sz w:val="20"/>
                <w:szCs w:val="20"/>
              </w:rPr>
              <w:t xml:space="preserve">Ch. 8</w:t>
            </w:r>
          </w:p>
        </w:tc>
        <w:tc>
          <w:tcPr>
            <w:shd w:fill="FFFFFF" w:val="clear"/>
          </w:tcPr>
          <w:p>
            <w:r>
              <w:rPr>
                <w:rFonts w:ascii="Times New Roman" w:cs="Times New Roman" w:eastAsia="Times New Roman" w:hAnsi="Times New Roman"/>
                <w:i/>
                <w:iCs/>
                <w:sz w:val="20"/>
                <w:szCs w:val="20"/>
              </w:rPr>
              <w:t xml:space="preserve">Désirer ce qui est</w:t>
            </w:r>
          </w:p>
        </w:tc>
        <w:tc>
          <w:tcPr>
            <w:shd w:fill="FFFFFF" w:val="clear"/>
          </w:tcPr>
          <w:p>
            <w:r>
              <w:rPr>
                <w:rFonts w:ascii="Times New Roman" w:cs="Times New Roman" w:eastAsia="Times New Roman" w:hAnsi="Times New Roman"/>
                <w:sz w:val="20"/>
                <w:szCs w:val="20"/>
              </w:rPr>
              <w:t xml:space="preserve">"Veuille que les choses arrivent comme elles arrivent" — l'amor fati en germe.</w:t>
            </w:r>
          </w:p>
        </w:tc>
      </w:tr>
      <w:tr>
        <w:tc>
          <w:tcPr>
            <w:shd w:fill="EEF2F7" w:val="clear"/>
          </w:tcPr>
          <w:p>
            <w:r>
              <w:rPr>
                <w:rFonts w:ascii="Times New Roman" w:cs="Times New Roman" w:eastAsia="Times New Roman" w:hAnsi="Times New Roman"/>
                <w:sz w:val="20"/>
                <w:szCs w:val="20"/>
              </w:rPr>
              <w:t xml:space="preserve">Ch. 11</w:t>
            </w:r>
          </w:p>
        </w:tc>
        <w:tc>
          <w:tcPr>
            <w:shd w:fill="EEF2F7" w:val="clear"/>
          </w:tcPr>
          <w:p>
            <w:r>
              <w:rPr>
                <w:rFonts w:ascii="Times New Roman" w:cs="Times New Roman" w:eastAsia="Times New Roman" w:hAnsi="Times New Roman"/>
                <w:i/>
                <w:iCs/>
                <w:sz w:val="20"/>
                <w:szCs w:val="20"/>
              </w:rPr>
              <w:t xml:space="preserve">Détachement juste</w:t>
            </w:r>
          </w:p>
        </w:tc>
        <w:tc>
          <w:tcPr>
            <w:shd w:fill="EEF2F7" w:val="clear"/>
          </w:tcPr>
          <w:p>
            <w:r>
              <w:rPr>
                <w:rFonts w:ascii="Times New Roman" w:cs="Times New Roman" w:eastAsia="Times New Roman" w:hAnsi="Times New Roman"/>
                <w:sz w:val="20"/>
                <w:szCs w:val="20"/>
              </w:rPr>
              <w:t xml:space="preserve">Posséder comme si l'on empruntait, rendre sans se plaindre.</w:t>
            </w:r>
          </w:p>
        </w:tc>
      </w:tr>
      <w:tr>
        <w:tc>
          <w:tcPr>
            <w:shd w:fill="FFFFFF" w:val="clear"/>
          </w:tcPr>
          <w:p>
            <w:r>
              <w:rPr>
                <w:rFonts w:ascii="Times New Roman" w:cs="Times New Roman" w:eastAsia="Times New Roman" w:hAnsi="Times New Roman"/>
                <w:sz w:val="20"/>
                <w:szCs w:val="20"/>
              </w:rPr>
              <w:t xml:space="preserve">Ch. 15</w:t>
            </w:r>
          </w:p>
        </w:tc>
        <w:tc>
          <w:tcPr>
            <w:shd w:fill="FFFFFF" w:val="clear"/>
          </w:tcPr>
          <w:p>
            <w:r>
              <w:rPr>
                <w:rFonts w:ascii="Times New Roman" w:cs="Times New Roman" w:eastAsia="Times New Roman" w:hAnsi="Times New Roman"/>
                <w:i/>
                <w:iCs/>
                <w:sz w:val="20"/>
                <w:szCs w:val="20"/>
              </w:rPr>
              <w:t xml:space="preserve">L'analogie du banquet</w:t>
            </w:r>
          </w:p>
        </w:tc>
        <w:tc>
          <w:tcPr>
            <w:shd w:fill="FFFFFF" w:val="clear"/>
          </w:tcPr>
          <w:p>
            <w:r>
              <w:rPr>
                <w:rFonts w:ascii="Times New Roman" w:cs="Times New Roman" w:eastAsia="Times New Roman" w:hAnsi="Times New Roman"/>
                <w:sz w:val="20"/>
                <w:szCs w:val="20"/>
              </w:rPr>
              <w:t xml:space="preserve">Prendre sa part sans saisir d'avance ; vie comme banquet où l'on attend son tour.</w:t>
            </w:r>
          </w:p>
        </w:tc>
      </w:tr>
      <w:tr>
        <w:tc>
          <w:tcPr>
            <w:shd w:fill="EEF2F7" w:val="clear"/>
          </w:tcPr>
          <w:p>
            <w:r>
              <w:rPr>
                <w:rFonts w:ascii="Times New Roman" w:cs="Times New Roman" w:eastAsia="Times New Roman" w:hAnsi="Times New Roman"/>
                <w:sz w:val="20"/>
                <w:szCs w:val="20"/>
              </w:rPr>
              <w:t xml:space="preserve">Ch. 20</w:t>
            </w:r>
          </w:p>
        </w:tc>
        <w:tc>
          <w:tcPr>
            <w:shd w:fill="EEF2F7" w:val="clear"/>
          </w:tcPr>
          <w:p>
            <w:r>
              <w:rPr>
                <w:rFonts w:ascii="Times New Roman" w:cs="Times New Roman" w:eastAsia="Times New Roman" w:hAnsi="Times New Roman"/>
                <w:i/>
                <w:iCs/>
                <w:sz w:val="20"/>
                <w:szCs w:val="20"/>
              </w:rPr>
              <w:t xml:space="preserve">Source des offenses</w:t>
            </w:r>
          </w:p>
        </w:tc>
        <w:tc>
          <w:tcPr>
            <w:shd w:fill="EEF2F7" w:val="clear"/>
          </w:tcPr>
          <w:p>
            <w:r>
              <w:rPr>
                <w:rFonts w:ascii="Times New Roman" w:cs="Times New Roman" w:eastAsia="Times New Roman" w:hAnsi="Times New Roman"/>
                <w:sz w:val="20"/>
                <w:szCs w:val="20"/>
              </w:rPr>
              <w:t xml:space="preserve">L'insulte ne vient pas de l'autre, mais du jugement qu'on pose.</w:t>
            </w:r>
          </w:p>
        </w:tc>
      </w:tr>
      <w:tr>
        <w:tc>
          <w:tcPr>
            <w:shd w:fill="FFFFFF" w:val="clear"/>
          </w:tcPr>
          <w:p>
            <w:r>
              <w:rPr>
                <w:rFonts w:ascii="Times New Roman" w:cs="Times New Roman" w:eastAsia="Times New Roman" w:hAnsi="Times New Roman"/>
                <w:sz w:val="20"/>
                <w:szCs w:val="20"/>
              </w:rPr>
              <w:t xml:space="preserve">Ch. 29</w:t>
            </w:r>
          </w:p>
        </w:tc>
        <w:tc>
          <w:tcPr>
            <w:shd w:fill="FFFFFF" w:val="clear"/>
          </w:tcPr>
          <w:p>
            <w:r>
              <w:rPr>
                <w:rFonts w:ascii="Times New Roman" w:cs="Times New Roman" w:eastAsia="Times New Roman" w:hAnsi="Times New Roman"/>
                <w:i/>
                <w:iCs/>
                <w:sz w:val="20"/>
                <w:szCs w:val="20"/>
              </w:rPr>
              <w:t xml:space="preserve">L'engagement réfléchi</w:t>
            </w:r>
          </w:p>
        </w:tc>
        <w:tc>
          <w:tcPr>
            <w:shd w:fill="FFFFFF" w:val="clear"/>
          </w:tcPr>
          <w:p>
            <w:r>
              <w:rPr>
                <w:rFonts w:ascii="Times New Roman" w:cs="Times New Roman" w:eastAsia="Times New Roman" w:hAnsi="Times New Roman"/>
                <w:sz w:val="20"/>
                <w:szCs w:val="20"/>
              </w:rPr>
              <w:t xml:space="preserve">Examiner entièrement ce qu'on entreprend avant de le promettre.</w:t>
            </w:r>
          </w:p>
        </w:tc>
      </w:tr>
      <w:tr>
        <w:tc>
          <w:tcPr>
            <w:shd w:fill="EEF2F7" w:val="clear"/>
          </w:tcPr>
          <w:p>
            <w:r>
              <w:rPr>
                <w:rFonts w:ascii="Times New Roman" w:cs="Times New Roman" w:eastAsia="Times New Roman" w:hAnsi="Times New Roman"/>
                <w:sz w:val="20"/>
                <w:szCs w:val="20"/>
              </w:rPr>
              <w:t xml:space="preserve">Ch. 43</w:t>
            </w:r>
          </w:p>
        </w:tc>
        <w:tc>
          <w:tcPr>
            <w:shd w:fill="EEF2F7" w:val="clear"/>
          </w:tcPr>
          <w:p>
            <w:r>
              <w:rPr>
                <w:rFonts w:ascii="Times New Roman" w:cs="Times New Roman" w:eastAsia="Times New Roman" w:hAnsi="Times New Roman"/>
                <w:i/>
                <w:iCs/>
                <w:sz w:val="20"/>
                <w:szCs w:val="20"/>
              </w:rPr>
              <w:t xml:space="preserve">Les deux poignées</w:t>
            </w:r>
          </w:p>
        </w:tc>
        <w:tc>
          <w:tcPr>
            <w:shd w:fill="EEF2F7" w:val="clear"/>
          </w:tcPr>
          <w:p>
            <w:r>
              <w:rPr>
                <w:rFonts w:ascii="Times New Roman" w:cs="Times New Roman" w:eastAsia="Times New Roman" w:hAnsi="Times New Roman"/>
                <w:sz w:val="20"/>
                <w:szCs w:val="20"/>
              </w:rPr>
              <w:t xml:space="preserve">Toute situation a deux anses : l'une praticable, l'autre non.</w:t>
            </w:r>
          </w:p>
        </w:tc>
      </w:tr>
      <w:tr>
        <w:tc>
          <w:tcPr>
            <w:shd w:fill="FFFFFF" w:val="clear"/>
          </w:tcPr>
          <w:p>
            <w:r>
              <w:rPr>
                <w:rFonts w:ascii="Times New Roman" w:cs="Times New Roman" w:eastAsia="Times New Roman" w:hAnsi="Times New Roman"/>
                <w:sz w:val="20"/>
                <w:szCs w:val="20"/>
              </w:rPr>
              <w:t xml:space="preserve">Ch. 48</w:t>
            </w:r>
          </w:p>
        </w:tc>
        <w:tc>
          <w:tcPr>
            <w:shd w:fill="FFFFFF" w:val="clear"/>
          </w:tcPr>
          <w:p>
            <w:r>
              <w:rPr>
                <w:rFonts w:ascii="Times New Roman" w:cs="Times New Roman" w:eastAsia="Times New Roman" w:hAnsi="Times New Roman"/>
                <w:i/>
                <w:iCs/>
                <w:sz w:val="20"/>
                <w:szCs w:val="20"/>
              </w:rPr>
              <w:t xml:space="preserve">Le sage stoïcien</w:t>
            </w:r>
          </w:p>
        </w:tc>
        <w:tc>
          <w:tcPr>
            <w:shd w:fill="FFFFFF" w:val="clear"/>
          </w:tcPr>
          <w:p>
            <w:r>
              <w:rPr>
                <w:rFonts w:ascii="Times New Roman" w:cs="Times New Roman" w:eastAsia="Times New Roman" w:hAnsi="Times New Roman"/>
                <w:sz w:val="20"/>
                <w:szCs w:val="20"/>
              </w:rPr>
              <w:t xml:space="preserve">Il ne se plaint jamais d'autrui, ni de dieu — seulement de lui-même.</w:t>
            </w:r>
          </w:p>
        </w:tc>
      </w:tr>
      <w:tr>
        <w:tc>
          <w:tcPr>
            <w:shd w:fill="EEF2F7" w:val="clear"/>
          </w:tcPr>
          <w:p>
            <w:r>
              <w:rPr>
                <w:rFonts w:ascii="Times New Roman" w:cs="Times New Roman" w:eastAsia="Times New Roman" w:hAnsi="Times New Roman"/>
                <w:sz w:val="20"/>
                <w:szCs w:val="20"/>
              </w:rPr>
              <w:t xml:space="preserve">Ch. 50</w:t>
            </w:r>
          </w:p>
        </w:tc>
        <w:tc>
          <w:tcPr>
            <w:shd w:fill="EEF2F7" w:val="clear"/>
          </w:tcPr>
          <w:p>
            <w:r>
              <w:rPr>
                <w:rFonts w:ascii="Times New Roman" w:cs="Times New Roman" w:eastAsia="Times New Roman" w:hAnsi="Times New Roman"/>
                <w:i/>
                <w:iCs/>
                <w:sz w:val="20"/>
                <w:szCs w:val="20"/>
              </w:rPr>
              <w:t xml:space="preserve">L'urgence du progrès</w:t>
            </w:r>
          </w:p>
        </w:tc>
        <w:tc>
          <w:tcPr>
            <w:shd w:fill="EEF2F7" w:val="clear"/>
          </w:tcPr>
          <w:p>
            <w:r>
              <w:rPr>
                <w:rFonts w:ascii="Times New Roman" w:cs="Times New Roman" w:eastAsia="Times New Roman" w:hAnsi="Times New Roman"/>
                <w:sz w:val="20"/>
                <w:szCs w:val="20"/>
              </w:rPr>
              <w:t xml:space="preserve">"Tu n'es plus un enfant — agis en adulte." — appel à l'engagement.</w:t>
            </w:r>
          </w:p>
        </w:tc>
      </w:tr>
    </w:tbl>
    <w:p>
      <w:r>
        <w:t xml:space="preserve"/>
      </w:r>
    </w:p>
    <w:p>
      <w:pPr>
        <w:pBdr>
          <w:bottom w:val="single" w:color="1B3A6B" w:sz="6"/>
        </w:pBdr>
        <w:spacing w:after="60" w:before="60"/>
      </w:pPr>
    </w:p>
    <w:p>
      <w:pPr>
        <w:pStyle w:val="Heading2"/>
        <w:spacing w:after="80" w:before="300"/>
      </w:pPr>
      <w:r>
        <w:rPr>
          <w:rFonts w:ascii="Times New Roman" w:cs="Times New Roman" w:eastAsia="Times New Roman" w:hAnsi="Times New Roman"/>
          <w:b/>
          <w:bCs/>
          <w:color w:val="1B3A6B"/>
          <w:sz w:val="30"/>
          <w:szCs w:val="30"/>
        </w:rPr>
        <w:t xml:space="preserve">🛠️ Pratique (80 %) — Trois exercices d'apprentissage actif</w:t>
      </w:r>
    </w:p>
    <w:p>
      <w:pPr>
        <w:pStyle w:val="Heading3"/>
        <w:spacing w:after="60" w:before="200"/>
      </w:pPr>
      <w:r>
        <w:rPr>
          <w:rFonts w:ascii="Times New Roman" w:cs="Times New Roman" w:eastAsia="Times New Roman" w:hAnsi="Times New Roman"/>
          <w:b/>
          <w:bCs/>
          <w:color w:val="1F2937"/>
          <w:sz w:val="26"/>
          <w:szCs w:val="26"/>
        </w:rPr>
        <w:t xml:space="preserve">Exercice 1 — Lecture active et dissection d'une maxime</w:t>
      </w:r>
    </w:p>
    <w:p>
      <w:pPr>
        <w:spacing w:after="60" w:before="60"/>
      </w:pPr>
      <w:r>
        <w:rPr>
          <w:rFonts w:ascii="Times New Roman" w:cs="Times New Roman" w:eastAsia="Times New Roman" w:hAnsi="Times New Roman"/>
          <w:b w:val="false"/>
          <w:bCs w:val="false"/>
          <w:i w:val="false"/>
          <w:iCs w:val="false"/>
          <w:color w:val="1F2937"/>
          <w:sz w:val="22"/>
          <w:szCs w:val="22"/>
        </w:rPr>
        <w:t xml:space="preserve">Durée estimée : 20 minutes</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Protocole :</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Lis le chapitre 5 de l'Enchiridion (texte ci-dessous) à voix haute ou en écrivant chaque phrase à la main.</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Après chaque phrase, pause : reformule-la dans tes propres mots, avec un exemple de ta vie récente.</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Identifie : dans quelle situation as-tu confondu l'événement et ton jugement sur l'événement ?</w:t>
      </w:r>
    </w:p>
    <w:p>
      <w:r>
        <w:t xml:space="preserve"/>
      </w:r>
    </w:p>
    <w:p>
      <w:pPr>
        <w:shd w:fill="EEF2F7" w:val="clear"/>
        <w:spacing w:after="120" w:before="120"/>
        <w:ind w:left="576" w:right="576"/>
      </w:pPr>
      <w:r>
        <w:rPr>
          <w:rFonts w:ascii="Times New Roman" w:cs="Times New Roman" w:eastAsia="Times New Roman" w:hAnsi="Times New Roman"/>
          <w:i/>
          <w:iCs/>
          <w:color w:val="1B3A6B"/>
          <w:sz w:val="22"/>
          <w:szCs w:val="22"/>
        </w:rPr>
        <w:t xml:space="preserve">“Ce ne sont pas les événements qui troublent les hommes, mais les opinions qu'ils ont des événements. Ainsi la mort n'est rien de terrible, sinon l'opinion qu'on a d'elle serait terrible. Quand donc nous sommes entravés, troublés ou affligés, n'en accusons jamais un autre, mais nous-mêmes, c'est-à-dire nos propres opinions.”</w:t>
      </w:r>
      <w:r>
        <w:rPr>
          <w:rFonts w:ascii="Times New Roman" w:cs="Times New Roman" w:eastAsia="Times New Roman" w:hAnsi="Times New Roman"/>
          <w:b/>
          <w:bCs/>
          <w:color w:val="1B3A6B"/>
          <w:sz w:val="20"/>
          <w:szCs w:val="20"/>
        </w:rPr>
        <w:t xml:space="preserve">  — Enchiridion, ch. 5 (trad. Souilhé)</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Grille de dissection (à remplir par écrit) :</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1B3A6B" w:val="clear"/>
          </w:tcPr>
          <w:p>
            <w:r>
              <w:rPr>
                <w:rFonts w:ascii="Times New Roman" w:cs="Times New Roman" w:eastAsia="Times New Roman" w:hAnsi="Times New Roman"/>
                <w:b/>
                <w:bCs/>
                <w:color w:val="FFFFFF"/>
                <w:sz w:val="20"/>
                <w:szCs w:val="20"/>
              </w:rPr>
              <w:t xml:space="preserve">Question</w:t>
            </w:r>
          </w:p>
        </w:tc>
        <w:tc>
          <w:tcPr>
            <w:tcW w:type="pct" w:w="60%"/>
            <w:shd w:fill="1B3A6B" w:val="clear"/>
          </w:tcPr>
          <w:p>
            <w:r>
              <w:rPr>
                <w:rFonts w:ascii="Times New Roman" w:cs="Times New Roman" w:eastAsia="Times New Roman" w:hAnsi="Times New Roman"/>
                <w:b/>
                <w:bCs/>
                <w:color w:val="FFFFFF"/>
                <w:sz w:val="20"/>
                <w:szCs w:val="20"/>
              </w:rPr>
              <w:t xml:space="preserve">Ta réponse</w:t>
            </w:r>
          </w:p>
        </w:tc>
      </w:tr>
      <w:tr>
        <w:tc>
          <w:tcPr>
            <w:shd w:fill="FFFFFF" w:val="clear"/>
          </w:tcPr>
          <w:p>
            <w:r>
              <w:rPr>
                <w:rFonts w:ascii="Times New Roman" w:cs="Times New Roman" w:eastAsia="Times New Roman" w:hAnsi="Times New Roman"/>
                <w:sz w:val="20"/>
                <w:szCs w:val="20"/>
              </w:rPr>
              <w:t xml:space="preserve">Quel événement récent m'a troublé ?</w:t>
            </w:r>
          </w:p>
        </w:tc>
        <w:tc>
          <w:tcPr>
            <w:shd w:fill="FFFFFF" w:val="clear"/>
          </w:tcPr>
          <w:p>
            <w:r>
              <w:rPr>
                <w:rFonts w:ascii="Times New Roman" w:cs="Times New Roman" w:eastAsia="Times New Roman" w:hAnsi="Times New Roman"/>
                <w:sz w:val="20"/>
                <w:szCs w:val="20"/>
              </w:rPr>
              <w:t xml:space="preserve"/>
            </w:r>
          </w:p>
        </w:tc>
      </w:tr>
      <w:tr>
        <w:tc>
          <w:tcPr>
            <w:shd w:fill="EEF2F7" w:val="clear"/>
          </w:tcPr>
          <w:p>
            <w:r>
              <w:rPr>
                <w:rFonts w:ascii="Times New Roman" w:cs="Times New Roman" w:eastAsia="Times New Roman" w:hAnsi="Times New Roman"/>
                <w:sz w:val="20"/>
                <w:szCs w:val="20"/>
              </w:rPr>
              <w:t xml:space="preserve">Quelle était l'impression (ce que j'ai perçu) ?</w:t>
            </w:r>
          </w:p>
        </w:tc>
        <w:tc>
          <w:tcPr>
            <w:shd w:fill="EEF2F7" w:val="clear"/>
          </w:tcPr>
          <w:p>
            <w:r>
              <w:rPr>
                <w:rFonts w:ascii="Times New Roman" w:cs="Times New Roman" w:eastAsia="Times New Roman" w:hAnsi="Times New Roman"/>
                <w:sz w:val="20"/>
                <w:szCs w:val="20"/>
              </w:rPr>
              <w:t xml:space="preserve"/>
            </w:r>
          </w:p>
        </w:tc>
      </w:tr>
      <w:tr>
        <w:tc>
          <w:tcPr>
            <w:shd w:fill="FFFFFF" w:val="clear"/>
          </w:tcPr>
          <w:p>
            <w:r>
              <w:rPr>
                <w:rFonts w:ascii="Times New Roman" w:cs="Times New Roman" w:eastAsia="Times New Roman" w:hAnsi="Times New Roman"/>
                <w:sz w:val="20"/>
                <w:szCs w:val="20"/>
              </w:rPr>
              <w:t xml:space="preserve">Quel jugement ai-je posé sur cet événement ?</w:t>
            </w:r>
          </w:p>
        </w:tc>
        <w:tc>
          <w:tcPr>
            <w:shd w:fill="FFFFFF" w:val="clear"/>
          </w:tcPr>
          <w:p>
            <w:r>
              <w:rPr>
                <w:rFonts w:ascii="Times New Roman" w:cs="Times New Roman" w:eastAsia="Times New Roman" w:hAnsi="Times New Roman"/>
                <w:sz w:val="20"/>
                <w:szCs w:val="20"/>
              </w:rPr>
              <w:t xml:space="preserve"/>
            </w:r>
          </w:p>
        </w:tc>
      </w:tr>
      <w:tr>
        <w:tc>
          <w:tcPr>
            <w:shd w:fill="EEF2F7" w:val="clear"/>
          </w:tcPr>
          <w:p>
            <w:r>
              <w:rPr>
                <w:rFonts w:ascii="Times New Roman" w:cs="Times New Roman" w:eastAsia="Times New Roman" w:hAnsi="Times New Roman"/>
                <w:sz w:val="20"/>
                <w:szCs w:val="20"/>
              </w:rPr>
              <w:t xml:space="preserve">Ce jugement était-il "prohairétique" (dépendait de moi) ?</w:t>
            </w:r>
          </w:p>
        </w:tc>
        <w:tc>
          <w:tcPr>
            <w:shd w:fill="EEF2F7" w:val="clear"/>
          </w:tcPr>
          <w:p>
            <w:r>
              <w:rPr>
                <w:rFonts w:ascii="Times New Roman" w:cs="Times New Roman" w:eastAsia="Times New Roman" w:hAnsi="Times New Roman"/>
                <w:sz w:val="20"/>
                <w:szCs w:val="20"/>
              </w:rPr>
              <w:t xml:space="preserve"/>
            </w:r>
          </w:p>
        </w:tc>
      </w:tr>
      <w:tr>
        <w:tc>
          <w:tcPr>
            <w:shd w:fill="FFFFFF" w:val="clear"/>
          </w:tcPr>
          <w:p>
            <w:r>
              <w:rPr>
                <w:rFonts w:ascii="Times New Roman" w:cs="Times New Roman" w:eastAsia="Times New Roman" w:hAnsi="Times New Roman"/>
                <w:sz w:val="20"/>
                <w:szCs w:val="20"/>
              </w:rPr>
              <w:t xml:space="preserve">Comment Épictète reformulerait-il la situation ?</w:t>
            </w:r>
          </w:p>
        </w:tc>
        <w:tc>
          <w:tcPr>
            <w:shd w:fill="FFFFFF" w:val="clear"/>
          </w:tcPr>
          <w:p>
            <w:r>
              <w:rPr>
                <w:rFonts w:ascii="Times New Roman" w:cs="Times New Roman" w:eastAsia="Times New Roman" w:hAnsi="Times New Roman"/>
                <w:sz w:val="20"/>
                <w:szCs w:val="20"/>
              </w:rPr>
              <w:t xml:space="preserve"/>
            </w:r>
          </w:p>
        </w:tc>
      </w:tr>
    </w:tbl>
    <w:p>
      <w:r>
        <w:t xml:space="preserve"/>
      </w:r>
    </w:p>
    <w:p>
      <w:pPr>
        <w:pStyle w:val="Heading3"/>
        <w:spacing w:after="60" w:before="200"/>
      </w:pPr>
      <w:r>
        <w:rPr>
          <w:rFonts w:ascii="Times New Roman" w:cs="Times New Roman" w:eastAsia="Times New Roman" w:hAnsi="Times New Roman"/>
          <w:b/>
          <w:bCs/>
          <w:color w:val="1F2937"/>
          <w:sz w:val="26"/>
          <w:szCs w:val="26"/>
        </w:rPr>
        <w:t xml:space="preserve">Exercice 2 — Journal stoïcien du matin (format Épictète)</w:t>
      </w:r>
    </w:p>
    <w:p>
      <w:pPr>
        <w:spacing w:after="60" w:before="60"/>
      </w:pPr>
      <w:r>
        <w:rPr>
          <w:rFonts w:ascii="Times New Roman" w:cs="Times New Roman" w:eastAsia="Times New Roman" w:hAnsi="Times New Roman"/>
          <w:b w:val="false"/>
          <w:bCs w:val="false"/>
          <w:i w:val="false"/>
          <w:iCs w:val="false"/>
          <w:color w:val="1F2937"/>
          <w:sz w:val="22"/>
          <w:szCs w:val="22"/>
        </w:rPr>
        <w:t xml:space="preserve">Durée estimée : 10 minutes par jour, 5 jours</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Épictète recommandait de commencer chaque journée en ancrant les principes dans l'esprit. Cet exercice reprend sa méthode et la structure en 4 temps — à pratiquer chaque matin pendant 5 jours consécutifs.</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Format du journal (à écrire sur papier ou dans un carnet dédié) :</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TEMPS 1 — La revue des intentions (2 min) : "Aujourd'hui, quelles situations risquent de mettre à l'épreuve ma prohairesis ?" Anticipe 2-3 moments délicats (réunion tendue, décision difficile, interaction émotionnelle).</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TEMPS 2 — La maxime du jour (2 min) : Choisis un chapitre de l'Enchiridion (tourne au hasard ou suis l'ordre). Recopie-le à la main. Explique en une phrase pourquoi il est pertinent aujourd'hui.</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TEMPS 3 — L'engagement concret (2 min) : "Face à [situation anticipée], je vais appliquer ce principe en faisant concrètement [action]."</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TEMPS 4 — Le soir : bilan (3 min) : "Ai-je tenu mon engagement ? Qu'est-ce qui a résisté ? Qu'est-ce que je ferais différemment demain ?"</w:t>
      </w:r>
    </w:p>
    <w:p>
      <w:r>
        <w:t xml:space="preserve"/>
      </w:r>
    </w:p>
    <w:p>
      <w:pPr>
        <w:spacing w:after="60" w:before="60"/>
      </w:pPr>
      <w:r>
        <w:rPr>
          <w:rFonts w:ascii="Times New Roman" w:cs="Times New Roman" w:eastAsia="Times New Roman" w:hAnsi="Times New Roman"/>
          <w:b w:val="false"/>
          <w:bCs w:val="false"/>
          <w:i/>
          <w:iCs/>
          <w:color w:val="1F2937"/>
          <w:sz w:val="22"/>
          <w:szCs w:val="22"/>
        </w:rPr>
        <w:t xml:space="preserve">Astuce mémorisation : numérote les chapitres de l'Enchiridion que tu as déjà utilisés. Objectif : les avoir tous traversés en 53 jours.</w:t>
      </w:r>
    </w:p>
    <w:p>
      <w:r>
        <w:t xml:space="preserve"/>
      </w:r>
    </w:p>
    <w:p>
      <w:pPr>
        <w:pStyle w:val="Heading3"/>
        <w:spacing w:after="60" w:before="200"/>
      </w:pPr>
      <w:r>
        <w:rPr>
          <w:rFonts w:ascii="Times New Roman" w:cs="Times New Roman" w:eastAsia="Times New Roman" w:hAnsi="Times New Roman"/>
          <w:b/>
          <w:bCs/>
          <w:color w:val="1F2937"/>
          <w:sz w:val="26"/>
          <w:szCs w:val="26"/>
        </w:rPr>
        <w:t xml:space="preserve">Exercice 3 — Mémorisation active : les "deux anses" (ch. 43)</w:t>
      </w:r>
    </w:p>
    <w:p>
      <w:pPr>
        <w:spacing w:after="60" w:before="60"/>
      </w:pPr>
      <w:r>
        <w:rPr>
          <w:rFonts w:ascii="Times New Roman" w:cs="Times New Roman" w:eastAsia="Times New Roman" w:hAnsi="Times New Roman"/>
          <w:b w:val="false"/>
          <w:bCs w:val="false"/>
          <w:i w:val="false"/>
          <w:iCs w:val="false"/>
          <w:color w:val="1F2937"/>
          <w:sz w:val="22"/>
          <w:szCs w:val="22"/>
        </w:rPr>
        <w:t xml:space="preserve">Durée estimée : 15 minutes</w:t>
      </w:r>
    </w:p>
    <w:p>
      <w:r>
        <w:t xml:space="preserve"/>
      </w:r>
    </w:p>
    <w:p>
      <w:pPr>
        <w:shd w:fill="EEF2F7" w:val="clear"/>
        <w:spacing w:after="120" w:before="120"/>
        <w:ind w:left="576" w:right="576"/>
      </w:pPr>
      <w:r>
        <w:rPr>
          <w:rFonts w:ascii="Times New Roman" w:cs="Times New Roman" w:eastAsia="Times New Roman" w:hAnsi="Times New Roman"/>
          <w:i/>
          <w:iCs/>
          <w:color w:val="1B3A6B"/>
          <w:sz w:val="22"/>
          <w:szCs w:val="22"/>
        </w:rPr>
        <w:t xml:space="preserve">“Toute chose a deux anses : l'une par laquelle elle se porte, l'autre par laquelle elle ne se porte pas. Si ton frère t'a fait une injustice, ne la prends pas par l'anse qu'il t'a faite une injustice — elle ne se porte pas par là. Prends-la par l'autre anse : c'est ton frère, c'est quelqu'un avec qui tu as grandi — et elle se portera.”</w:t>
      </w:r>
      <w:r>
        <w:rPr>
          <w:rFonts w:ascii="Times New Roman" w:cs="Times New Roman" w:eastAsia="Times New Roman" w:hAnsi="Times New Roman"/>
          <w:b/>
          <w:bCs/>
          <w:color w:val="1B3A6B"/>
          <w:sz w:val="20"/>
          <w:szCs w:val="20"/>
        </w:rPr>
        <w:t xml:space="preserve">  — Enchiridion, ch. 43</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Protocole :</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Choisis 3 situations récentes dans ta vie professionnelle ou personnelle où tu as "pris la mauvaise anse" — où tu t'es focalisé sur ce qui ne dépendait pas de toi (l'injustice, le comportement de l'autre, le contexte défavorable).</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Pour chacune, formule la "bonne anse" : quel aspect de la situation pouvais-tu saisir par le côté constructif, par ce qui dépendait de toi ?</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Écris 2 colonnes : "Mauvaise anse (j'ai pris par là)" / "Bonne anse (j'aurais pu prendre par là)".</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Mémorise la métaphore des deux anses en la dessinant (un amphore avec deux poignées étiquetées). Colle ce dessin dans ton carnet.</w:t>
      </w:r>
    </w:p>
    <w:p>
      <w:r>
        <w:t xml:space="preserve"/>
      </w:r>
    </w:p>
    <w:p>
      <w:pPr>
        <w:spacing w:after="60" w:before="60"/>
      </w:pPr>
      <w:r>
        <w:rPr>
          <w:rFonts w:ascii="Times New Roman" w:cs="Times New Roman" w:eastAsia="Times New Roman" w:hAnsi="Times New Roman"/>
          <w:b w:val="false"/>
          <w:bCs w:val="false"/>
          <w:i/>
          <w:iCs/>
          <w:color w:val="1F2937"/>
          <w:sz w:val="22"/>
          <w:szCs w:val="22"/>
        </w:rPr>
        <w:t xml:space="preserve">Ce chapitre est l'un des plus opérationnels de tout l'Enchiridion. Une fois ancré, il devient un réflexe : face à toute friction relationnelle, le premier geste mental est de chercher "par quelle anse je prends ça".</w:t>
      </w:r>
    </w:p>
    <w:p>
      <w:r>
        <w:t xml:space="preserve"/>
      </w:r>
    </w:p>
    <w:p>
      <w:pPr>
        <w:pBdr>
          <w:bottom w:val="single" w:color="1B3A6B" w:sz="6"/>
        </w:pBdr>
        <w:spacing w:after="60" w:before="60"/>
      </w:pPr>
    </w:p>
    <w:p>
      <w:pPr>
        <w:pStyle w:val="Heading2"/>
        <w:spacing w:after="80" w:before="300"/>
      </w:pPr>
      <w:r>
        <w:rPr>
          <w:rFonts w:ascii="Times New Roman" w:cs="Times New Roman" w:eastAsia="Times New Roman" w:hAnsi="Times New Roman"/>
          <w:b/>
          <w:bCs/>
          <w:color w:val="1B3A6B"/>
          <w:sz w:val="30"/>
          <w:szCs w:val="30"/>
        </w:rPr>
        <w:t xml:space="preserve">🎯 Challenge de synthèse — Le manuel personnel</w:t>
      </w:r>
    </w:p>
    <w:p>
      <w:pPr>
        <w:spacing w:after="60" w:before="60"/>
      </w:pPr>
      <w:r>
        <w:rPr>
          <w:rFonts w:ascii="Times New Roman" w:cs="Times New Roman" w:eastAsia="Times New Roman" w:hAnsi="Times New Roman"/>
          <w:b w:val="false"/>
          <w:bCs w:val="false"/>
          <w:i w:val="false"/>
          <w:iCs w:val="false"/>
          <w:color w:val="1F2937"/>
          <w:sz w:val="22"/>
          <w:szCs w:val="22"/>
        </w:rPr>
        <w:t xml:space="preserve">Durée estimée : 30 à 45 minutes</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Épictète n'a pas écrit l'Enchiridion pour lui-même : son disciple Arrien l'a fait pour lui et pour les lecteurs. À toi maintenant de faire la même chose pour toi.</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Consigne :</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Parcours l'intégralité de l'Enchiridion (53 chapitres — lien cliquable en Ressources).</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Sélectionne les 10 maximes qui résonnent le plus avec ta vie actuelle.</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Pour chacune : recopie le chapitre en entier, reformule-le en une phrase simple, donne un exemple de situation concrète où tu pourrais l'appliquer.</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Organise ces 10 maximes en 3 catégories de ton choix (ex. : "Désirs et peurs", "Relations", "Travail et responsabilité").</w:t>
      </w:r>
    </w:p>
    <w:p>
      <w:pPr>
        <w:pStyle w:val="ListParagraph"/>
        <w:numPr>
          <w:ilvl w:val="0"/>
          <w:numId w:val="1"/>
        </w:numPr>
        <w:spacing w:after="40" w:before="40"/>
        <w:ind w:left="431"/>
      </w:pPr>
      <w:r>
        <w:rPr>
          <w:rFonts w:ascii="Times New Roman" w:cs="Times New Roman" w:eastAsia="Times New Roman" w:hAnsi="Times New Roman"/>
          <w:color w:val="1F2937"/>
          <w:sz w:val="22"/>
          <w:szCs w:val="22"/>
        </w:rPr>
        <w:t xml:space="preserve">Ce document est ton Enchiridion personnel — ton "manuel à la main". Tu peux le faire tenir en 1-2 pages, format mémo.</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Critère de réussite : tu dois pouvoir réciter de mémoire les 3 catégories et au moins 3 maximes mot pour mot à la fin de la semaine.</w:t>
      </w:r>
    </w:p>
    <w:p>
      <w:r>
        <w:t xml:space="preserve"/>
      </w:r>
    </w:p>
    <w:p>
      <w:pPr>
        <w:pBdr>
          <w:bottom w:val="single" w:color="1B3A6B" w:sz="6"/>
        </w:pBdr>
        <w:spacing w:after="60" w:before="60"/>
      </w:pPr>
    </w:p>
    <w:p>
      <w:pPr>
        <w:pStyle w:val="Heading2"/>
        <w:spacing w:after="80" w:before="300"/>
      </w:pPr>
      <w:r>
        <w:rPr>
          <w:rFonts w:ascii="Times New Roman" w:cs="Times New Roman" w:eastAsia="Times New Roman" w:hAnsi="Times New Roman"/>
          <w:b/>
          <w:bCs/>
          <w:color w:val="1B3A6B"/>
          <w:sz w:val="30"/>
          <w:szCs w:val="30"/>
        </w:rPr>
        <w:t xml:space="preserve">🌉 Pont professionnel</w:t>
      </w:r>
    </w:p>
    <w:p>
      <w:pPr>
        <w:spacing w:after="60" w:before="60"/>
      </w:pPr>
      <w:r>
        <w:rPr>
          <w:rFonts w:ascii="Times New Roman" w:cs="Times New Roman" w:eastAsia="Times New Roman" w:hAnsi="Times New Roman"/>
          <w:b w:val="false"/>
          <w:bCs w:val="false"/>
          <w:i w:val="false"/>
          <w:iCs w:val="false"/>
          <w:color w:val="1F2937"/>
          <w:sz w:val="22"/>
          <w:szCs w:val="22"/>
        </w:rPr>
        <w:t xml:space="preserve">En ESSMS, la gestion d'équipe expose régulièrement à des impressions-choc : un professionnel qui se plaint d'une décision, une situation dégradée qu'on n'a pas anticipée, une remarque de la direction perçue comme injuste. La grille d'Épictète offre un protocole intérieur rapide : avant de réagir, identifier si la perturbation vient de l'événement ou de mon jugement sur l'événement. La prohairesis en management, c'est choisir délibérément sa réponse plutôt que de réagir automatiquement — compétence d'autant plus utile que la charge émotionnelle du secteur médico-social est structurellement élevée.</w:t>
      </w:r>
    </w:p>
    <w:p>
      <w:r>
        <w:t xml:space="preserve"/>
      </w:r>
    </w:p>
    <w:p>
      <w:pPr>
        <w:pBdr>
          <w:bottom w:val="single" w:color="1B3A6B" w:sz="6"/>
        </w:pBdr>
        <w:spacing w:after="60" w:before="60"/>
      </w:pPr>
    </w:p>
    <w:p>
      <w:pPr>
        <w:pStyle w:val="Heading2"/>
        <w:spacing w:after="80" w:before="300"/>
      </w:pPr>
      <w:r>
        <w:rPr>
          <w:rFonts w:ascii="Times New Roman" w:cs="Times New Roman" w:eastAsia="Times New Roman" w:hAnsi="Times New Roman"/>
          <w:b/>
          <w:bCs/>
          <w:color w:val="1B3A6B"/>
          <w:sz w:val="30"/>
          <w:szCs w:val="30"/>
        </w:rPr>
        <w:t xml:space="preserve">📚 Ressources cliquables</w:t>
      </w:r>
    </w:p>
    <w:p>
      <w:pPr>
        <w:spacing w:after="60" w:before="60"/>
      </w:pPr>
      <w:r>
        <w:rPr>
          <w:rFonts w:ascii="Times New Roman" w:cs="Times New Roman" w:eastAsia="Times New Roman" w:hAnsi="Times New Roman"/>
          <w:b w:val="false"/>
          <w:bCs w:val="false"/>
          <w:i w:val="false"/>
          <w:iCs w:val="false"/>
          <w:color w:val="1F2937"/>
          <w:sz w:val="22"/>
          <w:szCs w:val="22"/>
        </w:rPr>
        <w:t xml:space="preserve">Textes originaux :</w:t>
      </w:r>
    </w:p>
    <w:p>
      <w:pPr>
        <w:spacing w:after="40" w:before="40"/>
      </w:pPr>
      <w:hyperlink w:history="1" r:id="rIdb3pgjdhq8u8cjweom0nut">
        <w:r>
          <w:rPr>
            <w:rFonts w:ascii="Times New Roman" w:cs="Times New Roman" w:eastAsia="Times New Roman" w:hAnsi="Times New Roman"/>
            <w:color w:val="1155CC"/>
            <w:sz w:val="22"/>
            <w:szCs w:val="22"/>
            <w:u w:val="single"/>
          </w:rPr>
          <w:t xml:space="preserve">Épictète — Enchiridion (texte intégral, MIT Classics)</w:t>
        </w:r>
      </w:hyperlink>
    </w:p>
    <w:p>
      <w:pPr>
        <w:spacing w:after="40" w:before="40"/>
      </w:pPr>
      <w:hyperlink w:history="1" r:id="rIdutxg1kravej7-mm_u7u7p">
        <w:r>
          <w:rPr>
            <w:rFonts w:ascii="Times New Roman" w:cs="Times New Roman" w:eastAsia="Times New Roman" w:hAnsi="Times New Roman"/>
            <w:color w:val="1155CC"/>
            <w:sz w:val="22"/>
            <w:szCs w:val="22"/>
            <w:u w:val="single"/>
          </w:rPr>
          <w:t xml:space="preserve">Marc Aurèle — Méditations (texte intégral, MIT Classics)</w:t>
        </w:r>
      </w:hyperlink>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Références encyclopédiques :</w:t>
      </w:r>
    </w:p>
    <w:p>
      <w:pPr>
        <w:spacing w:after="40" w:before="40"/>
      </w:pPr>
      <w:hyperlink w:history="1" r:id="rIdxswhstorsv-nefyleyovk">
        <w:r>
          <w:rPr>
            <w:rFonts w:ascii="Times New Roman" w:cs="Times New Roman" w:eastAsia="Times New Roman" w:hAnsi="Times New Roman"/>
            <w:color w:val="1155CC"/>
            <w:sz w:val="22"/>
            <w:szCs w:val="22"/>
            <w:u w:val="single"/>
          </w:rPr>
          <w:t xml:space="preserve">Stoïcisme — Stanford Encyclopedia of Philosophy</w:t>
        </w:r>
      </w:hyperlink>
    </w:p>
    <w:p>
      <w:pPr>
        <w:spacing w:after="40" w:before="40"/>
      </w:pPr>
      <w:hyperlink w:history="1" r:id="rId9fuvtc4_om6v1v_m3eepp">
        <w:r>
          <w:rPr>
            <w:rFonts w:ascii="Times New Roman" w:cs="Times New Roman" w:eastAsia="Times New Roman" w:hAnsi="Times New Roman"/>
            <w:color w:val="1155CC"/>
            <w:sz w:val="22"/>
            <w:szCs w:val="22"/>
            <w:u w:val="single"/>
          </w:rPr>
          <w:t xml:space="preserve">Manuel d'Épictète — Wikipedia (français)</w:t>
        </w:r>
      </w:hyperlink>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Ressources pratiques :</w:t>
      </w:r>
    </w:p>
    <w:p>
      <w:pPr>
        <w:spacing w:after="40" w:before="40"/>
      </w:pPr>
      <w:hyperlink w:history="1" r:id="rId66dkg3hgjg8pihpcbav-y">
        <w:r>
          <w:rPr>
            <w:rFonts w:ascii="Times New Roman" w:cs="Times New Roman" w:eastAsia="Times New Roman" w:hAnsi="Times New Roman"/>
            <w:color w:val="1155CC"/>
            <w:sz w:val="22"/>
            <w:szCs w:val="22"/>
            <w:u w:val="single"/>
          </w:rPr>
          <w:t xml:space="preserve">Épictète — Daily Stoic (biographie et exercices)</w:t>
        </w:r>
      </w:hyperlink>
    </w:p>
    <w:p>
      <w:pPr>
        <w:spacing w:after="40" w:before="40"/>
      </w:pPr>
      <w:hyperlink w:history="1" r:id="rIdw5r1bvnnehgjh1p9w9rrr">
        <w:r>
          <w:rPr>
            <w:rFonts w:ascii="Times New Roman" w:cs="Times New Roman" w:eastAsia="Times New Roman" w:hAnsi="Times New Roman"/>
            <w:color w:val="1155CC"/>
            <w:sz w:val="22"/>
            <w:szCs w:val="22"/>
            <w:u w:val="single"/>
          </w:rPr>
          <w:t xml:space="preserve">Épictète pour les nuls — Resilient Stoïque (guide pratique, français)</w:t>
        </w:r>
      </w:hyperlink>
    </w:p>
    <w:p>
      <w:pPr>
        <w:spacing w:after="40" w:before="40"/>
      </w:pPr>
      <w:hyperlink w:history="1" r:id="rIdcgprxqp3-34wwexa1ec9p">
        <w:r>
          <w:rPr>
            <w:rFonts w:ascii="Times New Roman" w:cs="Times New Roman" w:eastAsia="Times New Roman" w:hAnsi="Times New Roman"/>
            <w:color w:val="1155CC"/>
            <w:sz w:val="22"/>
            <w:szCs w:val="22"/>
            <w:u w:val="single"/>
          </w:rPr>
          <w:t xml:space="preserve">Le Manuel d'Épictète : Enchiridion guide — Resilient Stoïque</w:t>
        </w:r>
      </w:hyperlink>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 Source inaccessible ce jour :</w:t>
      </w:r>
    </w:p>
    <w:p>
      <w:pPr>
        <w:spacing w:after="60" w:before="60"/>
      </w:pPr>
      <w:r>
        <w:rPr>
          <w:rFonts w:ascii="Times New Roman" w:cs="Times New Roman" w:eastAsia="Times New Roman" w:hAnsi="Times New Roman"/>
          <w:b w:val="false"/>
          <w:bCs w:val="false"/>
          <w:i/>
          <w:iCs/>
          <w:color w:val="9B1C1C"/>
          <w:sz w:val="22"/>
          <w:szCs w:val="22"/>
        </w:rPr>
        <w:t xml:space="preserve">iep.utm.edu/epictetus/ — Erreur 404 au moment de la génération.</w:t>
      </w:r>
    </w:p>
    <w:p>
      <w:r>
        <w:t xml:space="preserve"/>
      </w:r>
    </w:p>
    <w:p>
      <w:pPr>
        <w:pBdr>
          <w:bottom w:val="single" w:color="1B3A6B" w:sz="6"/>
        </w:pBdr>
        <w:spacing w:after="60" w:before="60"/>
      </w:pPr>
    </w:p>
    <w:p>
      <w:pPr>
        <w:pStyle w:val="Heading2"/>
        <w:spacing w:after="80" w:before="300"/>
      </w:pPr>
      <w:r>
        <w:rPr>
          <w:rFonts w:ascii="Times New Roman" w:cs="Times New Roman" w:eastAsia="Times New Roman" w:hAnsi="Times New Roman"/>
          <w:b/>
          <w:bCs/>
          <w:color w:val="1B3A6B"/>
          <w:sz w:val="30"/>
          <w:szCs w:val="30"/>
        </w:rPr>
        <w:t xml:space="preserve">🔜 Prochaine leçon — n°05</w:t>
      </w:r>
    </w:p>
    <w:p>
      <w:pPr>
        <w:shd w:fill="EEF2F7" w:val="clear"/>
        <w:spacing w:after="60" w:before="60"/>
      </w:pPr>
      <w:r>
        <w:rPr>
          <w:rFonts w:ascii="Times New Roman" w:cs="Times New Roman" w:eastAsia="Times New Roman" w:hAnsi="Times New Roman"/>
          <w:b/>
          <w:bCs/>
          <w:color w:val="1B3A6B"/>
          <w:sz w:val="24"/>
          <w:szCs w:val="24"/>
        </w:rPr>
        <w:t xml:space="preserve">Marc Aurèle et les Pensées pour moi-même — le journal philosophique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Après Épictète le maître, son disciple le plus illustre : un empereur romain qui pratiqua quotidiennement la philosophie stoïcienne dans un carnet privé jamais destiné à être publié. Nous lirons les Méditations comme un journal de pratique — et nous en ferons autant.</w:t>
      </w:r>
    </w:p>
    <w:p>
      <w:r>
        <w:t xml:space="preserve"/>
      </w:r>
    </w:p>
    <w:p>
      <w:pPr>
        <w:spacing w:after="60" w:before="60"/>
      </w:pPr>
      <w:r>
        <w:rPr>
          <w:rFonts w:ascii="Times New Roman" w:cs="Times New Roman" w:eastAsia="Times New Roman" w:hAnsi="Times New Roman"/>
          <w:b w:val="false"/>
          <w:bCs w:val="false"/>
          <w:i/>
          <w:iCs/>
          <w:color w:val="1F2937"/>
          <w:sz w:val="22"/>
          <w:szCs w:val="22"/>
        </w:rPr>
        <w:t xml:space="preserve">À faire d'ici là : lis au moins 10 chapitres de l'Enchiridion et complète ton journal stoïcien pendant 5 jours.</w:t>
      </w:r>
    </w:p>
    <w:p>
      <w:r>
        <w:t xml:space="preserve"/>
      </w:r>
    </w:p>
    <w:p>
      <w:pPr>
        <w:pBdr>
          <w:bottom w:val="single" w:color="1B3A6B" w:sz="6"/>
        </w:pBdr>
        <w:spacing w:after="60" w:before="60"/>
      </w:pPr>
    </w:p>
    <w:p>
      <w:pPr>
        <w:spacing w:after="0" w:before="120"/>
        <w:jc w:val="center"/>
      </w:pPr>
      <w:r>
        <w:rPr>
          <w:rFonts w:ascii="Times New Roman" w:cs="Times New Roman" w:eastAsia="Times New Roman" w:hAnsi="Times New Roman"/>
          <w:i/>
          <w:iCs/>
          <w:color w:val="9CA3AF"/>
          <w:sz w:val="18"/>
          <w:szCs w:val="18"/>
        </w:rPr>
        <w:t xml:space="preserve">Parcours Stoïcisme — Leçon 04/12  •  Généré le 25 juin 2026  •  Claude Code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3pgjdhq8u8cjweom0nut" Type="http://schemas.openxmlformats.org/officeDocument/2006/relationships/hyperlink" Target="https://classics.mit.edu/Epictetus/epicench.html" TargetMode="External"/><Relationship Id="rIdutxg1kravej7-mm_u7u7p" Type="http://schemas.openxmlformats.org/officeDocument/2006/relationships/hyperlink" Target="https://classics.mit.edu/Antoninus/meditations.html" TargetMode="External"/><Relationship Id="rIdxswhstorsv-nefyleyovk" Type="http://schemas.openxmlformats.org/officeDocument/2006/relationships/hyperlink" Target="https://plato.stanford.edu/entries/stoicism/" TargetMode="External"/><Relationship Id="rId9fuvtc4_om6v1v_m3eepp" Type="http://schemas.openxmlformats.org/officeDocument/2006/relationships/hyperlink" Target="https://fr.wikipedia.org/wiki/Manuel_d%27%C3%89pict%C3%A8te" TargetMode="External"/><Relationship Id="rId66dkg3hgjg8pihpcbav-y" Type="http://schemas.openxmlformats.org/officeDocument/2006/relationships/hyperlink" Target="https://dailystoic.com/epictetus/" TargetMode="External"/><Relationship Id="rIdw5r1bvnnehgjh1p9w9rrr" Type="http://schemas.openxmlformats.org/officeDocument/2006/relationships/hyperlink" Target="https://resilientstoique.com/epictete-manuel-stoicisme-guide/" TargetMode="External"/><Relationship Id="rIdcgprxqp3-34wwexa1ec9p" Type="http://schemas.openxmlformats.org/officeDocument/2006/relationships/hyperlink" Target="https://resilientstoique.com/le-manuel-depictete-lenchiridion-le-chemin-vers-le-stoicisme/"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Stoïcisme n°04 — Épictète et le Manuel (Enchiridion)</dc:title>
  <dc:creator>Claude Code — Job Stoïcisme</dc:creator>
  <dc:description>Parcours d'apprentissage progressif du stoïcisme — Leçon 04</dc:description>
  <cp:lastModifiedBy>Un-named</cp:lastModifiedBy>
  <cp:revision>1</cp:revision>
  <dcterms:created xsi:type="dcterms:W3CDTF">2026-06-25T06:06:53.912Z</dcterms:created>
  <dcterms:modified xsi:type="dcterms:W3CDTF">2026-06-25T06:06:53.956Z</dcterms:modified>
</cp:coreProperties>
</file>

<file path=docProps/custom.xml><?xml version="1.0" encoding="utf-8"?>
<Properties xmlns="http://schemas.openxmlformats.org/officeDocument/2006/custom-properties" xmlns:vt="http://schemas.openxmlformats.org/officeDocument/2006/docPropsVTypes"/>
</file>