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Ennéagramme n°17 — L'ennéagramme dans la relation : couple, famille, conflits</w:t>
      </w:r>
    </w:p>
    <w:p>
      <w:pPr>
        <w:spacing w:after="80" w:before="80"/>
      </w:pPr>
      <w:r>
        <w:rPr>
          <w:rFonts w:ascii="Times New Roman" w:cs="Times New Roman" w:eastAsia="Times New Roman" w:hAnsi="Times New Roman"/>
          <w:b/>
          <w:bCs/>
          <w:i w:val="false"/>
          <w:iCs w:val="false"/>
          <w:color w:val="1B3A6B"/>
          <w:sz w:val="22"/>
          <w:szCs w:val="22"/>
        </w:rPr>
        <w:t xml:space="preserve">Date : 23 septembre 2026   |   Leçon 17 / 20</w:t>
      </w:r>
    </w:p>
    <w:p>
      <w:pPr>
        <w:pBdr>
          <w:bottom w:val="single" w:color="1B3A6B" w:sz="6"/>
        </w:pBdr>
        <w:spacing w:after="100" w:before="100"/>
      </w:pP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décrire les mécanismes par lesquels les types ennéagramme génèrent des dynamiques relationnelles prévisibles (synergies, tensions, cercles de conflit)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ton propre réflexe défensif en relation et la peur sous-jacente qui l'alimente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appliquer un protocole de réparation structuré à une relation concrète.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1F2937"/>
          <w:sz w:val="22"/>
          <w:szCs w:val="22"/>
        </w:rPr>
        <w:t xml:space="preserve">Continuité avec la leçon précédente : la leçon 16 a exploré les triades hornéviennes (types conformistes, retraités, assertifs) et harmoniques (types positifs, compétents, réactifs). Ces triades décrivent précisément comment chaque type gère l'adversité et les émotions difficiles — ce qui constitue le socle de cette leçon sur les dynamiques relationnelles.</w:t>
      </w:r>
    </w:p>
    <w:p>
      <w:pPr>
        <w:pBdr>
          <w:bottom w:val="single" w:color="1B3A6B" w:sz="6"/>
        </w:pBdr>
        <w:spacing w:after="100" w:before="100"/>
      </w:pPr>
    </w:p>
    <w:p>
      <w:pPr>
        <w:pStyle w:val="Heading2"/>
        <w:spacing w:after="10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Un principe fondateur : aucune combinaison n'est condamnée</w:t>
      </w:r>
    </w:p>
    <w:p>
      <w:pPr>
        <w:spacing w:after="80" w:before="80"/>
      </w:pPr>
      <w:r>
        <w:rPr>
          <w:rFonts w:ascii="Times New Roman" w:cs="Times New Roman" w:eastAsia="Times New Roman" w:hAnsi="Times New Roman"/>
          <w:b w:val="false"/>
          <w:bCs w:val="false"/>
          <w:i w:val="false"/>
          <w:iCs w:val="false"/>
          <w:color w:val="1F2937"/>
          <w:sz w:val="22"/>
          <w:szCs w:val="22"/>
        </w:rPr>
        <w:t xml:space="preserve">L'Enneagram Institute formule ainsi la position de référence sur la compatibilité entre types : selon la page consacrée aux combinaisons de types, aucune paire n'est particulièrement favorisée, et aucune n'est particulièrement vouée à l'échec. Ce qui détermine la qualité d'une relation, ce sont trois facteurs interdépendants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niveau de santé psychologique de chaque personne (cf. leçon 14 sur les niveaux de développement Riso-Hudson)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type ennéagramme de chacun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schémas instinctuels en jeu (conservation, social, sexuel — cf. leçon 15 sur les 27 sous-types).</w:t>
      </w:r>
    </w:p>
    <w:p>
      <w:pPr>
        <w:spacing w:after="80" w:before="80"/>
      </w:pPr>
      <w:r>
        <w:rPr>
          <w:rFonts w:ascii="Times New Roman" w:cs="Times New Roman" w:eastAsia="Times New Roman" w:hAnsi="Times New Roman"/>
          <w:b w:val="false"/>
          <w:bCs w:val="false"/>
          <w:i w:val="false"/>
          <w:iCs w:val="false"/>
          <w:color w:val="1F2937"/>
          <w:sz w:val="22"/>
          <w:szCs w:val="22"/>
        </w:rPr>
        <w:t xml:space="preserve">Ce cadre résiste à l'usage populaire qui consiste à chercher la « meilleure combinaison ». La compatibilité n'est pas une propriété des types — c'est le fruit du développement personnel et de la capacité de réparation.</w:t>
      </w:r>
    </w:p>
    <w:p>
      <w:pPr>
        <w:pStyle w:val="Heading3"/>
        <w:spacing w:after="80" w:before="200"/>
      </w:pPr>
      <w:r>
        <w:rPr>
          <w:rFonts w:ascii="Times New Roman" w:cs="Times New Roman" w:eastAsia="Times New Roman" w:hAnsi="Times New Roman"/>
          <w:b/>
          <w:bCs/>
          <w:color w:val="1F2937"/>
          <w:sz w:val="26"/>
          <w:szCs w:val="26"/>
        </w:rPr>
        <w:t xml:space="preserve">2. Les 45 combinaisons et leurs trois dimensions (approche Daniels)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Dr David Daniels (M.D., de la lignée de The Narrative Enneagram — les deux mentions que porte sa page) décrit 45 combinaisons possibles — chaque paire de types parmi les neuf. Pour chaque paire, son modèle distingue trois dimensions d'exploration :</w:t>
      </w:r>
      <w:r>
        <w:rPr>
          <w:rFonts w:ascii="Times New Roman" w:cs="Times New Roman" w:eastAsia="Times New Roman" w:hAnsi="Times New Roman"/>
          <w:i/>
          <w:iCs/>
          <w:color w:val="6B7280"/>
          <w:sz w:val="20"/>
          <w:szCs w:val="20"/>
        </w:rPr>
        <w:t xml:space="preserve"> [Corrigé le 24/09/2026 : « médecin et professeur à Stanford, co-fondateur de l'Enneagram Worldwide ». Sur la page citée : « professor » 0 occurrence, « psychiatry » 0, « co-founder » 0, « Enneagram Worldwide » 0 ; « Stanford » n'y apparaît que dans un item de menu. La page porte « M.D. » et nomme « The Narrative Enneagram ». Les deux qualités retirées sont plausibles — elles ne sont pas sur la source.]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c>
          <w:tcPr>
            <w:tcW w:type="dxa" w:w="3000"/>
            <w:shd w:fill="1B3A6B" w:val="clear"/>
          </w:tcPr>
          <w:p>
            <w:pPr>
              <w:jc w:val="center"/>
            </w:pPr>
            <w:r>
              <w:rPr>
                <w:rFonts w:ascii="Times New Roman" w:cs="Times New Roman" w:eastAsia="Times New Roman" w:hAnsi="Times New Roman"/>
                <w:b/>
                <w:bCs/>
                <w:color w:val="FFFFFF"/>
                <w:sz w:val="20"/>
                <w:szCs w:val="20"/>
              </w:rPr>
              <w:t xml:space="preserve">Dimension</w:t>
            </w:r>
          </w:p>
        </w:tc>
        <w:tc>
          <w:tcPr>
            <w:tcW w:type="dxa" w:w="3000"/>
            <w:shd w:fill="1B3A6B" w:val="clear"/>
          </w:tcPr>
          <w:p>
            <w:pPr>
              <w:jc w:val="center"/>
            </w:pPr>
            <w:r>
              <w:rPr>
                <w:rFonts w:ascii="Times New Roman" w:cs="Times New Roman" w:eastAsia="Times New Roman" w:hAnsi="Times New Roman"/>
                <w:b/>
                <w:bCs/>
                <w:color w:val="FFFFFF"/>
                <w:sz w:val="20"/>
                <w:szCs w:val="20"/>
              </w:rPr>
              <w:t xml:space="preserve">Question centrale</w:t>
            </w:r>
          </w:p>
        </w:tc>
        <w:tc>
          <w:tcPr>
            <w:tcW w:type="dxa" w:w="3000"/>
            <w:shd w:fill="1B3A6B" w:val="clear"/>
          </w:tcPr>
          <w:p>
            <w:pPr>
              <w:jc w:val="center"/>
            </w:pPr>
            <w:r>
              <w:rPr>
                <w:rFonts w:ascii="Times New Roman" w:cs="Times New Roman" w:eastAsia="Times New Roman" w:hAnsi="Times New Roman"/>
                <w:b/>
                <w:bCs/>
                <w:color w:val="FFFFFF"/>
                <w:sz w:val="20"/>
                <w:szCs w:val="20"/>
              </w:rPr>
              <w:t xml:space="preserve">Ce que cela produit</w:t>
            </w:r>
          </w:p>
        </w:tc>
      </w:tr>
      <w:tr>
        <w:tc>
          <w:tcPr>
            <w:tcW w:type="dxa" w:w="3000"/>
            <w:shd w:fill="FFFFFF" w:val="clear"/>
          </w:tcPr>
          <w:p>
            <w:r>
              <w:rPr>
                <w:rFonts w:ascii="Times New Roman" w:cs="Times New Roman" w:eastAsia="Times New Roman" w:hAnsi="Times New Roman"/>
                <w:color w:val="1F2937"/>
                <w:sz w:val="20"/>
                <w:szCs w:val="20"/>
              </w:rPr>
              <w:t xml:space="preserve">Ce que je dois reconnaître</w:t>
            </w:r>
          </w:p>
        </w:tc>
        <w:tc>
          <w:tcPr>
            <w:tcW w:type="dxa" w:w="3000"/>
            <w:shd w:fill="FFFFFF" w:val="clear"/>
          </w:tcPr>
          <w:p>
            <w:r>
              <w:rPr>
                <w:rFonts w:ascii="Times New Roman" w:cs="Times New Roman" w:eastAsia="Times New Roman" w:hAnsi="Times New Roman"/>
                <w:color w:val="1F2937"/>
                <w:sz w:val="20"/>
                <w:szCs w:val="20"/>
              </w:rPr>
              <w:t xml:space="preserve">Quelle est ma part dans les difficultés de cette relation ?</w:t>
            </w:r>
          </w:p>
        </w:tc>
        <w:tc>
          <w:tcPr>
            <w:tcW w:type="dxa" w:w="3000"/>
            <w:shd w:fill="FFFFFF" w:val="clear"/>
          </w:tcPr>
          <w:p>
            <w:r>
              <w:rPr>
                <w:rFonts w:ascii="Times New Roman" w:cs="Times New Roman" w:eastAsia="Times New Roman" w:hAnsi="Times New Roman"/>
                <w:color w:val="1F2937"/>
                <w:sz w:val="20"/>
                <w:szCs w:val="20"/>
              </w:rPr>
              <w:t xml:space="preserve">Responsabilité personnelle, sortie du blâme</w:t>
            </w:r>
          </w:p>
        </w:tc>
      </w:tr>
      <w:tr>
        <w:tc>
          <w:tcPr>
            <w:tcW w:type="dxa" w:w="3000"/>
            <w:shd w:fill="EEF2F7" w:val="clear"/>
          </w:tcPr>
          <w:p>
            <w:r>
              <w:rPr>
                <w:rFonts w:ascii="Times New Roman" w:cs="Times New Roman" w:eastAsia="Times New Roman" w:hAnsi="Times New Roman"/>
                <w:color w:val="1F2937"/>
                <w:sz w:val="20"/>
                <w:szCs w:val="20"/>
              </w:rPr>
              <w:t xml:space="preserve">Ce que je peux apprécier</w:t>
            </w:r>
          </w:p>
        </w:tc>
        <w:tc>
          <w:tcPr>
            <w:tcW w:type="dxa" w:w="3000"/>
            <w:shd w:fill="EEF2F7" w:val="clear"/>
          </w:tcPr>
          <w:p>
            <w:r>
              <w:rPr>
                <w:rFonts w:ascii="Times New Roman" w:cs="Times New Roman" w:eastAsia="Times New Roman" w:hAnsi="Times New Roman"/>
                <w:color w:val="1F2937"/>
                <w:sz w:val="20"/>
                <w:szCs w:val="20"/>
              </w:rPr>
              <w:t xml:space="preserve">Quelles qualités l'autre apporte-t-il que je tends à négliger ?</w:t>
            </w:r>
          </w:p>
        </w:tc>
        <w:tc>
          <w:tcPr>
            <w:tcW w:type="dxa" w:w="3000"/>
            <w:shd w:fill="EEF2F7" w:val="clear"/>
          </w:tcPr>
          <w:p>
            <w:r>
              <w:rPr>
                <w:rFonts w:ascii="Times New Roman" w:cs="Times New Roman" w:eastAsia="Times New Roman" w:hAnsi="Times New Roman"/>
                <w:color w:val="1F2937"/>
                <w:sz w:val="20"/>
                <w:szCs w:val="20"/>
              </w:rPr>
              <w:t xml:space="preserve">Gratitude, réduction des projections</w:t>
            </w:r>
          </w:p>
        </w:tc>
      </w:tr>
      <w:tr>
        <w:tc>
          <w:tcPr>
            <w:tcW w:type="dxa" w:w="3000"/>
            <w:shd w:fill="FFFFFF" w:val="clear"/>
          </w:tcPr>
          <w:p>
            <w:r>
              <w:rPr>
                <w:rFonts w:ascii="Times New Roman" w:cs="Times New Roman" w:eastAsia="Times New Roman" w:hAnsi="Times New Roman"/>
                <w:color w:val="1F2937"/>
                <w:sz w:val="20"/>
                <w:szCs w:val="20"/>
              </w:rPr>
              <w:t xml:space="preserve">La tâche clé</w:t>
            </w:r>
          </w:p>
        </w:tc>
        <w:tc>
          <w:tcPr>
            <w:tcW w:type="dxa" w:w="3000"/>
            <w:shd w:fill="FFFFFF" w:val="clear"/>
          </w:tcPr>
          <w:p>
            <w:r>
              <w:rPr>
                <w:rFonts w:ascii="Times New Roman" w:cs="Times New Roman" w:eastAsia="Times New Roman" w:hAnsi="Times New Roman"/>
                <w:color w:val="1F2937"/>
                <w:sz w:val="20"/>
                <w:szCs w:val="20"/>
              </w:rPr>
              <w:t xml:space="preserve">Quelle évolution concrète cette relation me demande-t-elle ?</w:t>
            </w:r>
          </w:p>
        </w:tc>
        <w:tc>
          <w:tcPr>
            <w:tcW w:type="dxa" w:w="3000"/>
            <w:shd w:fill="FFFFFF" w:val="clear"/>
          </w:tcPr>
          <w:p>
            <w:r>
              <w:rPr>
                <w:rFonts w:ascii="Times New Roman" w:cs="Times New Roman" w:eastAsia="Times New Roman" w:hAnsi="Times New Roman"/>
                <w:color w:val="1F2937"/>
                <w:sz w:val="20"/>
                <w:szCs w:val="20"/>
              </w:rPr>
              <w:t xml:space="preserve">Direction de croissance partagée</w:t>
            </w:r>
          </w:p>
        </w:tc>
      </w:tr>
    </w:tbl>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1F2937"/>
          <w:sz w:val="22"/>
          <w:szCs w:val="22"/>
        </w:rPr>
        <w:t xml:space="preserve">Note : Daniels précise qu'une variation importante existe à l'intérieur de chaque patron typique, selon le développement personnel, le contexte culturel, le genre, l'influence des autres types et l'histoire de vie. Les 45 combinaisons sont des boussoles, pas des verdicts.</w:t>
      </w:r>
      <w:r>
        <w:rPr>
          <w:rFonts w:ascii="Times New Roman" w:cs="Times New Roman" w:eastAsia="Times New Roman" w:hAnsi="Times New Roman"/>
          <w:i/>
          <w:iCs/>
          <w:color w:val="6B7280"/>
          <w:sz w:val="20"/>
          <w:szCs w:val="20"/>
        </w:rPr>
        <w:t xml:space="preserve"> [Corrigé le 24/09/2026 : Daniels écrit « the influence of other types ». Les ailes sont les deux types adjacents ; « les autres types » inclut aussi les flèches, enseignées en leçon 14. Un terme technique du modèle avait remplacé un terme général de la source.]</w:t>
      </w:r>
    </w:p>
    <w:p>
      <w:pPr>
        <w:pStyle w:val="Heading3"/>
        <w:spacing w:after="80" w:before="200"/>
      </w:pPr>
      <w:r>
        <w:rPr>
          <w:rFonts w:ascii="Times New Roman" w:cs="Times New Roman" w:eastAsia="Times New Roman" w:hAnsi="Times New Roman"/>
          <w:b/>
          <w:bCs/>
          <w:color w:val="1F2937"/>
          <w:sz w:val="26"/>
          <w:szCs w:val="26"/>
        </w:rPr>
        <w:t xml:space="preserve">3. Le mécanisme du cercle de conflit</w:t>
      </w:r>
    </w:p>
    <w:p>
      <w:pPr>
        <w:spacing w:after="80" w:before="80"/>
      </w:pPr>
      <w:r>
        <w:rPr>
          <w:rFonts w:ascii="Times New Roman" w:cs="Times New Roman" w:eastAsia="Times New Roman" w:hAnsi="Times New Roman"/>
          <w:b w:val="false"/>
          <w:bCs w:val="false"/>
          <w:i w:val="false"/>
          <w:iCs w:val="false"/>
          <w:color w:val="1F2937"/>
          <w:sz w:val="22"/>
          <w:szCs w:val="22"/>
        </w:rPr>
        <w:t xml:space="preserve">Quand la pression monte, chaque type a tendance à intensifier ses comportements habituels — précisément ceux qui, en excès, alimentent le conflit. Daniels nomme ce phénomène « circle of conflict » (cercle de conflit) : l'escalade, le blâme et l'aliénation s'auto-entretiennent. Quelques exemples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type 1 exerce davantage de pression corrective → le partenaire se sent jugé → il se ferme ou contre-attaque → le type 1 perçoit une résistance et augmente ses exigences.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type 2 anticipe encore plus les besoins de l'autre → le partenaire se sent envahi → il prend de la distance → le type 2 redouble d'efforts pour maintenir le lien.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type 9 s'efface et acquiesce → ses besoins non exprimés s'accumulent → explosion ou retrait silencieux → l'autre ne comprend pas ce qui s'est passé.</w:t>
      </w:r>
    </w:p>
    <w:p>
      <w:pPr>
        <w:spacing w:after="80" w:before="80"/>
      </w:pPr>
      <w:r>
        <w:rPr>
          <w:rFonts w:ascii="Times New Roman" w:cs="Times New Roman" w:eastAsia="Times New Roman" w:hAnsi="Times New Roman"/>
          <w:b w:val="false"/>
          <w:bCs w:val="false"/>
          <w:i w:val="false"/>
          <w:iCs w:val="false"/>
          <w:color w:val="1F2937"/>
          <w:sz w:val="22"/>
          <w:szCs w:val="22"/>
        </w:rPr>
        <w:t xml:space="preserve">Reconnaître ce cercle est la première étape pour l'interrompre.</w:t>
      </w:r>
    </w:p>
    <w:p>
      <w:pPr>
        <w:pStyle w:val="Heading3"/>
        <w:spacing w:after="80" w:before="200"/>
      </w:pPr>
      <w:r>
        <w:rPr>
          <w:rFonts w:ascii="Times New Roman" w:cs="Times New Roman" w:eastAsia="Times New Roman" w:hAnsi="Times New Roman"/>
          <w:b/>
          <w:bCs/>
          <w:color w:val="1F2937"/>
          <w:sz w:val="26"/>
          <w:szCs w:val="26"/>
        </w:rPr>
        <w:t xml:space="preserve">4. La question cachée sous chaque conflit</w:t>
      </w:r>
    </w:p>
    <w:p>
      <w:pPr>
        <w:spacing w:after="80" w:before="80"/>
      </w:pPr>
      <w:r>
        <w:rPr>
          <w:rFonts w:ascii="Times New Roman" w:cs="Times New Roman" w:eastAsia="Times New Roman" w:hAnsi="Times New Roman"/>
          <w:b w:val="false"/>
          <w:bCs w:val="false"/>
          <w:i w:val="false"/>
          <w:iCs w:val="false"/>
          <w:color w:val="1F2937"/>
          <w:sz w:val="22"/>
          <w:szCs w:val="22"/>
        </w:rPr>
        <w:t xml:space="preserve">Chaque type porte une question fondamentale dans ses relations : « Puis-je être pleinement moi-même ici et rester aimé(e) ? » La formulation varie selon le type. Le site 9takes propose une lecture de ces variations — les éléments suivants sont une synthèse de leur approche (non des citations verbatim)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c>
          <w:tcPr>
            <w:tcW w:type="dxa" w:w="3000"/>
            <w:shd w:fill="1B3A6B" w:val="clear"/>
          </w:tcPr>
          <w:p>
            <w:pPr>
              <w:jc w:val="center"/>
            </w:pPr>
            <w:r>
              <w:rPr>
                <w:rFonts w:ascii="Times New Roman" w:cs="Times New Roman" w:eastAsia="Times New Roman" w:hAnsi="Times New Roman"/>
                <w:b/>
                <w:bCs/>
                <w:color w:val="FFFFFF"/>
                <w:sz w:val="20"/>
                <w:szCs w:val="20"/>
              </w:rPr>
              <w:t xml:space="preserve">Type</w:t>
            </w:r>
          </w:p>
        </w:tc>
        <w:tc>
          <w:tcPr>
            <w:tcW w:type="dxa" w:w="3000"/>
            <w:shd w:fill="1B3A6B" w:val="clear"/>
          </w:tcPr>
          <w:p>
            <w:pPr>
              <w:jc w:val="center"/>
            </w:pPr>
            <w:r>
              <w:rPr>
                <w:rFonts w:ascii="Times New Roman" w:cs="Times New Roman" w:eastAsia="Times New Roman" w:hAnsi="Times New Roman"/>
                <w:b/>
                <w:bCs/>
                <w:color w:val="FFFFFF"/>
                <w:sz w:val="20"/>
                <w:szCs w:val="20"/>
              </w:rPr>
              <w:t xml:space="preserve">Réflexe défensif sous stress</w:t>
            </w:r>
          </w:p>
        </w:tc>
        <w:tc>
          <w:tcPr>
            <w:tcW w:type="dxa" w:w="3000"/>
            <w:shd w:fill="1B3A6B" w:val="clear"/>
          </w:tcPr>
          <w:p>
            <w:pPr>
              <w:jc w:val="center"/>
            </w:pPr>
            <w:r>
              <w:rPr>
                <w:rFonts w:ascii="Times New Roman" w:cs="Times New Roman" w:eastAsia="Times New Roman" w:hAnsi="Times New Roman"/>
                <w:b/>
                <w:bCs/>
                <w:color w:val="FFFFFF"/>
                <w:sz w:val="20"/>
                <w:szCs w:val="20"/>
              </w:rPr>
              <w:t xml:space="preserve">Question cachée probable</w:t>
            </w:r>
          </w:p>
        </w:tc>
      </w:tr>
      <w:tr>
        <w:tc>
          <w:tcPr>
            <w:tcW w:type="dxa" w:w="3000"/>
            <w:shd w:fill="FFFFFF" w:val="clear"/>
          </w:tcPr>
          <w:p>
            <w:r>
              <w:rPr>
                <w:rFonts w:ascii="Times New Roman" w:cs="Times New Roman" w:eastAsia="Times New Roman" w:hAnsi="Times New Roman"/>
                <w:color w:val="1F2937"/>
                <w:sz w:val="20"/>
                <w:szCs w:val="20"/>
              </w:rPr>
              <w:t xml:space="preserve">1 Perfectionniste</w:t>
            </w:r>
          </w:p>
        </w:tc>
        <w:tc>
          <w:tcPr>
            <w:tcW w:type="dxa" w:w="3000"/>
            <w:shd w:fill="FFFFFF" w:val="clear"/>
          </w:tcPr>
          <w:p>
            <w:r>
              <w:rPr>
                <w:rFonts w:ascii="Times New Roman" w:cs="Times New Roman" w:eastAsia="Times New Roman" w:hAnsi="Times New Roman"/>
                <w:color w:val="1F2937"/>
                <w:sz w:val="20"/>
                <w:szCs w:val="20"/>
              </w:rPr>
              <w:t xml:space="preserve">Corrige, améliore, critique</w:t>
            </w:r>
          </w:p>
        </w:tc>
        <w:tc>
          <w:tcPr>
            <w:tcW w:type="dxa" w:w="3000"/>
            <w:shd w:fill="FFFFFF" w:val="clear"/>
          </w:tcPr>
          <w:p>
            <w:r>
              <w:rPr>
                <w:rFonts w:ascii="Times New Roman" w:cs="Times New Roman" w:eastAsia="Times New Roman" w:hAnsi="Times New Roman"/>
                <w:color w:val="1F2937"/>
                <w:sz w:val="20"/>
                <w:szCs w:val="20"/>
              </w:rPr>
              <w:t xml:space="preserve">Mon imperfection me rend-elle inacceptable ?</w:t>
            </w:r>
          </w:p>
        </w:tc>
      </w:tr>
      <w:tr>
        <w:tc>
          <w:tcPr>
            <w:tcW w:type="dxa" w:w="3000"/>
            <w:shd w:fill="EEF2F7" w:val="clear"/>
          </w:tcPr>
          <w:p>
            <w:r>
              <w:rPr>
                <w:rFonts w:ascii="Times New Roman" w:cs="Times New Roman" w:eastAsia="Times New Roman" w:hAnsi="Times New Roman"/>
                <w:color w:val="1F2937"/>
                <w:sz w:val="20"/>
                <w:szCs w:val="20"/>
              </w:rPr>
              <w:t xml:space="preserve">2 Altruiste</w:t>
            </w:r>
          </w:p>
        </w:tc>
        <w:tc>
          <w:tcPr>
            <w:tcW w:type="dxa" w:w="3000"/>
            <w:shd w:fill="EEF2F7" w:val="clear"/>
          </w:tcPr>
          <w:p>
            <w:r>
              <w:rPr>
                <w:rFonts w:ascii="Times New Roman" w:cs="Times New Roman" w:eastAsia="Times New Roman" w:hAnsi="Times New Roman"/>
                <w:color w:val="1F2937"/>
                <w:sz w:val="20"/>
                <w:szCs w:val="20"/>
              </w:rPr>
              <w:t xml:space="preserve">Sur-donne, anticipe</w:t>
            </w:r>
          </w:p>
        </w:tc>
        <w:tc>
          <w:tcPr>
            <w:tcW w:type="dxa" w:w="3000"/>
            <w:shd w:fill="EEF2F7" w:val="clear"/>
          </w:tcPr>
          <w:p>
            <w:r>
              <w:rPr>
                <w:rFonts w:ascii="Times New Roman" w:cs="Times New Roman" w:eastAsia="Times New Roman" w:hAnsi="Times New Roman"/>
                <w:color w:val="1F2937"/>
                <w:sz w:val="20"/>
                <w:szCs w:val="20"/>
              </w:rPr>
              <w:t xml:space="preserve">Suis-je aimable seulement quand je suis utile ?</w:t>
            </w:r>
          </w:p>
        </w:tc>
      </w:tr>
      <w:tr>
        <w:tc>
          <w:tcPr>
            <w:tcW w:type="dxa" w:w="3000"/>
            <w:shd w:fill="FFFFFF" w:val="clear"/>
          </w:tcPr>
          <w:p>
            <w:r>
              <w:rPr>
                <w:rFonts w:ascii="Times New Roman" w:cs="Times New Roman" w:eastAsia="Times New Roman" w:hAnsi="Times New Roman"/>
                <w:color w:val="1F2937"/>
                <w:sz w:val="20"/>
                <w:szCs w:val="20"/>
              </w:rPr>
              <w:t xml:space="preserve">3 Battant</w:t>
            </w:r>
          </w:p>
        </w:tc>
        <w:tc>
          <w:tcPr>
            <w:tcW w:type="dxa" w:w="3000"/>
            <w:shd w:fill="FFFFFF" w:val="clear"/>
          </w:tcPr>
          <w:p>
            <w:r>
              <w:rPr>
                <w:rFonts w:ascii="Times New Roman" w:cs="Times New Roman" w:eastAsia="Times New Roman" w:hAnsi="Times New Roman"/>
                <w:color w:val="1F2937"/>
                <w:sz w:val="20"/>
                <w:szCs w:val="20"/>
              </w:rPr>
              <w:t xml:space="preserve">Performe, produit</w:t>
            </w:r>
          </w:p>
        </w:tc>
        <w:tc>
          <w:tcPr>
            <w:tcW w:type="dxa" w:w="3000"/>
            <w:shd w:fill="FFFFFF" w:val="clear"/>
          </w:tcPr>
          <w:p>
            <w:r>
              <w:rPr>
                <w:rFonts w:ascii="Times New Roman" w:cs="Times New Roman" w:eastAsia="Times New Roman" w:hAnsi="Times New Roman"/>
                <w:color w:val="1F2937"/>
                <w:sz w:val="20"/>
                <w:szCs w:val="20"/>
              </w:rPr>
              <w:t xml:space="preserve">M'aimerais-tu si tu voyais l'envers du décor ?</w:t>
            </w:r>
          </w:p>
        </w:tc>
      </w:tr>
      <w:tr>
        <w:tc>
          <w:tcPr>
            <w:tcW w:type="dxa" w:w="3000"/>
            <w:shd w:fill="EEF2F7" w:val="clear"/>
          </w:tcPr>
          <w:p>
            <w:r>
              <w:rPr>
                <w:rFonts w:ascii="Times New Roman" w:cs="Times New Roman" w:eastAsia="Times New Roman" w:hAnsi="Times New Roman"/>
                <w:color w:val="1F2937"/>
                <w:sz w:val="20"/>
                <w:szCs w:val="20"/>
              </w:rPr>
              <w:t xml:space="preserve">4 Individualiste</w:t>
            </w:r>
          </w:p>
        </w:tc>
        <w:tc>
          <w:tcPr>
            <w:tcW w:type="dxa" w:w="3000"/>
            <w:shd w:fill="EEF2F7" w:val="clear"/>
          </w:tcPr>
          <w:p>
            <w:r>
              <w:rPr>
                <w:rFonts w:ascii="Times New Roman" w:cs="Times New Roman" w:eastAsia="Times New Roman" w:hAnsi="Times New Roman"/>
                <w:color w:val="1F2937"/>
                <w:sz w:val="20"/>
                <w:szCs w:val="20"/>
              </w:rPr>
              <w:t xml:space="preserve">Intensifie, compare</w:t>
            </w:r>
          </w:p>
        </w:tc>
        <w:tc>
          <w:tcPr>
            <w:tcW w:type="dxa" w:w="3000"/>
            <w:shd w:fill="EEF2F7" w:val="clear"/>
          </w:tcPr>
          <w:p>
            <w:r>
              <w:rPr>
                <w:rFonts w:ascii="Times New Roman" w:cs="Times New Roman" w:eastAsia="Times New Roman" w:hAnsi="Times New Roman"/>
                <w:color w:val="1F2937"/>
                <w:sz w:val="20"/>
                <w:szCs w:val="20"/>
              </w:rPr>
              <w:t xml:space="preserve">Accepteras-tu la profondeur de ce que je ressens ?</w:t>
            </w:r>
          </w:p>
        </w:tc>
      </w:tr>
      <w:tr>
        <w:tc>
          <w:tcPr>
            <w:tcW w:type="dxa" w:w="3000"/>
            <w:shd w:fill="FFFFFF" w:val="clear"/>
          </w:tcPr>
          <w:p>
            <w:r>
              <w:rPr>
                <w:rFonts w:ascii="Times New Roman" w:cs="Times New Roman" w:eastAsia="Times New Roman" w:hAnsi="Times New Roman"/>
                <w:color w:val="1F2937"/>
                <w:sz w:val="20"/>
                <w:szCs w:val="20"/>
              </w:rPr>
              <w:t xml:space="preserve">5 Investigateur</w:t>
            </w:r>
          </w:p>
        </w:tc>
        <w:tc>
          <w:tcPr>
            <w:tcW w:type="dxa" w:w="3000"/>
            <w:shd w:fill="FFFFFF" w:val="clear"/>
          </w:tcPr>
          <w:p>
            <w:r>
              <w:rPr>
                <w:rFonts w:ascii="Times New Roman" w:cs="Times New Roman" w:eastAsia="Times New Roman" w:hAnsi="Times New Roman"/>
                <w:color w:val="1F2937"/>
                <w:sz w:val="20"/>
                <w:szCs w:val="20"/>
              </w:rPr>
              <w:t xml:space="preserve">Se retire, conserve</w:t>
            </w:r>
          </w:p>
        </w:tc>
        <w:tc>
          <w:tcPr>
            <w:tcW w:type="dxa" w:w="3000"/>
            <w:shd w:fill="FFFFFF" w:val="clear"/>
          </w:tcPr>
          <w:p>
            <w:r>
              <w:rPr>
                <w:rFonts w:ascii="Times New Roman" w:cs="Times New Roman" w:eastAsia="Times New Roman" w:hAnsi="Times New Roman"/>
                <w:color w:val="1F2937"/>
                <w:sz w:val="20"/>
                <w:szCs w:val="20"/>
              </w:rPr>
              <w:t xml:space="preserve">Puis-je être en lien sans être consumé(e) ?</w:t>
            </w:r>
          </w:p>
        </w:tc>
      </w:tr>
      <w:tr>
        <w:tc>
          <w:tcPr>
            <w:tcW w:type="dxa" w:w="3000"/>
            <w:shd w:fill="EEF2F7" w:val="clear"/>
          </w:tcPr>
          <w:p>
            <w:r>
              <w:rPr>
                <w:rFonts w:ascii="Times New Roman" w:cs="Times New Roman" w:eastAsia="Times New Roman" w:hAnsi="Times New Roman"/>
                <w:color w:val="1F2937"/>
                <w:sz w:val="20"/>
                <w:szCs w:val="20"/>
              </w:rPr>
              <w:t xml:space="preserve">6 Loyaliste</w:t>
            </w:r>
          </w:p>
        </w:tc>
        <w:tc>
          <w:tcPr>
            <w:tcW w:type="dxa" w:w="3000"/>
            <w:shd w:fill="EEF2F7" w:val="clear"/>
          </w:tcPr>
          <w:p>
            <w:r>
              <w:rPr>
                <w:rFonts w:ascii="Times New Roman" w:cs="Times New Roman" w:eastAsia="Times New Roman" w:hAnsi="Times New Roman"/>
                <w:color w:val="1F2937"/>
                <w:sz w:val="20"/>
                <w:szCs w:val="20"/>
              </w:rPr>
              <w:t xml:space="preserve">Teste, vérifie</w:t>
            </w:r>
          </w:p>
        </w:tc>
        <w:tc>
          <w:tcPr>
            <w:tcW w:type="dxa" w:w="3000"/>
            <w:shd w:fill="EEF2F7" w:val="clear"/>
          </w:tcPr>
          <w:p>
            <w:r>
              <w:rPr>
                <w:rFonts w:ascii="Times New Roman" w:cs="Times New Roman" w:eastAsia="Times New Roman" w:hAnsi="Times New Roman"/>
                <w:color w:val="1F2937"/>
                <w:sz w:val="20"/>
                <w:szCs w:val="20"/>
              </w:rPr>
              <w:t xml:space="preserve">Sommes-nous en sécurité, et puis-je me fier à ta parole ?</w:t>
            </w:r>
          </w:p>
        </w:tc>
      </w:tr>
      <w:tr>
        <w:tc>
          <w:tcPr>
            <w:tcW w:type="dxa" w:w="3000"/>
            <w:shd w:fill="FFFFFF" w:val="clear"/>
          </w:tcPr>
          <w:p>
            <w:r>
              <w:rPr>
                <w:rFonts w:ascii="Times New Roman" w:cs="Times New Roman" w:eastAsia="Times New Roman" w:hAnsi="Times New Roman"/>
                <w:color w:val="1F2937"/>
                <w:sz w:val="20"/>
                <w:szCs w:val="20"/>
              </w:rPr>
              <w:t xml:space="preserve">7 Épicurien</w:t>
            </w:r>
          </w:p>
        </w:tc>
        <w:tc>
          <w:tcPr>
            <w:tcW w:type="dxa" w:w="3000"/>
            <w:shd w:fill="FFFFFF" w:val="clear"/>
          </w:tcPr>
          <w:p>
            <w:r>
              <w:rPr>
                <w:rFonts w:ascii="Times New Roman" w:cs="Times New Roman" w:eastAsia="Times New Roman" w:hAnsi="Times New Roman"/>
                <w:color w:val="1F2937"/>
                <w:sz w:val="20"/>
                <w:szCs w:val="20"/>
              </w:rPr>
              <w:t xml:space="preserve">Recadre, esquive</w:t>
            </w:r>
          </w:p>
        </w:tc>
        <w:tc>
          <w:tcPr>
            <w:tcW w:type="dxa" w:w="3000"/>
            <w:shd w:fill="FFFFFF" w:val="clear"/>
          </w:tcPr>
          <w:p>
            <w:r>
              <w:rPr>
                <w:rFonts w:ascii="Times New Roman" w:cs="Times New Roman" w:eastAsia="Times New Roman" w:hAnsi="Times New Roman"/>
                <w:color w:val="1F2937"/>
                <w:sz w:val="20"/>
                <w:szCs w:val="20"/>
              </w:rPr>
              <w:t xml:space="preserve">Un engagement peut-il contenir la liberté ET la douleur ?</w:t>
            </w:r>
          </w:p>
        </w:tc>
      </w:tr>
      <w:tr>
        <w:tc>
          <w:tcPr>
            <w:tcW w:type="dxa" w:w="3000"/>
            <w:shd w:fill="EEF2F7" w:val="clear"/>
          </w:tcPr>
          <w:p>
            <w:r>
              <w:rPr>
                <w:rFonts w:ascii="Times New Roman" w:cs="Times New Roman" w:eastAsia="Times New Roman" w:hAnsi="Times New Roman"/>
                <w:color w:val="1F2937"/>
                <w:sz w:val="20"/>
                <w:szCs w:val="20"/>
              </w:rPr>
              <w:t xml:space="preserve">8 Chef</w:t>
            </w:r>
          </w:p>
        </w:tc>
        <w:tc>
          <w:tcPr>
            <w:tcW w:type="dxa" w:w="3000"/>
            <w:shd w:fill="EEF2F7" w:val="clear"/>
          </w:tcPr>
          <w:p>
            <w:r>
              <w:rPr>
                <w:rFonts w:ascii="Times New Roman" w:cs="Times New Roman" w:eastAsia="Times New Roman" w:hAnsi="Times New Roman"/>
                <w:color w:val="1F2937"/>
                <w:sz w:val="20"/>
                <w:szCs w:val="20"/>
              </w:rPr>
              <w:t xml:space="preserve">Contrôle, s'arme</w:t>
            </w:r>
          </w:p>
        </w:tc>
        <w:tc>
          <w:tcPr>
            <w:tcW w:type="dxa" w:w="3000"/>
            <w:shd w:fill="EEF2F7" w:val="clear"/>
          </w:tcPr>
          <w:p>
            <w:r>
              <w:rPr>
                <w:rFonts w:ascii="Times New Roman" w:cs="Times New Roman" w:eastAsia="Times New Roman" w:hAnsi="Times New Roman"/>
                <w:color w:val="1F2937"/>
                <w:sz w:val="20"/>
                <w:szCs w:val="20"/>
              </w:rPr>
              <w:t xml:space="preserve">Ma vulnérabilité sera-t-elle utilisée contre moi ?</w:t>
            </w:r>
          </w:p>
        </w:tc>
      </w:tr>
      <w:tr>
        <w:tc>
          <w:tcPr>
            <w:tcW w:type="dxa" w:w="3000"/>
            <w:shd w:fill="FFFFFF" w:val="clear"/>
          </w:tcPr>
          <w:p>
            <w:r>
              <w:rPr>
                <w:rFonts w:ascii="Times New Roman" w:cs="Times New Roman" w:eastAsia="Times New Roman" w:hAnsi="Times New Roman"/>
                <w:color w:val="1F2937"/>
                <w:sz w:val="20"/>
                <w:szCs w:val="20"/>
              </w:rPr>
              <w:t xml:space="preserve">9 Médiateur</w:t>
            </w:r>
          </w:p>
        </w:tc>
        <w:tc>
          <w:tcPr>
            <w:tcW w:type="dxa" w:w="3000"/>
            <w:shd w:fill="FFFFFF" w:val="clear"/>
          </w:tcPr>
          <w:p>
            <w:r>
              <w:rPr>
                <w:rFonts w:ascii="Times New Roman" w:cs="Times New Roman" w:eastAsia="Times New Roman" w:hAnsi="Times New Roman"/>
                <w:color w:val="1F2937"/>
                <w:sz w:val="20"/>
                <w:szCs w:val="20"/>
              </w:rPr>
              <w:t xml:space="preserve">S'accommode, se tait</w:t>
            </w:r>
          </w:p>
        </w:tc>
        <w:tc>
          <w:tcPr>
            <w:tcW w:type="dxa" w:w="3000"/>
            <w:shd w:fill="FFFFFF" w:val="clear"/>
          </w:tcPr>
          <w:p>
            <w:r>
              <w:rPr>
                <w:rFonts w:ascii="Times New Roman" w:cs="Times New Roman" w:eastAsia="Times New Roman" w:hAnsi="Times New Roman"/>
                <w:color w:val="1F2937"/>
                <w:sz w:val="20"/>
                <w:szCs w:val="20"/>
              </w:rPr>
              <w:t xml:space="preserve">Puis-je avoir des besoins sans perdre le lien ?</w:t>
            </w:r>
          </w:p>
        </w:tc>
      </w:tr>
    </w:tbl>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6B7280"/>
          <w:sz w:val="22"/>
          <w:szCs w:val="22"/>
        </w:rPr>
        <w:t xml:space="preserve">Avertissement (règle B1) : ce tableau est une synthèse d'approches commerciales et praticiennes. Il n'est pas issu d'une validation psychométrique indépendante. À utiliser comme outil de réflexion personnelle, non comme grille de diagnostic.</w:t>
      </w:r>
      <w:r>
        <w:rPr>
          <w:rFonts w:ascii="Times New Roman" w:cs="Times New Roman" w:eastAsia="Times New Roman" w:hAnsi="Times New Roman"/>
          <w:i/>
          <w:iCs/>
          <w:color w:val="6B7280"/>
          <w:sz w:val="20"/>
          <w:szCs w:val="20"/>
        </w:rPr>
        <w:t xml:space="preserve"> [Corrigé le 24/09/2026 : trois questions du tableau avaient perdu leur moitié relationnelle. 9takes écrit pour le 6 « Are we safe, and can I trust your word? » (la leçon en faisait une question sur l'autre), pour le 7 « Can commitment hold freedom and pain? » (la douleur avait disparu) et pour le 9 « Can I have needs without losing connection? » (le lien avait disparu). La synthèse déplaçait systématiquement la question de la relation vers soi ou vers l'autre.]</w:t>
      </w:r>
    </w:p>
    <w:p>
      <w:pPr>
        <w:pStyle w:val="Heading3"/>
        <w:spacing w:after="80" w:before="200"/>
      </w:pPr>
      <w:r>
        <w:rPr>
          <w:rFonts w:ascii="Times New Roman" w:cs="Times New Roman" w:eastAsia="Times New Roman" w:hAnsi="Times New Roman"/>
          <w:b/>
          <w:bCs/>
          <w:color w:val="1F2937"/>
          <w:sz w:val="26"/>
          <w:szCs w:val="26"/>
        </w:rPr>
        <w:t xml:space="preserve">5. Un protocole de réparation en cinq étapes</w:t>
      </w:r>
    </w:p>
    <w:p>
      <w:pPr>
        <w:spacing w:after="80" w:before="80"/>
      </w:pPr>
      <w:r>
        <w:rPr>
          <w:rFonts w:ascii="Times New Roman" w:cs="Times New Roman" w:eastAsia="Times New Roman" w:hAnsi="Times New Roman"/>
          <w:b w:val="false"/>
          <w:bCs w:val="false"/>
          <w:i w:val="false"/>
          <w:iCs w:val="false"/>
          <w:color w:val="1F2937"/>
          <w:sz w:val="22"/>
          <w:szCs w:val="22"/>
        </w:rPr>
        <w:t xml:space="preserve">Aucun couple, aucune famille n'échappe aux conflits. Ce qui distingue les relations saines des relations en difficulté, c'est la capacité de réparation. Le site 9takes propose une approche en cinq étapes (synthèse, non citation verbatim)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1 — Nommer le comportement défensif observable : « J'ai remarqué que je… » (non : « Tu as fait…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2 — Identifier la peur sous-jacente : quelle menace ce réflexe tentait-il d'éviter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3 — Séparer les faits des interprétations : qu'est-ce qui s'est réellement passé, et qu'est-ce que j'ai ajouté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4 — Formuler une demande concrète et délimitée : « Pourrais-tu… » (spécifique, faisable, limité dans le temps).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5 — Vérifier la mise en œuvre : revenir sur ce qui a changé, nommer ce qui a été tenu.</w:t>
      </w:r>
    </w:p>
    <w:p>
      <w:pPr>
        <w:spacing w:after="80" w:before="80"/>
      </w:pPr>
      <w:r>
        <w:rPr>
          <w:rFonts w:ascii="Times New Roman" w:cs="Times New Roman" w:eastAsia="Times New Roman" w:hAnsi="Times New Roman"/>
          <w:b w:val="false"/>
          <w:bCs w:val="false"/>
          <w:i w:val="false"/>
          <w:iCs w:val="false"/>
          <w:color w:val="1F2937"/>
          <w:sz w:val="22"/>
          <w:szCs w:val="22"/>
        </w:rPr>
        <w:t xml:space="preserve">⚠️ Limite du protocole, telle que 9takes l'écrit juste après la cinquième étape : « This process does not apply when there is abuse, coercive control, or fear for someone's safety. In those cases, the priority is support and safety, not better type communication. » En clair : en situation d'abus, de contrôle coercitif ou de peur pour la sécurité de quelqu'un, ce protocole ne s'applique pas — la priorité est le soutien et la mise en sécurité, pas une meilleure communication de type. La page renvoie à une ligne d'écoute nationale ; en France, le 3919 (Violences Femmes Info) et le 119 (enfance en danger).</w:t>
      </w:r>
    </w:p>
    <w:p>
      <w:pPr>
        <w:spacing w:after="80" w:before="80"/>
      </w:pPr>
      <w:r>
        <w:rPr>
          <w:rFonts w:ascii="Times New Roman" w:cs="Times New Roman" w:eastAsia="Times New Roman" w:hAnsi="Times New Roman"/>
          <w:i/>
          <w:iCs/>
          <w:color w:val="6B7280"/>
          <w:sz w:val="20"/>
          <w:szCs w:val="20"/>
        </w:rPr>
        <w:t xml:space="preserve">[Ajouté le 24/09/2026 : cette phrase est sur la page de 9takes, immédiatement après l'étape 5, et la leçon livrée l'avait supprimée. C'est le défaut le plus sérieux de cette leçon : le lecteur accompagne des personnes vulnérables et peut appliquer ce protocole à sa propre famille — la phrase manquante est celle qui dit quand ne pas l'appliquer.]</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1F2937"/>
          <w:sz w:val="22"/>
          <w:szCs w:val="22"/>
        </w:rPr>
        <w:t xml:space="preserve">Rappel : l'ennéagramme n'est pas un test de compatibilité validé. 9takes le dit dans sa section « What the Research Can and Cannot Tell Us » en renvoyant à la revue systématique de Hook et coll. (2021) — « a 2021 systematic review of 104 independent samples found mixed evidence for its reliability and validity » —, c'est-à-dire la source indépendante établie en leçon 13. Growing Self converge, sous un titre de section sans ambiguïté : « Compatibility Is Less Important Than Understanding ». La santé émotionnelle de chacun, les valeurs partagées et la capacité de réparation priment sur la combinaison de types — c'est la position explicite des sources mobilisées pour cette leçon.</w:t>
      </w:r>
      <w:r>
        <w:rPr>
          <w:rFonts w:ascii="Times New Roman" w:cs="Times New Roman" w:eastAsia="Times New Roman" w:hAnsi="Times New Roman"/>
          <w:i/>
          <w:iCs/>
          <w:color w:val="6B7280"/>
          <w:sz w:val="20"/>
          <w:szCs w:val="20"/>
        </w:rPr>
        <w:t xml:space="preserve"> [Corrigé le 24/09/2026 : la leçon écrivait « c'est la position explicite des sources mobilisées » sans nommer aucune étude, alors que 9takes lui tendait la référence. Et Growing Self, listée en ressources avec une caractérisation datée, n'irriguait rien : elle dit ici ce qu'elle porte.]</w:t>
      </w:r>
    </w:p>
    <w:p>
      <w:pPr>
        <w:pBdr>
          <w:bottom w:val="single" w:color="1B3A6B" w:sz="6"/>
        </w:pBdr>
        <w:spacing w:after="100" w:before="100"/>
      </w:pPr>
    </w:p>
    <w:p>
      <w:pPr>
        <w:pStyle w:val="Heading2"/>
        <w:spacing w:after="10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Mon réflexe défensif : auto-observation (ancrage)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20-30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identifier ton réflexe défensif personnel en situation de tension relationnelle et la peur qui le sous-tend.</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Déroulé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Note ton type (ou celui que tu explores). À partir du tableau théorique ci-dessus, identifie ton réflexe défensif probable sous stress.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Rappelle-toi une scène récente de friction dans une relation importante (couple, ami, collègue, famille). Décris-la en 5-10 lignes : qui, quoi, comment.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Repère : quel réflexe s'est activé chez toi ? (Corrigé, anticipé, performé, intensifié, retiré, testé, esquivé, contrôlé, accommodé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 Formule la peur sous-jacente en une phrase : « J'avais peur que…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 Demande-toi : cette peur était-elle réellement en jeu dans cette situation, ou était-ce une projection de vieilles blessures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1F2937"/>
          <w:sz w:val="22"/>
          <w:szCs w:val="22"/>
        </w:rPr>
        <w:t xml:space="preserve">Ce que vise cet exercice : non pas te donner raison ou tort, mais rendre visible le mécanisme automatique. La conscience précède la possibilité de choix.</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 orientatif : il n'y a pas de bonne réponse unique. Ce qui compte, c'est la cohérence entre le type, le réflexe identifié et la peur formulée. Si tu es type 6 et que ta réponse au conflit était de multiplier les vérifications et les questions, la peur sous-jacente probable est la fiabilité et la sécurité — conformément à la théorie. Si tu trouves une peur qui ne correspond pas du tout à ton type présumé, c'est une information précieuse sur l'aile, les flèches ou le sous-type dominant.</w:t>
      </w:r>
    </w:p>
    <w:p>
      <w:pPr>
        <w:pStyle w:val="Heading3"/>
        <w:spacing w:after="80" w:before="200"/>
      </w:pPr>
      <w:r>
        <w:rPr>
          <w:rFonts w:ascii="Times New Roman" w:cs="Times New Roman" w:eastAsia="Times New Roman" w:hAnsi="Times New Roman"/>
          <w:b/>
          <w:bCs/>
          <w:color w:val="1F2937"/>
          <w:sz w:val="26"/>
          <w:szCs w:val="26"/>
        </w:rPr>
        <w:t xml:space="preserve">Exercice 2 — Observer l'autre type : hypothèse et enquête (compréhension active)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observation sur une semaine.</w:t>
      </w: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développer la curiosité envers le type de l'autre plutôt que la réactivité à ses comportements.</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Déroulé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Choisis une relation importante (conjoint(e), ami(e) proche, parent, enfant adulte).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Formule une hypothèse sur son centre d'intelligence dominant (instinctif / émotionnel / mental) à partir de ce que tu sais de ses réactions habituelles aux tensions.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À partir du tableau de la leçon, propose une hypothèse de type ou d'un type parmi deux ou trois candidats.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 Identifie sa « question cachée » probable : de quoi cette personne a-t-elle besoin pour se sentir en sécurité dans la relation avec toi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 Pendant une semaine, observe sans juger : quand elle est sous stress, quel réflexe s'active ? Est-ce cohérent avec ton hypothèse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1F2937"/>
          <w:sz w:val="22"/>
          <w:szCs w:val="22"/>
        </w:rPr>
        <w:t xml:space="preserve">Consigne importante : ne teste pas ton hypothèse en la lui soumettant, et n'emploie pas l'ennéagramme comme outil d'étiquetage. Cette observation est un exercice personnel d'attention — pas un diagnostic à communiquer.</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 orientatif : la valeur de cet exercice réside dans l'observation, pas dans la confirmation de l'hypothèse. Si le comportement observé contredit ton hypothèse initiale, c'est une invitation à affiner ta lecture des centres et des types, pas à forcer l'hypothèse pour qu'elle colle.</w:t>
      </w:r>
    </w:p>
    <w:p>
      <w:pPr>
        <w:pStyle w:val="Heading3"/>
        <w:spacing w:after="80" w:before="200"/>
      </w:pPr>
      <w:r>
        <w:rPr>
          <w:rFonts w:ascii="Times New Roman" w:cs="Times New Roman" w:eastAsia="Times New Roman" w:hAnsi="Times New Roman"/>
          <w:b/>
          <w:bCs/>
          <w:color w:val="1F2937"/>
          <w:sz w:val="26"/>
          <w:szCs w:val="26"/>
        </w:rPr>
        <w:t xml:space="preserve">Exercice 3 — Analyser un conflit passé selon les trois dimensions de Daniels (journal)</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30-45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Objectif : changer de regard sur un conflit passé en passant du blâme à la responsabilité et à la gratitude.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Déroulé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Choisis un conflit passé dans une relation significative. Il n'a pas besoin d'être récent.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Applique les trois dimensions du modèle de Daniels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 Ce que j'avais à reconnaître : quelle était ma part dans les difficultés ? Qu'est-ce que mon réflexe défensif a ajouté à la situation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 Ce que j'aurais pu apprécier : quelles qualités l'autre apportait-il que j'ai tendance à négliger ou à percevoir comme une menace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 La tâche clé que j'ai manquée : quelle évolution cette relation me demandait-elle et que je n'ai pas accomplie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 Rédige une version alternative de la scène : comment aurait-elle pu se dérouler si tu avais répondu à la tâche clé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Corrigé orientatif : la version alternative ne doit pas être idéalisée. Elle doit être réaliste — c'est-à-dire que les émotions difficiles y sont présentes, mais que ton réflexe défensif n'y prend pas le contrôle. La différence clé entre la scène réelle et la version alternative, c'est généralement le moment où tu aurais pu nommer ta peur plutôt que de la laisser piloter ton comportement.</w:t>
      </w:r>
    </w:p>
    <w:p>
      <w:pPr>
        <w:pBdr>
          <w:bottom w:val="single" w:color="1B3A6B" w:sz="6"/>
        </w:pBdr>
        <w:spacing w:after="100" w:before="100"/>
      </w:pPr>
    </w:p>
    <w:p>
      <w:pPr>
        <w:pStyle w:val="Heading2"/>
        <w:spacing w:after="100" w:before="300"/>
      </w:pPr>
      <w:r>
        <w:rPr>
          <w:rFonts w:ascii="Times New Roman" w:cs="Times New Roman" w:eastAsia="Times New Roman" w:hAnsi="Times New Roman"/>
          <w:b/>
          <w:bCs/>
          <w:color w:val="1B3A6B"/>
          <w:sz w:val="30"/>
          <w:szCs w:val="30"/>
        </w:rPr>
        <w:t xml:space="preserve">🎯 Challenge — Construire un protocole de réparation personnalisé</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estimée : 45-60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Choisis une relation actuelle dans laquelle des tensions reviennent régulièrement. Travaille en cinq étapes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Identifier les deux types : le tien et l'hypothèse pour l'autre personne.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Rappeler les triades harmoniques de chacun (leçon 16) : comment chaque type gère-t-il les émotions difficiles — stratégie positive/optimiste, compétence/retrait émotionnel, ou intensité/réactivité ? Comment ces deux modes se heurtent-ils dans vos conflits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Nommer le cercle de conflit typique : quelle séquence se répète ? (Ex. : « Quand X fait A, je fais B, ce qui provoque A encore plus fort…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4. Construire ton protocole de réparation en cinq étapes (cf. théorie), adapté à cette combinaison spécifique. Pour chaque étape, formule une phrase concrète que tu pourrais réellement dire.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5. Identifier le moment précis dans le cycle de conflit où il serait le plus utile d'intervenir — avant l'escalade, pendant, ou après.</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1F2937"/>
          <w:sz w:val="22"/>
          <w:szCs w:val="22"/>
        </w:rPr>
        <w:t xml:space="preserve">Ce challenge vise à transformer la théorie en outil personnel, ancré dans une relation réelle. C'est l'étape la plus exigeante du parcours parce qu'elle demande à la fois une connaissance du modèle (types, triades, niveaux) et une lucidité personnelle sur ses propres mécanismes.</w:t>
      </w:r>
    </w:p>
    <w:p>
      <w:pPr>
        <w:pBdr>
          <w:bottom w:val="single" w:color="1B3A6B" w:sz="6"/>
        </w:pBdr>
        <w:spacing w:after="100" w:before="100"/>
      </w:pPr>
    </w:p>
    <w:p>
      <w:pPr>
        <w:pStyle w:val="Heading2"/>
        <w:spacing w:after="100" w:before="300"/>
      </w:pPr>
      <w:r>
        <w:rPr>
          <w:rFonts w:ascii="Times New Roman" w:cs="Times New Roman" w:eastAsia="Times New Roman" w:hAnsi="Times New Roman"/>
          <w:b/>
          <w:bCs/>
          <w:color w:val="1B3A6B"/>
          <w:sz w:val="30"/>
          <w:szCs w:val="30"/>
        </w:rPr>
        <w:t xml:space="preserve">🌉 Pont pro (optionnel)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La conscience de ses propres réflexes défensifs — et de la peur qui les sous-tend — est une ressource personnelle pour un chef de service en ESSMS, notamment dans les situations de tension avec les équipes, les familles ou les partenaires institutionnels. Reconnaître son propre cercle de conflit avant qu'il s'emballe est une compétence de régulation qui s'affine avec la pratique.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iCs/>
          <w:color w:val="6B7280"/>
          <w:sz w:val="22"/>
          <w:szCs w:val="22"/>
        </w:rPr>
        <w:t xml:space="preserve">Rappel (règle D3) : ce que cette leçon apporte est de l'ordre de la préparation personnelle de l'apprenant — non un contenu à transmettre en équipe, ni une grille d'analyse à appliquer sur les personnes accompagnées ou les collègues.</w:t>
      </w:r>
    </w:p>
    <w:p>
      <w:pPr>
        <w:pBdr>
          <w:bottom w:val="single" w:color="1B3A6B" w:sz="6"/>
        </w:pBdr>
        <w:spacing w:after="100" w:before="100"/>
      </w:pPr>
    </w:p>
    <w:p>
      <w:pPr>
        <w:pStyle w:val="Heading2"/>
        <w:spacing w:after="100" w:before="300"/>
      </w:pPr>
      <w:r>
        <w:rPr>
          <w:rFonts w:ascii="Times New Roman" w:cs="Times New Roman" w:eastAsia="Times New Roman" w:hAnsi="Times New Roman"/>
          <w:b/>
          <w:bCs/>
          <w:color w:val="1B3A6B"/>
          <w:sz w:val="30"/>
          <w:szCs w:val="30"/>
        </w:rPr>
        <w:t xml:space="preserve">📚 Ressources</w:t>
      </w:r>
    </w:p>
    <w:p>
      <w:pPr>
        <w:spacing w:after="80" w:before="80"/>
      </w:pPr>
      <w:r>
        <w:rPr>
          <w:rFonts w:ascii="Times New Roman" w:cs="Times New Roman" w:eastAsia="Times New Roman" w:hAnsi="Times New Roman"/>
          <w:b w:val="false"/>
          <w:bCs w:val="false"/>
          <w:i/>
          <w:iCs/>
          <w:color w:val="6B7280"/>
          <w:sz w:val="22"/>
          <w:szCs w:val="22"/>
        </w:rPr>
        <w:t xml:space="preserve">Note préliminaire (règle B1) : les quatre ressources ci-dessous proviennent d'instituts et de praticiens de l'ennéagramme — tous ont un intérêt commercial dans la promotion du modèle. Elles font autorité sur ce que leurs auteurs ont écrit et enseigné ; elles ne constituent pas une validation scientifique indépendante. L'Enneagram Institute est juge et partie dès qu'il s'agit de la validité du modèle.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Sources consultées pendant cette exécution (toutes testées HTTP 200) :</w:t>
      </w:r>
    </w:p>
    <w:p>
      <w:pPr>
        <w:spacing w:after="60" w:before="60"/>
      </w:pPr>
      <w:r>
        <w:rPr>
          <w:rFonts w:ascii="Times New Roman" w:cs="Times New Roman" w:eastAsia="Times New Roman" w:hAnsi="Times New Roman"/>
          <w:color w:val="1F2937"/>
          <w:sz w:val="22"/>
          <w:szCs w:val="22"/>
        </w:rPr>
        <w:t xml:space="preserve">→ </w:t>
      </w:r>
      <w:hyperlink w:history="1" r:id="rIdapfdsipyakyryymdy0xoc">
        <w:r>
          <w:rPr>
            <w:rStyle w:val="Hyperlink"/>
            <w:rFonts w:ascii="Times New Roman" w:cs="Times New Roman" w:eastAsia="Times New Roman" w:hAnsi="Times New Roman"/>
            <w:color w:val="1155CC"/>
            <w:sz w:val="22"/>
            <w:szCs w:val="22"/>
            <w:u w:val="single"/>
          </w:rPr>
          <w:t xml:space="preserve">The Enneagram Institute — Relationships (Type Combinations) : matrice des 45 combinaisons, principe « no pairing is doomed »</w:t>
        </w:r>
      </w:hyperlink>
    </w:p>
    <w:p>
      <w:pPr>
        <w:spacing w:after="60" w:before="60"/>
      </w:pPr>
      <w:r>
        <w:rPr>
          <w:rFonts w:ascii="Times New Roman" w:cs="Times New Roman" w:eastAsia="Times New Roman" w:hAnsi="Times New Roman"/>
          <w:color w:val="1F2937"/>
          <w:sz w:val="22"/>
          <w:szCs w:val="22"/>
        </w:rPr>
        <w:t xml:space="preserve">→ </w:t>
      </w:r>
      <w:hyperlink w:history="1" r:id="rIdz-fvo2dcq9jo72ngof-92">
        <w:r>
          <w:rPr>
            <w:rStyle w:val="Hyperlink"/>
            <w:rFonts w:ascii="Times New Roman" w:cs="Times New Roman" w:eastAsia="Times New Roman" w:hAnsi="Times New Roman"/>
            <w:color w:val="1155CC"/>
            <w:sz w:val="22"/>
            <w:szCs w:val="22"/>
            <w:u w:val="single"/>
          </w:rPr>
          <w:t xml:space="preserve">Dr. David Daniels — Enneagram Types in Relationship : modèle en trois dimensions (reconnaître / apprécier / tâche clé), cercles de conflit</w:t>
        </w:r>
      </w:hyperlink>
    </w:p>
    <w:p>
      <w:pPr>
        <w:spacing w:after="60" w:before="60"/>
      </w:pPr>
      <w:r>
        <w:rPr>
          <w:rFonts w:ascii="Times New Roman" w:cs="Times New Roman" w:eastAsia="Times New Roman" w:hAnsi="Times New Roman"/>
          <w:color w:val="1F2937"/>
          <w:sz w:val="22"/>
          <w:szCs w:val="22"/>
        </w:rPr>
        <w:t xml:space="preserve">→ </w:t>
      </w:r>
      <w:hyperlink w:history="1" r:id="rIdyffiyqckj4f55xhrb01ih">
        <w:r>
          <w:rPr>
            <w:rStyle w:val="Hyperlink"/>
            <w:rFonts w:ascii="Times New Roman" w:cs="Times New Roman" w:eastAsia="Times New Roman" w:hAnsi="Times New Roman"/>
            <w:color w:val="1155CC"/>
            <w:sz w:val="22"/>
            <w:szCs w:val="22"/>
            <w:u w:val="single"/>
          </w:rPr>
          <w:t xml:space="preserve">9takes — Enneagram Types in Relationships: How Each Type Loves, Fights, and Repairs : réflexes défensifs par type, protocole de réparation en cinq étapes</w:t>
        </w:r>
      </w:hyperlink>
    </w:p>
    <w:p>
      <w:pPr>
        <w:spacing w:after="60" w:before="60"/>
      </w:pPr>
      <w:r>
        <w:rPr>
          <w:rFonts w:ascii="Times New Roman" w:cs="Times New Roman" w:eastAsia="Times New Roman" w:hAnsi="Times New Roman"/>
          <w:color w:val="1F2937"/>
          <w:sz w:val="22"/>
          <w:szCs w:val="22"/>
        </w:rPr>
        <w:t xml:space="preserve">→ </w:t>
      </w:r>
      <w:hyperlink w:history="1" r:id="rIdxsudrhdvtkqx3hgcp_ghu">
        <w:r>
          <w:rPr>
            <w:rStyle w:val="Hyperlink"/>
            <w:rFonts w:ascii="Times New Roman" w:cs="Times New Roman" w:eastAsia="Times New Roman" w:hAnsi="Times New Roman"/>
            <w:color w:val="1155CC"/>
            <w:sz w:val="22"/>
            <w:szCs w:val="22"/>
            <w:u w:val="single"/>
          </w:rPr>
          <w:t xml:space="preserve">Growing Self (Dr. Lisa Marie Bobby, LMFT) — Enneagram Types and Relationships: Is Your Personality Compatible with Your Partner's? : compatibilité, conflit, croissance (publié janvier 2026)</w:t>
        </w:r>
      </w:hyperlink>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Sources inaccessibles lors de cette exécution :</w:t>
      </w:r>
    </w:p>
    <w:p>
      <w:pPr>
        <w:spacing w:after="80" w:before="80"/>
      </w:pPr>
      <w:r>
        <w:rPr>
          <w:rFonts w:ascii="Times New Roman" w:cs="Times New Roman" w:eastAsia="Times New Roman" w:hAnsi="Times New Roman"/>
          <w:b w:val="false"/>
          <w:bCs w:val="false"/>
          <w:i w:val="false"/>
          <w:iCs w:val="false"/>
          <w:color w:val="1F2937"/>
          <w:sz w:val="22"/>
          <w:szCs w:val="22"/>
        </w:rPr>
        <w:t xml:space="preserve">⛔ thenarrativeenneagram.org/enneagram-and-relationships — 404 lors du fetch.</w:t>
      </w:r>
    </w:p>
    <w:p>
      <w:pPr>
        <w:spacing w:after="80" w:before="80"/>
      </w:pPr>
      <w:r>
        <w:rPr>
          <w:rFonts w:ascii="Times New Roman" w:cs="Times New Roman" w:eastAsia="Times New Roman" w:hAnsi="Times New Roman"/>
          <w:b w:val="false"/>
          <w:bCs w:val="false"/>
          <w:i w:val="false"/>
          <w:iCs w:val="false"/>
          <w:color w:val="1F2937"/>
          <w:sz w:val="22"/>
          <w:szCs w:val="22"/>
        </w:rPr>
        <w:t xml:space="preserve">⛔ integrative9.com/enneagram/relationships — 404 lors du fetch.</w:t>
      </w:r>
    </w:p>
    <w:p>
      <w:pPr>
        <w:spacing w:after="80" w:before="80"/>
      </w:pPr>
      <w:r>
        <w:rPr>
          <w:rFonts w:ascii="Times New Roman" w:cs="Times New Roman" w:eastAsia="Times New Roman" w:hAnsi="Times New Roman"/>
          <w:b w:val="false"/>
          <w:bCs w:val="false"/>
          <w:i w:val="false"/>
          <w:iCs w:val="false"/>
          <w:color w:val="1F2937"/>
          <w:sz w:val="22"/>
          <w:szCs w:val="22"/>
        </w:rPr>
        <w:t xml:space="preserve">⛔ enneagramadventures.com/enneagram-relationships — timeout lors du fetch.</w:t>
      </w:r>
    </w:p>
    <w:p>
      <w:pPr>
        <w:pBdr>
          <w:bottom w:val="single" w:color="1B3A6B" w:sz="6"/>
        </w:pBdr>
        <w:spacing w:after="100" w:before="100"/>
      </w:pPr>
    </w:p>
    <w:p>
      <w:pPr>
        <w:pStyle w:val="Heading2"/>
        <w:spacing w:after="10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18 / 20 — L'ennéagramme en contexte professionnel : usages légitimes, dérives à éviter, et pourquoi il n'a pas sa place dans un recrutement ou une évaluation.</w:t>
      </w:r>
    </w:p>
    <w:p>
      <w:pPr>
        <w:spacing w:after="80" w:before="80"/>
      </w:pPr>
      <w:r>
        <w:rPr>
          <w:rFonts w:ascii="Times New Roman" w:cs="Times New Roman" w:eastAsia="Times New Roman" w:hAnsi="Times New Roman"/>
          <w:b w:val="false"/>
          <w:bCs w:val="false"/>
          <w:i/>
          <w:iCs/>
          <w:color w:val="1F2937"/>
          <w:sz w:val="22"/>
          <w:szCs w:val="22"/>
        </w:rPr>
        <w:t xml:space="preserve">Cette leçon fermera la boucle sur les usages du modèle en milieu de travail, en distinguant ce qui relève du développement personnel de ce qui constitue une dérive instrumentale — particulièrement importante dans le contexte médico-social.</w:t>
      </w:r>
    </w:p>
    <w:p>
      <w:pPr>
        <w:pStyle w:val="Heading2"/>
        <w:spacing w:after="80" w:before="24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b w:val="false"/>
          <w:bCs w:val="false"/>
          <w:i/>
          <w:iCs/>
          <w:color w:val="1F2937"/>
          <w:sz w:val="22"/>
          <w:szCs w:val="22"/>
        </w:rPr>
        <w:t xml:space="preserve">Corrigée le 24/09/2026. Les quatre pages ont été rouvertes ; les formulations d'origine sont conservées ici, et seulement ici.</w:t>
      </w:r>
    </w:p>
    <w:p>
      <w:pPr>
        <w:spacing w:after="80" w:before="80"/>
      </w:pPr>
      <w:r>
        <w:rPr>
          <w:rFonts w:ascii="Times New Roman" w:cs="Times New Roman" w:eastAsia="Times New Roman" w:hAnsi="Times New Roman"/>
          <w:b w:val="false"/>
          <w:bCs w:val="false"/>
          <w:i/>
          <w:iCs/>
          <w:color w:val="1F2937"/>
          <w:sz w:val="22"/>
          <w:szCs w:val="22"/>
        </w:rPr>
        <w:t xml:space="preserve">① LA CLAUSE DE SÉCURITÉ, ABSENTE DE LA LEÇON LIVRÉE. 9takes écrit juste après la cinquième étape : « This process does not apply when there is abuse, coercive control, or fear for someone's safety. In those cases, the priority is support and safety, not better type communication », et renvoie à une ligne d'écoute. La leçon reprenait les cinq étapes et supprimait l'exclusion. C'est le défaut le plus sérieux de cette leçon.</w:t>
      </w:r>
    </w:p>
    <w:p>
      <w:pPr>
        <w:spacing w:after="80" w:before="80"/>
      </w:pPr>
      <w:r>
        <w:rPr>
          <w:rFonts w:ascii="Times New Roman" w:cs="Times New Roman" w:eastAsia="Times New Roman" w:hAnsi="Times New Roman"/>
          <w:b w:val="false"/>
          <w:bCs w:val="false"/>
          <w:i/>
          <w:iCs/>
          <w:color w:val="1F2937"/>
          <w:sz w:val="22"/>
          <w:szCs w:val="22"/>
        </w:rPr>
        <w:t xml:space="preserve">② « Le Dr David Daniels (médecin et professeur à Stanford, co-fondateur de l'Enneagram Worldwide) » → sur sa page : professor 0, psychiatry 0, co-founder 0, Enneagram Worldwide 0 ; Stanford seulement dans un item de menu. La page porte « M.D. » et nomme « The Narrative Enneagram ».</w:t>
      </w:r>
    </w:p>
    <w:p>
      <w:pPr>
        <w:spacing w:after="80" w:before="80"/>
      </w:pPr>
      <w:r>
        <w:rPr>
          <w:rFonts w:ascii="Times New Roman" w:cs="Times New Roman" w:eastAsia="Times New Roman" w:hAnsi="Times New Roman"/>
          <w:b w:val="false"/>
          <w:bCs w:val="false"/>
          <w:i/>
          <w:iCs/>
          <w:color w:val="1F2937"/>
          <w:sz w:val="22"/>
          <w:szCs w:val="22"/>
        </w:rPr>
        <w:t xml:space="preserve">③ « l'influence des ailes » → Daniels écrit « the influence of other types ». Les ailes sont les deux types adjacents ; les autres types incluent aussi les flèches.</w:t>
      </w:r>
    </w:p>
    <w:p>
      <w:pPr>
        <w:spacing w:after="80" w:before="80"/>
      </w:pPr>
      <w:r>
        <w:rPr>
          <w:rFonts w:ascii="Times New Roman" w:cs="Times New Roman" w:eastAsia="Times New Roman" w:hAnsi="Times New Roman"/>
          <w:b w:val="false"/>
          <w:bCs w:val="false"/>
          <w:i/>
          <w:iCs/>
          <w:color w:val="1F2937"/>
          <w:sz w:val="22"/>
          <w:szCs w:val="22"/>
        </w:rPr>
        <w:t xml:space="preserve">④ Trois questions du tableau avaient perdu leur moitié relationnelle : le 6 (« Are we safe, and can I trust your word? ») était devenu une question sur l'autre, le 7 (« Can commitment hold freedom and pain? ») perdait la douleur, le 9 (« Can I have needs without losing connection? ») perdait le lien.</w:t>
      </w:r>
    </w:p>
    <w:p>
      <w:pPr>
        <w:spacing w:after="80" w:before="80"/>
      </w:pPr>
      <w:r>
        <w:rPr>
          <w:rFonts w:ascii="Times New Roman" w:cs="Times New Roman" w:eastAsia="Times New Roman" w:hAnsi="Times New Roman"/>
          <w:b w:val="false"/>
          <w:bCs w:val="false"/>
          <w:i/>
          <w:iCs/>
          <w:color w:val="1F2937"/>
          <w:sz w:val="22"/>
          <w:szCs w:val="22"/>
        </w:rPr>
        <w:t xml:space="preserve">⑤ « c'est la position explicite des sources mobilisées » → la revue de Hook et coll. (2021), « a 2021 systematic review of 104 independent samples », que 9takes cite dans sa section « What the Research Can and Cannot Tell Us » et que la leçon 13 avait déjà établie.</w:t>
      </w:r>
    </w:p>
    <w:p>
      <w:pPr>
        <w:spacing w:after="80" w:before="80"/>
      </w:pPr>
      <w:r>
        <w:rPr>
          <w:rFonts w:ascii="Times New Roman" w:cs="Times New Roman" w:eastAsia="Times New Roman" w:hAnsi="Times New Roman"/>
          <w:b w:val="false"/>
          <w:bCs w:val="false"/>
          <w:i/>
          <w:iCs/>
          <w:color w:val="1F2937"/>
          <w:sz w:val="22"/>
          <w:szCs w:val="22"/>
        </w:rPr>
        <w:t xml:space="preserve">⑥ Growing Self était listée avec une caractérisation datée sans que rien du corps n'en vienne ; sa section « Compatibility Is Less Important Than Understanding » est désormais citée à l'endroit où elle converge avec la leçon.</w:t>
      </w:r>
    </w:p>
    <w:p>
      <w:pPr>
        <w:spacing w:after="80" w:before="80"/>
      </w:pPr>
      <w:r>
        <w:rPr>
          <w:rFonts w:ascii="Times New Roman" w:cs="Times New Roman" w:eastAsia="Times New Roman" w:hAnsi="Times New Roman"/>
          <w:b w:val="false"/>
          <w:bCs w:val="false"/>
          <w:i/>
          <w:iCs/>
          <w:color w:val="1F2937"/>
          <w:sz w:val="22"/>
          <w:szCs w:val="22"/>
        </w:rPr>
        <w:t xml:space="preserve">Vérifié et inchangé : la citation de l'Enneagram Institute (« No pairing of types is particularly blessed and no pairing is particularly doomed ») et ses trois facteurs ; les 45 combinaisons de Daniels, son « circle of conflict », ses trois aspects et ses « Words of Gentle Caution » ; les neuf réflexes défensifs de 9takes, mot pour mot ; les cinq étapes du protocole, dans l'ordre ; et l'avertissement sur le caractère commercial des quatre sources.</w:t>
      </w:r>
    </w:p>
    <w:sectPr>
      <w:pgSz w:w="11906" w:h="16838" w:orient="portrait"/>
      <w:pgMar w:top="1133"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pfdsipyakyryymdy0xoc" Type="http://schemas.openxmlformats.org/officeDocument/2006/relationships/hyperlink" Target="https://www.enneagraminstitute.com/the-enneagram-type-combinations/" TargetMode="External"/><Relationship Id="rIdz-fvo2dcq9jo72ngof-92" Type="http://schemas.openxmlformats.org/officeDocument/2006/relationships/hyperlink" Target="https://drdaviddaniels.com/enneagram-types-in-relationship/" TargetMode="External"/><Relationship Id="rIdyffiyqckj4f55xhrb01ih" Type="http://schemas.openxmlformats.org/officeDocument/2006/relationships/hyperlink" Target="https://9takes.com/enneagram-corner/enneagram-types-in-relationships" TargetMode="External"/><Relationship Id="rIdxsudrhdvtkqx3hgcp_ghu" Type="http://schemas.openxmlformats.org/officeDocument/2006/relationships/hyperlink" Target="https://www.growingself.com/enneagram-types-relationship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2026-09-23T07:07:20.318Z</dcterms:created>
  <dcterms:modified xsi:type="dcterms:W3CDTF">2026-09-23T07:07:20.507Z</dcterms:modified>
</cp:coreProperties>
</file>

<file path=docProps/custom.xml><?xml version="1.0" encoding="utf-8"?>
<Properties xmlns="http://schemas.openxmlformats.org/officeDocument/2006/custom-properties" xmlns:vt="http://schemas.openxmlformats.org/officeDocument/2006/docPropsVTypes"/>
</file>