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Note de contrôle des livrables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Semaine du 23 août 2026 au 30 août 2026  ·  Produite le 30 août 2026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⚠️ Portée et limite de ce contrôle</w:t>
      </w:r>
    </w:p>
    <w:p>
      <w:pPr>
        <w:spacing w:after="80"/>
      </w:pPr>
      <w:r>
        <w:rPr>
          <w:b w:val="false"/>
          <w:bCs w:val="false"/>
          <w:color w:val="1F2937"/>
          <w:sz w:val="22"/>
          <w:szCs w:val="22"/>
        </w:rPr>
        <w:t xml:space="preserve">Ce contrôle est MÉCANIQUE et EXTERNE : liens (réponse HTTP), chiffres officiels (vérifiés à la source primaire), fenêtres temporelles des veilles, décomptes de sources. Il n'évalue PAS la qualité éditoriale, pédagogique ou la pertinence du contenu.</w:t>
      </w:r>
    </w:p>
    <w:p>
      <w:pPr>
        <w:spacing w:after="80"/>
      </w:pPr>
      <w:r>
        <w:rPr>
          <w:b w:val="false"/>
          <w:bCs w:val="false"/>
          <w:color w:val="1F2937"/>
          <w:sz w:val="22"/>
          <w:szCs w:val="22"/>
        </w:rPr>
        <w:t xml:space="preserve">Le contrôleur est le même type de modèle que le producteur des livrables : son jugement sur le style ou l'intérêt des leçons a peu de valeur (angle mort partagé). AUCUN livrable n'a été modifié.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🚦 Verdict global</w:t>
      </w:r>
    </w:p>
    <w:p>
      <w:pPr>
        <w:spacing w:after="80"/>
      </w:pPr>
      <w:r>
        <w:rPr>
          <w:b w:val="false"/>
          <w:bCs w:val="false"/>
          <w:color w:val="1F2937"/>
          <w:sz w:val="20"/>
          <w:szCs w:val="20"/>
        </w:rPr>
        <w:t xml:space="preserve">* Pour veille_ai-act et veille_has-actualite : les doublons dans le fichier XML des relations ont été dédupliqués pour les tests (même URL testée une seule fois). Le ratio « testés / déclarés » indique les URL uniques testées sur les URL déclarées dans le XML.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Liens testés / déclarés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Liens morts / inacc.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Chiffres vérifiés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Défauts</w:t>
            </w:r>
          </w:p>
        </w:tc>
        <w:tc>
          <w:tcPr>
            <w:shd w:fill="1B3A6B" w:color="1B3A6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placement-financier_12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placement-financier-lecon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8 / 8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PFU 31,4 % ✅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revenus-passifs_05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revenus-passifs-lecon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7 / 7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(000-timeout)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BNC 25,6 % ✅ (src sec.)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URL inacc.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revenus-passifs_06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revenus-passifs-lecon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6 / 6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PFU 31,4 % ✅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dzogchen_13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dzogchen-lecon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8 / 8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(502)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URL 502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astrologie-karmique_04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astrologie-karmique-lecon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5 / 5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psychopathologie_12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psychopathologie-lecon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9 / 9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 (403=anti-bot)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URL 403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stoicisme_12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stoicisme-lecon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7 / 7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enneagramme_13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enneagramme-lecon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8 / 8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 (403=anti-bot)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 URL 403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hypnose_11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hypnose-lecon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10 / 10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appli-ia_05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appli-ia-lecon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4 / 4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veille_ai-act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ai-act-veille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14 / 18 uniq.*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4 doublons XML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veille_has-actualite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veille-has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5 / 9 uniq.*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4 doublons XML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veille_imac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imac-veille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5 / 5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veille_SERAFIN-PH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serafin-ph-veille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3 / 3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fill="EEF2F7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🟢</w:t>
            </w:r>
          </w:p>
        </w:tc>
      </w:tr>
    </w:tbl>
    <w:p>
      <w:pPr>
        <w:spacing w:after="200"/>
      </w:pP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🔴 Défauts à corriger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Aucun défaut factuel confirmé sur source primaire cette semaine.</w:t>
      </w:r>
    </w:p>
    <w:p>
      <w:pPr>
        <w:spacing w:after="80"/>
      </w:pPr>
      <w:r>
        <w:rPr>
          <w:b w:val="false"/>
          <w:bCs w:val="false"/>
          <w:color w:val="1F2937"/>
          <w:sz w:val="22"/>
          <w:szCs w:val="22"/>
        </w:rPr>
        <w:t xml:space="preserve">Tous les chiffres réglementaires vérifiés (PFU 2026 = 12,8 % + 18,6 % = 31,4 %) sont exacts dans les livrables concernés.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🟠 Points de vigilance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1. URL inaccessible (000 - timeout) — revenus-passifs_05</w:t>
      </w:r>
    </w:p>
    <w:p>
      <w:pPr>
        <w:pBdr>
          <w:left w:val="single" w:color="D97706" w:sz="12"/>
        </w:pBdr>
        <w:shd w:fill="FFF4E5" w:color="auto" w:val="clear"/>
        <w:spacing w:after="60" w:before="60"/>
        <w:ind w:left="300"/>
      </w:pPr>
      <w:r>
        <w:rPr>
          <w:color w:val="1F2937"/>
          <w:sz w:val="22"/>
          <w:szCs w:val="22"/>
        </w:rPr>
        <w:t xml:space="preserve">URL : https://www.autoentrepreneur.urssaf.fr/portail/accueil/sinformer-sur-le-statut/lessentiel-du-statut.html
Le document le signale lui-même comme inaccessible lors de sa production. Les taux BNC 25,6 % et BNC CIPAV 23,2 % ont été vérifiés via abby.fr (source secondaire citant URSSAF), non sur la source primaire URSSAF directement. À reverifier dès que le portail URSSAF sera accessible.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2. URL 502 (erreur serveur) — dzogchen_13</w:t>
      </w:r>
    </w:p>
    <w:p>
      <w:pPr>
        <w:pBdr>
          <w:left w:val="single" w:color="D97706" w:sz="12"/>
        </w:pBdr>
        <w:shd w:fill="FFF4E5" w:color="auto" w:val="clear"/>
        <w:spacing w:after="60" w:before="60"/>
        <w:ind w:left="300"/>
      </w:pPr>
      <w:r>
        <w:rPr>
          <w:color w:val="1F2937"/>
          <w:sz w:val="22"/>
          <w:szCs w:val="22"/>
        </w:rPr>
        <w:t xml:space="preserve">URL : https://www.theosophical.org/publications/quest-magazine/sp-1550110798
Code HTTP 502 (Bad Gateway) au moment du test. Le serveur répond en erreur — la page peut être temporairement indisponible ou supprimée. Lien à reverifier ; si l'erreur persiste, la source doit être remplacée ou retirée du document.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3. URL 403 (blocage anti-robot probable) — psychopathologie_12</w:t>
      </w:r>
    </w:p>
    <w:p>
      <w:pPr>
        <w:pBdr>
          <w:left w:val="single" w:color="D97706" w:sz="12"/>
        </w:pBdr>
        <w:shd w:fill="FFF4E5" w:color="auto" w:val="clear"/>
        <w:spacing w:after="60" w:before="60"/>
        <w:ind w:left="300"/>
      </w:pPr>
      <w:r>
        <w:rPr>
          <w:color w:val="1F2937"/>
          <w:sz w:val="22"/>
          <w:szCs w:val="22"/>
        </w:rPr>
        <w:t xml:space="preserve">URL : https://shs.cairn.info/traite-clinique-du-psychotraumatisme--9782100860869-page-33?lang=fr
Code 403 probablement dû à une protection anti-bot de Cairn.info. La page existe vraisemblablement mais son contenu n'a pas pu être vérifié. Imprécision non critique (ouvrage de référence reconnu dans le champ).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4. URL 403 (blocage anti-robot probable) — enneagramme_13</w:t>
      </w:r>
    </w:p>
    <w:p>
      <w:pPr>
        <w:pBdr>
          <w:left w:val="single" w:color="D97706" w:sz="12"/>
        </w:pBdr>
        <w:shd w:fill="FFF4E5" w:color="auto" w:val="clear"/>
        <w:spacing w:after="60" w:before="60"/>
        <w:ind w:left="300"/>
      </w:pPr>
      <w:r>
        <w:rPr>
          <w:color w:val="1F2937"/>
          <w:sz w:val="22"/>
          <w:szCs w:val="22"/>
        </w:rPr>
        <w:t xml:space="preserve">URL : https://onlinelibrary.wiley.com/doi/10.1002/jclp.23097
Code 403 de Wiley — protection anti-scraping standard. Le DOI semble valide (format cohérent). Non critique pour la leçon, mais la citation de cet article ne peut pas être vérifiée en mode headless.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5. Doublons de liens dans les XML — veille_ai-act et veille_has-actualite</w:t>
      </w:r>
    </w:p>
    <w:p>
      <w:pPr>
        <w:pBdr>
          <w:left w:val="single" w:color="D97706" w:sz="12"/>
        </w:pBdr>
        <w:shd w:fill="FFF4E5" w:color="auto" w:val="clear"/>
        <w:spacing w:after="60" w:before="60"/>
        <w:ind w:left="300"/>
      </w:pPr>
      <w:r>
        <w:rPr>
          <w:color w:val="1F2937"/>
          <w:sz w:val="22"/>
          <w:szCs w:val="22"/>
        </w:rPr>
        <w:t xml:space="preserve">veille_ai-act : 18 URL déclarées dans word/_rels/document.xml.rels, dont 4 doublons exacts → 14 URL uniques testées.
veille_has-actualite : 9 URL déclarées, dont 4 doublons exacts → 5 URL uniques testées.
Ces doublons n'affectent pas la lecture du document (les liens fonctionnent) mais gonflent le compteur XML. Origine probable : liens répétés dans deux sections différentes du document (corps + liste sources). Non bloquant.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✅ Vérifications passées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Liens :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placement-financier_12 : 8/8 liens répondent 200 ✅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revenus-passifs_06 : 6/6 liens répondent 200 ✅ — service-public.fr, impots.gouv.fr, aspim.fr, amf-france.org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astrologie-karmique_04 : 5/5 liens répondent 200 ✅ — nasa.gov, obspm.fr, imcce.fr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stoicisme_12 : 7/7 liens répondent 200 ✅ — has-sante.fr, iep.utm.edu, worldhistory.org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hypnose_11 : 10/10 liens répondent 200 ✅ — inserm.fr, erickson-foundation.org, psychologytoday.com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appli-ia_05 : 4/4 liens répondent 200 ✅ — react.dev, vite.dev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veille_ai-act : 14 URL uniques → 14/14 répondent 200 ✅ — digital-strategy.ec.europa.eu, eur-lex.europa.eu, cnil.fr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veille_has-actualite : 5 URL uniques → 5/5 répondent 200 ✅ — has-sante.fr, bulletins-officiels.social.gouv.fr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veille_imac : 5/5 répondent 200 ✅ — macrumors.com, 9to5mac.com, notebookcheck.net, macg.co, leclaireur.fnac.com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veille_SERAFIN-PH : 3/3 répondent 200 ✅ — handicap.gouv.fr, bulletins-officiels.social.gouv.fr, cnsa.fr</w:t>
      </w:r>
    </w:p>
    <w:p>
      <w:pPr>
        <w:spacing w:after="80"/>
      </w:pP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Chiffres officiels :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PFU 2026 = 12,8 % (IR) + 18,6 % (prélèvements sociaux) = 31,4 % — confirmé sur lafinancepourtous.com et service-public.gouv.fr. Correct dans placement-financier_12 et revenus-passifs_06.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Taux cotisations auto-entrepreneur BNC régime général 25,6 % et CIPAV 23,2 % (2026) — confirmé via abby.fr (source secondaire citant URSSAF). Source primaire URSSAF inaccessible (timeout).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Régimes dérogatoires (PEL, CEL, assurance-vie antérieurs 2017, PEP) conservent 17,2 % — correctement signalé dans les deux leçons financières.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Fenêtres temporelles :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veille_has-actualite (17-24/08) : semaine creuse déclarée honnêtement, éléments hors fenêtre labellisés 'contexte' ✅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veille_imac (23-30/08) : fenêtre conforme, sources datées des 23 et 25/08/2026 ✅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veille_SERAFIN-PH (19-26/08) : semaine creuse déclarée, sources hors fenêtre signalées comme rappel/contexte ✅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veille_ai-act (19/07-29/08) : fenêtre étendue justifiée par les corrections de l'édition précédente — transparence assurée ✅</w:t>
      </w:r>
    </w:p>
    <w:p>
      <w:pPr>
        <w:spacing w:after="80"/>
      </w:pP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Citations :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Les leçons dzogchen, stoïcisme, enneagramme, astrologie-karmique attribuent leurs affirmations aux auteurs cités (Schulman, Riso &amp; Hudson) en formulation indirecte — pas de citations entre guillemets non vérifiables détectées.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b/>
          <w:bCs/>
          <w:color w:val="1B3A6B"/>
          <w:sz w:val="28"/>
          <w:szCs w:val="28"/>
        </w:rPr>
        <w:t xml:space="preserve">🔍 Non vérifiable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Contenu des pages cairn.info et wiley.com (code 403 anti-bot) : impossible de confirmer que la citation correspond exactement au texte de l'ouvrage.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Taux auto-entrepreneur sur la source primaire URSSAF (portail en timeout) : seule confirmation via source secondaire abby.fr.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Données iMac M6 (spécifications techniques, prix, date de lancement) : le document cite des sources journalistiques (MacRumors, 9to5Mac) qui sont des sources secondaires — aucune confirmation officielle Apple disponible (Apple ne communique pas à l'avance).</w:t>
      </w:r>
    </w:p>
    <w:p>
      <w:pPr>
        <w:spacing w:after="60"/>
        <w:ind w:left="360"/>
      </w:pPr>
      <w:r>
        <w:rPr>
          <w:color w:val="1F2937"/>
          <w:sz w:val="22"/>
          <w:szCs w:val="22"/>
        </w:rPr>
        <w:t xml:space="preserve">• Calculs exercices pratiques des 10 leçons non financières : absence de chiffres vérifiables contre une source primaire.</w:t>
      </w:r>
    </w:p>
    <w:p>
      <w:pPr>
        <w:spacing w:after="120" w:before="12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777777"/>
          <w:sz w:val="18"/>
          <w:szCs w:val="18"/>
        </w:rPr>
        <w:t xml:space="preserve">📊 Bilan : 14 livrables contrôlés  ·  107 URL déclarées  ·  99 URL uniques testées (8 doublons XML)  ·  Chiffres fiscaux vérifiés : 3 (PFU taux IR, prélèvements sociaux, taux auto-entrepreneur)  ·  Défauts 🔴 : 0  ·  Points de vigilance 🟠 : 5  ·  Produit le 30 août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2026-08-30T09:11:30.958Z</dcterms:created>
  <dcterms:modified xsi:type="dcterms:W3CDTF">2026-08-30T09:11:30.968Z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