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Placement financier n°19</w:t>
      </w:r>
    </w:p>
    <w:p>
      <w:pPr>
        <w:pStyle w:val="Heading1"/>
        <w:spacing w:after="200" w:before="200"/>
        <w:jc w:val="center"/>
      </w:pPr>
      <w:r>
        <w:rPr>
          <w:rFonts w:ascii="Times New Roman" w:cs="Times New Roman" w:eastAsia="Times New Roman" w:hAnsi="Times New Roman"/>
          <w:b/>
          <w:bCs/>
          <w:color w:val="1B3A6B"/>
          <w:sz w:val="52"/>
          <w:szCs w:val="52"/>
        </w:rPr>
        <w:t xml:space="preserve">Construire une allocation cohérente</w:t>
      </w:r>
    </w:p>
    <w:p>
      <w:pPr>
        <w:pStyle w:val="Heading1"/>
        <w:spacing w:after="200" w:before="200"/>
        <w:jc w:val="center"/>
      </w:pPr>
      <w:r>
        <w:rPr>
          <w:rFonts w:ascii="Times New Roman" w:cs="Times New Roman" w:eastAsia="Times New Roman" w:hAnsi="Times New Roman"/>
          <w:b/>
          <w:bCs/>
          <w:color w:val="1B3A6B"/>
          <w:sz w:val="52"/>
          <w:szCs w:val="52"/>
        </w:rPr>
        <w:t xml:space="preserve">et la tenir dans la durée</w:t>
      </w:r>
    </w:p>
    <w:p>
      <w:pPr>
        <w:spacing w:after="100"/>
        <w:jc w:val="center"/>
      </w:pPr>
      <w:r>
        <w:rPr>
          <w:rFonts w:ascii="Times New Roman" w:cs="Times New Roman" w:eastAsia="Times New Roman" w:hAnsi="Times New Roman"/>
          <w:b w:val="false"/>
          <w:bCs w:val="false"/>
          <w:i/>
          <w:iCs/>
          <w:color w:val="1B3A6B"/>
          <w:sz w:val="30"/>
          <w:szCs w:val="30"/>
        </w:rPr>
        <w:t xml:space="preserve">17 octobre 2026  ·  Leçon 19 / 20</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l'issue de cette leçon, tu sauras définir une allocation d'actifs adaptée à ton horizon de 7-8 ans, planifier sa sécurisation progressive année par année (glide path), et appliquer la discipline du rééquilibrage périodique pour maintenir le cap.</w:t>
      </w:r>
    </w:p>
    <w:p>
      <w:pPr>
        <w:spacing w:after="100"/>
      </w:pPr>
      <w:r>
        <w:rPr>
          <w:rFonts w:ascii="Times New Roman" w:cs="Times New Roman" w:eastAsia="Times New Roman" w:hAnsi="Times New Roman"/>
          <w:b w:val="false"/>
          <w:bCs w:val="false"/>
          <w:i w:val="false"/>
          <w:iCs w:val="false"/>
          <w:color w:val="1F2937"/>
          <w:sz w:val="22"/>
          <w:szCs w:val="22"/>
        </w:rPr>
        <w:t xml:space="preserve">Lien avec la leçon précédente (n°18) : après avoir reconstitué et estimé tes droits à la retraite, tu disposes d'une projection de revenus futurs. Cette leçon te permet de bâtir le pilier patrimonial complémentaire qui vient combler l'écart entre tes droits acquis et tes besoins réels à l'échéance.</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Rappel déontologique</w:t>
      </w:r>
    </w:p>
    <w:p>
      <w:pPr>
        <w:pBdr>
          <w:left w:val="single" w:color="1B3A6B" w:sz="6"/>
        </w:pBdr>
        <w:shd w:fill="F3F4F6" w:color="F3F4F6" w:val="solid"/>
        <w:spacing w:after="120" w:before="120"/>
        <w:ind w:left="431" w:right="431"/>
      </w:pPr>
      <w:r>
        <w:rPr>
          <w:rFonts w:ascii="Times New Roman" w:cs="Times New Roman" w:eastAsia="Times New Roman" w:hAnsi="Times New Roman"/>
          <w:i/>
          <w:iCs/>
          <w:color w:val="1F2937"/>
          <w:sz w:val="22"/>
          <w:szCs w:val="22"/>
        </w:rPr>
        <w:t xml:space="preserve">Cette leçon relève de l'éducation financière générale. Elle n'est en aucun cas un conseil en investissement personnalisé. Tout placement comporte un risque de perte en capital. Pour toute décision patrimoniale, consulte un conseiller en gestion de patrimoine (CGP) ou un conseiller en investissements financiers (CIF) agréé AMF.</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L'allocation d'actifs : de quoi parle-t-on ?</w:t>
      </w:r>
    </w:p>
    <w:p>
      <w:pPr>
        <w:spacing w:after="100"/>
      </w:pPr>
      <w:r>
        <w:rPr>
          <w:rFonts w:ascii="Times New Roman" w:cs="Times New Roman" w:eastAsia="Times New Roman" w:hAnsi="Times New Roman"/>
          <w:b w:val="false"/>
          <w:bCs w:val="false"/>
          <w:i w:val="false"/>
          <w:iCs w:val="false"/>
          <w:color w:val="1F2937"/>
          <w:sz w:val="22"/>
          <w:szCs w:val="22"/>
        </w:rPr>
        <w:t xml:space="preserve">L'allocation d'actifs consiste à répartir son épargne entre plusieurs classes d'actifs (actions, obligations, immobilier, liquidités) dans des proportions définies à l'avance, en cohérence avec son objectif, son horizon et sa tolérance au risque.</w:t>
      </w:r>
    </w:p>
    <w:p>
      <w:pPr>
        <w:spacing w:after="100"/>
      </w:pPr>
      <w:r>
        <w:rPr>
          <w:rFonts w:ascii="Times New Roman" w:cs="Times New Roman" w:eastAsia="Times New Roman" w:hAnsi="Times New Roman"/>
          <w:b w:val="false"/>
          <w:bCs w:val="false"/>
          <w:i w:val="false"/>
          <w:iCs w:val="false"/>
          <w:color w:val="1F2937"/>
          <w:sz w:val="22"/>
          <w:szCs w:val="22"/>
        </w:rPr>
        <w:t xml:space="preserve">On distingue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L'allocation stratégique : la cible de long terme, définie une fois et révisée tous les 3–5 ans ou lors d'un changement de situation majeur.</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L'allocation tactique : les ajustements à court terme en réponse aux conditions de marché. Déconseillée aux épargnants non professionnels : la littérature montre que le market timing détruit en moyenne de la valeur (source : lafinancepourtous.com, citée en ressources).</w:t>
      </w:r>
    </w:p>
    <w:p>
      <w:pPr>
        <w:spacing w:after="100"/>
      </w:pPr>
      <w:r>
        <w:rPr>
          <w:rFonts w:ascii="Times New Roman" w:cs="Times New Roman" w:eastAsia="Times New Roman" w:hAnsi="Times New Roman"/>
          <w:b w:val="false"/>
          <w:bCs w:val="false"/>
          <w:i w:val="false"/>
          <w:iCs w:val="false"/>
          <w:color w:val="1F2937"/>
          <w:sz w:val="22"/>
          <w:szCs w:val="22"/>
        </w:rPr>
        <w:t xml:space="preserve">L'allocation stratégique est le levier principal. Selon les études académiques citées par les régulateurs, elle explique la majorité de la performance à long terme d'un portefeuille diversifié.</w:t>
      </w:r>
    </w:p>
    <w:p>
      <w:pPr>
        <w:pStyle w:val="Heading3"/>
        <w:spacing w:after="80" w:before="200"/>
      </w:pPr>
      <w:r>
        <w:rPr>
          <w:rFonts w:ascii="Times New Roman" w:cs="Times New Roman" w:eastAsia="Times New Roman" w:hAnsi="Times New Roman"/>
          <w:b/>
          <w:bCs/>
          <w:color w:val="1F2937"/>
          <w:sz w:val="26"/>
          <w:szCs w:val="26"/>
        </w:rPr>
        <w:t xml:space="preserve">2. La règle des 100 moins l'âge — et ses limites</w:t>
      </w:r>
    </w:p>
    <w:p>
      <w:pPr>
        <w:spacing w:after="100"/>
      </w:pPr>
      <w:r>
        <w:rPr>
          <w:rFonts w:ascii="Times New Roman" w:cs="Times New Roman" w:eastAsia="Times New Roman" w:hAnsi="Times New Roman"/>
          <w:b w:val="false"/>
          <w:bCs w:val="false"/>
          <w:i w:val="false"/>
          <w:iCs w:val="false"/>
          <w:color w:val="1F2937"/>
          <w:sz w:val="22"/>
          <w:szCs w:val="22"/>
        </w:rPr>
        <w:t xml:space="preserve">Principe : allouer aux actions un pourcentage égal à (100 − âge). À 61 ans, cela donne 39 % d'actions, 61 % de supports défensifs.</w:t>
      </w:r>
    </w:p>
    <w:p>
      <w:pPr>
        <w:pBdr>
          <w:left w:val="single" w:color="1B3A6B" w:sz="6"/>
        </w:pBdr>
        <w:shd w:fill="F3F4F6" w:color="F3F4F6" w:val="solid"/>
        <w:spacing w:after="120" w:before="120"/>
        <w:ind w:left="431" w:right="431"/>
      </w:pPr>
      <w:r>
        <w:rPr>
          <w:rFonts w:ascii="Times New Roman" w:cs="Times New Roman" w:eastAsia="Times New Roman" w:hAnsi="Times New Roman"/>
          <w:i/>
          <w:iCs/>
          <w:color w:val="1F2937"/>
          <w:sz w:val="22"/>
          <w:szCs w:val="22"/>
        </w:rPr>
        <w:t xml:space="preserve">⚠️ Limite importante : cette règle, issue de la pratique américaine des années 1980, est jugée trop conservatrice dans le contexte actuel. L'espérance de vie à 61 ans dépasse 25 ans ; un portefeuille trop défensif perd son pouvoir d'achat face à l'inflation sur le long terme. La plupart des praticiens suggèrent d'utiliser la règle des 110 ou 120 moins l'âge, ou mieux : de raisonner à partir de son horizon explicite (ici 7-8 ans) et de sa capacité réelle à supporter la volatilité.</w:t>
      </w:r>
    </w:p>
    <w:p>
      <w:pPr>
        <w:spacing w:after="100"/>
      </w:pPr>
      <w:r>
        <w:rPr>
          <w:rFonts w:ascii="Times New Roman" w:cs="Times New Roman" w:eastAsia="Times New Roman" w:hAnsi="Times New Roman"/>
          <w:b w:val="false"/>
          <w:bCs w:val="false"/>
          <w:i w:val="false"/>
          <w:iCs w:val="false"/>
          <w:color w:val="1F2937"/>
          <w:sz w:val="22"/>
          <w:szCs w:val="22"/>
        </w:rPr>
        <w:t xml:space="preserve">La règle des 100 moins l'âge reste utile comme point de départ d'une discussion avec un conseiller, non comme prescription chiffrée définitive.</w:t>
      </w:r>
    </w:p>
    <w:p>
      <w:pPr>
        <w:pStyle w:val="Heading3"/>
        <w:spacing w:after="80" w:before="200"/>
      </w:pPr>
      <w:r>
        <w:rPr>
          <w:rFonts w:ascii="Times New Roman" w:cs="Times New Roman" w:eastAsia="Times New Roman" w:hAnsi="Times New Roman"/>
          <w:b/>
          <w:bCs/>
          <w:color w:val="1F2937"/>
          <w:sz w:val="26"/>
          <w:szCs w:val="26"/>
        </w:rPr>
        <w:t xml:space="preserve">3. Profils d'allocation — repères</w:t>
      </w:r>
    </w:p>
    <w:p>
      <w:pPr>
        <w:spacing w:after="100"/>
      </w:pPr>
      <w:r>
        <w:rPr>
          <w:rFonts w:ascii="Times New Roman" w:cs="Times New Roman" w:eastAsia="Times New Roman" w:hAnsi="Times New Roman"/>
          <w:b w:val="false"/>
          <w:bCs w:val="false"/>
          <w:i w:val="false"/>
          <w:iCs w:val="false"/>
          <w:color w:val="1F2937"/>
          <w:sz w:val="22"/>
          <w:szCs w:val="22"/>
        </w:rPr>
        <w:t xml:space="preserve">Le tableau ci-dessous présente des fourchettes indicatives, sans valeur de recommandation. Elles sont fondées sur les conventions utilisées dans la littérature de l'éducation financière (AMF, lafinancepourtous.com) :</w:t>
      </w:r>
    </w:p>
    <w:p>
      <w:pPr>
        <w:spacing w:after="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rPr>
          <w:tblHeader/>
        </w:trPr>
        <w:tc>
          <w:tcPr>
            <w:shd w:fill="1B3A6B" w:color="1B3A6B" w:val="solid"/>
          </w:tcPr>
          <w:p>
            <w:pPr>
              <w:jc w:val="center"/>
            </w:pPr>
            <w:r>
              <w:rPr>
                <w:rFonts w:ascii="Times New Roman" w:cs="Times New Roman" w:eastAsia="Times New Roman" w:hAnsi="Times New Roman"/>
                <w:b/>
                <w:bCs/>
                <w:color w:val="FFFFFF"/>
                <w:sz w:val="20"/>
                <w:szCs w:val="20"/>
              </w:rPr>
              <w:t xml:space="preserve">Profil</w:t>
            </w:r>
          </w:p>
        </w:tc>
        <w:tc>
          <w:tcPr>
            <w:shd w:fill="1B3A6B" w:color="1B3A6B" w:val="solid"/>
          </w:tcPr>
          <w:p>
            <w:pPr>
              <w:jc w:val="center"/>
            </w:pPr>
            <w:r>
              <w:rPr>
                <w:rFonts w:ascii="Times New Roman" w:cs="Times New Roman" w:eastAsia="Times New Roman" w:hAnsi="Times New Roman"/>
                <w:b/>
                <w:bCs/>
                <w:color w:val="FFFFFF"/>
                <w:sz w:val="20"/>
                <w:szCs w:val="20"/>
              </w:rPr>
              <w:t xml:space="preserve">Horizon</w:t>
            </w:r>
          </w:p>
        </w:tc>
        <w:tc>
          <w:tcPr>
            <w:shd w:fill="1B3A6B" w:color="1B3A6B" w:val="solid"/>
          </w:tcPr>
          <w:p>
            <w:pPr>
              <w:jc w:val="center"/>
            </w:pPr>
            <w:r>
              <w:rPr>
                <w:rFonts w:ascii="Times New Roman" w:cs="Times New Roman" w:eastAsia="Times New Roman" w:hAnsi="Times New Roman"/>
                <w:b/>
                <w:bCs/>
                <w:color w:val="FFFFFF"/>
                <w:sz w:val="20"/>
                <w:szCs w:val="20"/>
              </w:rPr>
              <w:t xml:space="preserve">% Actions</w:t>
            </w:r>
          </w:p>
        </w:tc>
        <w:tc>
          <w:tcPr>
            <w:shd w:fill="1B3A6B" w:color="1B3A6B" w:val="solid"/>
          </w:tcPr>
          <w:p>
            <w:pPr>
              <w:jc w:val="center"/>
            </w:pPr>
            <w:r>
              <w:rPr>
                <w:rFonts w:ascii="Times New Roman" w:cs="Times New Roman" w:eastAsia="Times New Roman" w:hAnsi="Times New Roman"/>
                <w:b/>
                <w:bCs/>
                <w:color w:val="FFFFFF"/>
                <w:sz w:val="20"/>
                <w:szCs w:val="20"/>
              </w:rPr>
              <w:t xml:space="preserve">% Obligations/fonds €</w:t>
            </w:r>
          </w:p>
        </w:tc>
        <w:tc>
          <w:tcPr>
            <w:shd w:fill="1B3A6B" w:color="1B3A6B" w:val="solid"/>
          </w:tcPr>
          <w:p>
            <w:pPr>
              <w:jc w:val="center"/>
            </w:pPr>
            <w:r>
              <w:rPr>
                <w:rFonts w:ascii="Times New Roman" w:cs="Times New Roman" w:eastAsia="Times New Roman" w:hAnsi="Times New Roman"/>
                <w:b/>
                <w:bCs/>
                <w:color w:val="FFFFFF"/>
                <w:sz w:val="20"/>
                <w:szCs w:val="20"/>
              </w:rPr>
              <w:t xml:space="preserve">% Liquidités</w:t>
            </w:r>
          </w:p>
        </w:tc>
      </w:tr>
      <w:tr>
        <w:tc>
          <w:tcPr>
            <w:shd w:fill="FFFFFF" w:color="FFFFFF" w:val="solid"/>
          </w:tcPr>
          <w:p>
            <w:pPr>
              <w:jc w:val="center"/>
            </w:pPr>
            <w:r>
              <w:rPr>
                <w:rFonts w:ascii="Times New Roman" w:cs="Times New Roman" w:eastAsia="Times New Roman" w:hAnsi="Times New Roman"/>
                <w:color w:val="1F2937"/>
                <w:sz w:val="20"/>
                <w:szCs w:val="20"/>
              </w:rPr>
              <w:t xml:space="preserve">Prudent</w:t>
            </w:r>
          </w:p>
        </w:tc>
        <w:tc>
          <w:tcPr>
            <w:shd w:fill="FFFFFF" w:color="FFFFFF" w:val="solid"/>
          </w:tcPr>
          <w:p>
            <w:pPr>
              <w:jc w:val="center"/>
            </w:pPr>
            <w:r>
              <w:rPr>
                <w:rFonts w:ascii="Times New Roman" w:cs="Times New Roman" w:eastAsia="Times New Roman" w:hAnsi="Times New Roman"/>
                <w:color w:val="1F2937"/>
                <w:sz w:val="20"/>
                <w:szCs w:val="20"/>
              </w:rPr>
              <w:t xml:space="preserve">&lt; 3 ans</w:t>
            </w:r>
          </w:p>
        </w:tc>
        <w:tc>
          <w:tcPr>
            <w:shd w:fill="FFFFFF" w:color="FFFFFF" w:val="solid"/>
          </w:tcPr>
          <w:p>
            <w:pPr>
              <w:jc w:val="center"/>
            </w:pPr>
            <w:r>
              <w:rPr>
                <w:rFonts w:ascii="Times New Roman" w:cs="Times New Roman" w:eastAsia="Times New Roman" w:hAnsi="Times New Roman"/>
                <w:color w:val="1F2937"/>
                <w:sz w:val="20"/>
                <w:szCs w:val="20"/>
              </w:rPr>
              <w:t xml:space="preserve">0–10 %</w:t>
            </w:r>
          </w:p>
        </w:tc>
        <w:tc>
          <w:tcPr>
            <w:shd w:fill="FFFFFF" w:color="FFFFFF" w:val="solid"/>
          </w:tcPr>
          <w:p>
            <w:pPr>
              <w:jc w:val="center"/>
            </w:pPr>
            <w:r>
              <w:rPr>
                <w:rFonts w:ascii="Times New Roman" w:cs="Times New Roman" w:eastAsia="Times New Roman" w:hAnsi="Times New Roman"/>
                <w:color w:val="1F2937"/>
                <w:sz w:val="20"/>
                <w:szCs w:val="20"/>
              </w:rPr>
              <w:t xml:space="preserve">60–70 %</w:t>
            </w:r>
          </w:p>
        </w:tc>
        <w:tc>
          <w:tcPr>
            <w:shd w:fill="FFFFFF" w:color="FFFFFF" w:val="solid"/>
          </w:tcPr>
          <w:p>
            <w:pPr>
              <w:jc w:val="center"/>
            </w:pPr>
            <w:r>
              <w:rPr>
                <w:rFonts w:ascii="Times New Roman" w:cs="Times New Roman" w:eastAsia="Times New Roman" w:hAnsi="Times New Roman"/>
                <w:color w:val="1F2937"/>
                <w:sz w:val="20"/>
                <w:szCs w:val="20"/>
              </w:rPr>
              <w:t xml:space="preserve">20–30 %</w:t>
            </w:r>
          </w:p>
        </w:tc>
      </w:tr>
      <w:tr>
        <w:tc>
          <w:tcPr>
            <w:shd w:fill="EEF2F7" w:color="EEF2F7" w:val="solid"/>
          </w:tcPr>
          <w:p>
            <w:pPr>
              <w:jc w:val="center"/>
            </w:pPr>
            <w:r>
              <w:rPr>
                <w:rFonts w:ascii="Times New Roman" w:cs="Times New Roman" w:eastAsia="Times New Roman" w:hAnsi="Times New Roman"/>
                <w:color w:val="1F2937"/>
                <w:sz w:val="20"/>
                <w:szCs w:val="20"/>
              </w:rPr>
              <w:t xml:space="preserve">Équilibré</w:t>
            </w:r>
          </w:p>
        </w:tc>
        <w:tc>
          <w:tcPr>
            <w:shd w:fill="EEF2F7" w:color="EEF2F7" w:val="solid"/>
          </w:tcPr>
          <w:p>
            <w:pPr>
              <w:jc w:val="center"/>
            </w:pPr>
            <w:r>
              <w:rPr>
                <w:rFonts w:ascii="Times New Roman" w:cs="Times New Roman" w:eastAsia="Times New Roman" w:hAnsi="Times New Roman"/>
                <w:color w:val="1F2937"/>
                <w:sz w:val="20"/>
                <w:szCs w:val="20"/>
              </w:rPr>
              <w:t xml:space="preserve">3–8 ans</w:t>
            </w:r>
          </w:p>
        </w:tc>
        <w:tc>
          <w:tcPr>
            <w:shd w:fill="EEF2F7" w:color="EEF2F7" w:val="solid"/>
          </w:tcPr>
          <w:p>
            <w:pPr>
              <w:jc w:val="center"/>
            </w:pPr>
            <w:r>
              <w:rPr>
                <w:rFonts w:ascii="Times New Roman" w:cs="Times New Roman" w:eastAsia="Times New Roman" w:hAnsi="Times New Roman"/>
                <w:color w:val="1F2937"/>
                <w:sz w:val="20"/>
                <w:szCs w:val="20"/>
              </w:rPr>
              <w:t xml:space="preserve">30–50 %</w:t>
            </w:r>
          </w:p>
        </w:tc>
        <w:tc>
          <w:tcPr>
            <w:shd w:fill="EEF2F7" w:color="EEF2F7" w:val="solid"/>
          </w:tcPr>
          <w:p>
            <w:pPr>
              <w:jc w:val="center"/>
            </w:pPr>
            <w:r>
              <w:rPr>
                <w:rFonts w:ascii="Times New Roman" w:cs="Times New Roman" w:eastAsia="Times New Roman" w:hAnsi="Times New Roman"/>
                <w:color w:val="1F2937"/>
                <w:sz w:val="20"/>
                <w:szCs w:val="20"/>
              </w:rPr>
              <w:t xml:space="preserve">40–55 %</w:t>
            </w:r>
          </w:p>
        </w:tc>
        <w:tc>
          <w:tcPr>
            <w:shd w:fill="EEF2F7" w:color="EEF2F7" w:val="solid"/>
          </w:tcPr>
          <w:p>
            <w:pPr>
              <w:jc w:val="center"/>
            </w:pPr>
            <w:r>
              <w:rPr>
                <w:rFonts w:ascii="Times New Roman" w:cs="Times New Roman" w:eastAsia="Times New Roman" w:hAnsi="Times New Roman"/>
                <w:color w:val="1F2937"/>
                <w:sz w:val="20"/>
                <w:szCs w:val="20"/>
              </w:rPr>
              <w:t xml:space="preserve">5–15 %</w:t>
            </w:r>
          </w:p>
        </w:tc>
      </w:tr>
      <w:tr>
        <w:tc>
          <w:tcPr>
            <w:shd w:fill="FFFFFF" w:color="FFFFFF" w:val="solid"/>
          </w:tcPr>
          <w:p>
            <w:pPr>
              <w:jc w:val="center"/>
            </w:pPr>
            <w:r>
              <w:rPr>
                <w:rFonts w:ascii="Times New Roman" w:cs="Times New Roman" w:eastAsia="Times New Roman" w:hAnsi="Times New Roman"/>
                <w:color w:val="1F2937"/>
                <w:sz w:val="20"/>
                <w:szCs w:val="20"/>
              </w:rPr>
              <w:t xml:space="preserve">Dynamique</w:t>
            </w:r>
          </w:p>
        </w:tc>
        <w:tc>
          <w:tcPr>
            <w:shd w:fill="FFFFFF" w:color="FFFFFF" w:val="solid"/>
          </w:tcPr>
          <w:p>
            <w:pPr>
              <w:jc w:val="center"/>
            </w:pPr>
            <w:r>
              <w:rPr>
                <w:rFonts w:ascii="Times New Roman" w:cs="Times New Roman" w:eastAsia="Times New Roman" w:hAnsi="Times New Roman"/>
                <w:color w:val="1F2937"/>
                <w:sz w:val="20"/>
                <w:szCs w:val="20"/>
              </w:rPr>
              <w:t xml:space="preserve">8–15 ans</w:t>
            </w:r>
          </w:p>
        </w:tc>
        <w:tc>
          <w:tcPr>
            <w:shd w:fill="FFFFFF" w:color="FFFFFF" w:val="solid"/>
          </w:tcPr>
          <w:p>
            <w:pPr>
              <w:jc w:val="center"/>
            </w:pPr>
            <w:r>
              <w:rPr>
                <w:rFonts w:ascii="Times New Roman" w:cs="Times New Roman" w:eastAsia="Times New Roman" w:hAnsi="Times New Roman"/>
                <w:color w:val="1F2937"/>
                <w:sz w:val="20"/>
                <w:szCs w:val="20"/>
              </w:rPr>
              <w:t xml:space="preserve">60–80 %</w:t>
            </w:r>
          </w:p>
        </w:tc>
        <w:tc>
          <w:tcPr>
            <w:shd w:fill="FFFFFF" w:color="FFFFFF" w:val="solid"/>
          </w:tcPr>
          <w:p>
            <w:pPr>
              <w:jc w:val="center"/>
            </w:pPr>
            <w:r>
              <w:rPr>
                <w:rFonts w:ascii="Times New Roman" w:cs="Times New Roman" w:eastAsia="Times New Roman" w:hAnsi="Times New Roman"/>
                <w:color w:val="1F2937"/>
                <w:sz w:val="20"/>
                <w:szCs w:val="20"/>
              </w:rPr>
              <w:t xml:space="preserve">15–35 %</w:t>
            </w:r>
          </w:p>
        </w:tc>
        <w:tc>
          <w:tcPr>
            <w:shd w:fill="FFFFFF" w:color="FFFFFF" w:val="solid"/>
          </w:tcPr>
          <w:p>
            <w:pPr>
              <w:jc w:val="center"/>
            </w:pPr>
            <w:r>
              <w:rPr>
                <w:rFonts w:ascii="Times New Roman" w:cs="Times New Roman" w:eastAsia="Times New Roman" w:hAnsi="Times New Roman"/>
                <w:color w:val="1F2937"/>
                <w:sz w:val="20"/>
                <w:szCs w:val="20"/>
              </w:rPr>
              <w:t xml:space="preserve">5 %</w:t>
            </w:r>
          </w:p>
        </w:tc>
      </w:tr>
      <w:tr>
        <w:tc>
          <w:tcPr>
            <w:shd w:fill="EEF2F7" w:color="EEF2F7" w:val="solid"/>
          </w:tcPr>
          <w:p>
            <w:pPr>
              <w:jc w:val="center"/>
            </w:pPr>
            <w:r>
              <w:rPr>
                <w:rFonts w:ascii="Times New Roman" w:cs="Times New Roman" w:eastAsia="Times New Roman" w:hAnsi="Times New Roman"/>
                <w:color w:val="1F2937"/>
                <w:sz w:val="20"/>
                <w:szCs w:val="20"/>
              </w:rPr>
              <w:t xml:space="preserve">Offensif</w:t>
            </w:r>
          </w:p>
        </w:tc>
        <w:tc>
          <w:tcPr>
            <w:shd w:fill="EEF2F7" w:color="EEF2F7" w:val="solid"/>
          </w:tcPr>
          <w:p>
            <w:pPr>
              <w:jc w:val="center"/>
            </w:pPr>
            <w:r>
              <w:rPr>
                <w:rFonts w:ascii="Times New Roman" w:cs="Times New Roman" w:eastAsia="Times New Roman" w:hAnsi="Times New Roman"/>
                <w:color w:val="1F2937"/>
                <w:sz w:val="20"/>
                <w:szCs w:val="20"/>
              </w:rPr>
              <w:t xml:space="preserve">&gt; 15 ans</w:t>
            </w:r>
          </w:p>
        </w:tc>
        <w:tc>
          <w:tcPr>
            <w:shd w:fill="EEF2F7" w:color="EEF2F7" w:val="solid"/>
          </w:tcPr>
          <w:p>
            <w:pPr>
              <w:jc w:val="center"/>
            </w:pPr>
            <w:r>
              <w:rPr>
                <w:rFonts w:ascii="Times New Roman" w:cs="Times New Roman" w:eastAsia="Times New Roman" w:hAnsi="Times New Roman"/>
                <w:color w:val="1F2937"/>
                <w:sz w:val="20"/>
                <w:szCs w:val="20"/>
              </w:rPr>
              <w:t xml:space="preserve">80–100 %</w:t>
            </w:r>
          </w:p>
        </w:tc>
        <w:tc>
          <w:tcPr>
            <w:shd w:fill="EEF2F7" w:color="EEF2F7" w:val="solid"/>
          </w:tcPr>
          <w:p>
            <w:pPr>
              <w:jc w:val="center"/>
            </w:pPr>
            <w:r>
              <w:rPr>
                <w:rFonts w:ascii="Times New Roman" w:cs="Times New Roman" w:eastAsia="Times New Roman" w:hAnsi="Times New Roman"/>
                <w:color w:val="1F2937"/>
                <w:sz w:val="20"/>
                <w:szCs w:val="20"/>
              </w:rPr>
              <w:t xml:space="preserve">0–15 %</w:t>
            </w:r>
          </w:p>
        </w:tc>
        <w:tc>
          <w:tcPr>
            <w:shd w:fill="EEF2F7" w:color="EEF2F7" w:val="solid"/>
          </w:tcPr>
          <w:p>
            <w:pPr>
              <w:jc w:val="center"/>
            </w:pPr>
            <w:r>
              <w:rPr>
                <w:rFonts w:ascii="Times New Roman" w:cs="Times New Roman" w:eastAsia="Times New Roman" w:hAnsi="Times New Roman"/>
                <w:color w:val="1F2937"/>
                <w:sz w:val="20"/>
                <w:szCs w:val="20"/>
              </w:rPr>
              <w:t xml:space="preserve">0–5 %</w:t>
            </w:r>
          </w:p>
        </w:tc>
      </w:tr>
    </w:tbl>
    <w:p>
      <w:pPr>
        <w:spacing w:after="100"/>
      </w:pPr>
    </w:p>
    <w:p>
      <w:pPr>
        <w:spacing w:after="100"/>
      </w:pPr>
      <w:r>
        <w:rPr>
          <w:rFonts w:ascii="Times New Roman" w:cs="Times New Roman" w:eastAsia="Times New Roman" w:hAnsi="Times New Roman"/>
          <w:b w:val="false"/>
          <w:bCs w:val="false"/>
          <w:i w:val="false"/>
          <w:iCs w:val="false"/>
          <w:color w:val="1F2937"/>
          <w:sz w:val="22"/>
          <w:szCs w:val="22"/>
        </w:rPr>
        <w:t xml:space="preserve">Pour un horizon de 7-8 ans, un profil équilibré à dynamique modéré (40–60 % actions) est généralement considéré comme cohérent dans la littérature — sous réserve de ta tolérance personnelle au risque. ⚠️ Risque de perte en capital réel sur la poche actions.</w:t>
      </w:r>
    </w:p>
    <w:p>
      <w:pPr>
        <w:pStyle w:val="Heading3"/>
        <w:spacing w:after="80" w:before="200"/>
      </w:pPr>
      <w:r>
        <w:rPr>
          <w:rFonts w:ascii="Times New Roman" w:cs="Times New Roman" w:eastAsia="Times New Roman" w:hAnsi="Times New Roman"/>
          <w:b/>
          <w:bCs/>
          <w:color w:val="1F2937"/>
          <w:sz w:val="26"/>
          <w:szCs w:val="26"/>
        </w:rPr>
        <w:t xml:space="preserve">4. La glide path : sécuriser progressivement</w:t>
      </w:r>
    </w:p>
    <w:p>
      <w:pPr>
        <w:spacing w:after="100"/>
      </w:pPr>
      <w:r>
        <w:rPr>
          <w:rFonts w:ascii="Times New Roman" w:cs="Times New Roman" w:eastAsia="Times New Roman" w:hAnsi="Times New Roman"/>
          <w:b w:val="false"/>
          <w:bCs w:val="false"/>
          <w:i w:val="false"/>
          <w:iCs w:val="false"/>
          <w:color w:val="1F2937"/>
          <w:sz w:val="22"/>
          <w:szCs w:val="22"/>
        </w:rPr>
        <w:t xml:space="preserve">Le risque de séquence désigne le danger qu'une baisse des marchés survienne juste avant ou juste après la date de mobilisation des fonds, forçant une vente à perte au pire moment. C'est le principal risque à gérer sur un horizon moyen terme.</w:t>
      </w:r>
    </w:p>
    <w:p>
      <w:pPr>
        <w:spacing w:after="100"/>
      </w:pPr>
      <w:r>
        <w:rPr>
          <w:rFonts w:ascii="Times New Roman" w:cs="Times New Roman" w:eastAsia="Times New Roman" w:hAnsi="Times New Roman"/>
          <w:b w:val="false"/>
          <w:bCs w:val="false"/>
          <w:i w:val="false"/>
          <w:iCs w:val="false"/>
          <w:color w:val="1F2937"/>
          <w:sz w:val="22"/>
          <w:szCs w:val="22"/>
        </w:rPr>
        <w:t xml:space="preserve">La glide path (ou trajectoire de désensibilisation) consiste à réduire mécaniquement la proportion d'actifs risqués chaque année, sans attendre de connaître les conditions de marché. Avantages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Automatisation de la discipline : pas de décision à prendre sous pression.</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Lissage du risque dans le temps.</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Évite la vente forcée massive au pire moment.</w:t>
      </w:r>
    </w:p>
    <w:p>
      <w:pPr>
        <w:spacing w:after="100"/>
      </w:pPr>
      <w:r>
        <w:rPr>
          <w:rFonts w:ascii="Times New Roman" w:cs="Times New Roman" w:eastAsia="Times New Roman" w:hAnsi="Times New Roman"/>
          <w:b w:val="false"/>
          <w:bCs w:val="false"/>
          <w:i w:val="false"/>
          <w:iCs w:val="false"/>
          <w:color w:val="1F2937"/>
          <w:sz w:val="22"/>
          <w:szCs w:val="22"/>
        </w:rPr>
        <w:t xml:space="preserve">Règle pratique couramment citée : réduire l'allocation actions de 5 % par an pendant les années précédant l'échéance. Exemple pour un départ à 60 % d'actions en 2026, horizon 2033 :</w:t>
      </w:r>
    </w:p>
    <w:p>
      <w:pPr>
        <w:spacing w:after="1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rPr>
          <w:tblHeader/>
        </w:trPr>
        <w:tc>
          <w:tcPr>
            <w:shd w:fill="1B3A6B" w:color="1B3A6B" w:val="solid"/>
          </w:tcPr>
          <w:p>
            <w:pPr>
              <w:jc w:val="center"/>
            </w:pPr>
            <w:r>
              <w:rPr>
                <w:rFonts w:ascii="Times New Roman" w:cs="Times New Roman" w:eastAsia="Times New Roman" w:hAnsi="Times New Roman"/>
                <w:b/>
                <w:bCs/>
                <w:color w:val="FFFFFF"/>
                <w:sz w:val="20"/>
                <w:szCs w:val="20"/>
              </w:rPr>
              <w:t xml:space="preserve">Année</w:t>
            </w:r>
          </w:p>
        </w:tc>
        <w:tc>
          <w:tcPr>
            <w:shd w:fill="1B3A6B" w:color="1B3A6B" w:val="solid"/>
          </w:tcPr>
          <w:p>
            <w:pPr>
              <w:jc w:val="center"/>
            </w:pPr>
            <w:r>
              <w:rPr>
                <w:rFonts w:ascii="Times New Roman" w:cs="Times New Roman" w:eastAsia="Times New Roman" w:hAnsi="Times New Roman"/>
                <w:b/>
                <w:bCs/>
                <w:color w:val="FFFFFF"/>
                <w:sz w:val="20"/>
                <w:szCs w:val="20"/>
              </w:rPr>
              <w:t xml:space="preserve">Âge</w:t>
            </w:r>
          </w:p>
        </w:tc>
        <w:tc>
          <w:tcPr>
            <w:shd w:fill="1B3A6B" w:color="1B3A6B" w:val="solid"/>
          </w:tcPr>
          <w:p>
            <w:pPr>
              <w:jc w:val="center"/>
            </w:pPr>
            <w:r>
              <w:rPr>
                <w:rFonts w:ascii="Times New Roman" w:cs="Times New Roman" w:eastAsia="Times New Roman" w:hAnsi="Times New Roman"/>
                <w:b/>
                <w:bCs/>
                <w:color w:val="FFFFFF"/>
                <w:sz w:val="20"/>
                <w:szCs w:val="20"/>
              </w:rPr>
              <w:t xml:space="preserve">% Actions</w:t>
            </w:r>
          </w:p>
        </w:tc>
        <w:tc>
          <w:tcPr>
            <w:shd w:fill="1B3A6B" w:color="1B3A6B" w:val="solid"/>
          </w:tcPr>
          <w:p>
            <w:pPr>
              <w:jc w:val="center"/>
            </w:pPr>
            <w:r>
              <w:rPr>
                <w:rFonts w:ascii="Times New Roman" w:cs="Times New Roman" w:eastAsia="Times New Roman" w:hAnsi="Times New Roman"/>
                <w:b/>
                <w:bCs/>
                <w:color w:val="FFFFFF"/>
                <w:sz w:val="20"/>
                <w:szCs w:val="20"/>
              </w:rPr>
              <w:t xml:space="preserve">% Sécurisé (fonds €, obligations)</w:t>
            </w:r>
          </w:p>
        </w:tc>
      </w:tr>
      <w:tr>
        <w:tc>
          <w:tcPr>
            <w:shd w:fill="FFFFFF" w:color="FFFFFF" w:val="solid"/>
          </w:tcPr>
          <w:p>
            <w:pPr>
              <w:jc w:val="center"/>
            </w:pPr>
            <w:r>
              <w:rPr>
                <w:rFonts w:ascii="Times New Roman" w:cs="Times New Roman" w:eastAsia="Times New Roman" w:hAnsi="Times New Roman"/>
                <w:color w:val="1F2937"/>
                <w:sz w:val="20"/>
                <w:szCs w:val="20"/>
              </w:rPr>
              <w:t xml:space="preserve">2026 (départ)</w:t>
            </w:r>
          </w:p>
        </w:tc>
        <w:tc>
          <w:tcPr>
            <w:shd w:fill="FFFFFF" w:color="FFFFFF" w:val="solid"/>
          </w:tcPr>
          <w:p>
            <w:pPr>
              <w:jc w:val="center"/>
            </w:pPr>
            <w:r>
              <w:rPr>
                <w:rFonts w:ascii="Times New Roman" w:cs="Times New Roman" w:eastAsia="Times New Roman" w:hAnsi="Times New Roman"/>
                <w:color w:val="1F2937"/>
                <w:sz w:val="20"/>
                <w:szCs w:val="20"/>
              </w:rPr>
              <w:t xml:space="preserve">61 ans</w:t>
            </w:r>
          </w:p>
        </w:tc>
        <w:tc>
          <w:tcPr>
            <w:shd w:fill="FFFFFF" w:color="FFFFFF" w:val="solid"/>
          </w:tcPr>
          <w:p>
            <w:pPr>
              <w:jc w:val="center"/>
            </w:pPr>
            <w:r>
              <w:rPr>
                <w:rFonts w:ascii="Times New Roman" w:cs="Times New Roman" w:eastAsia="Times New Roman" w:hAnsi="Times New Roman"/>
                <w:color w:val="1F2937"/>
                <w:sz w:val="20"/>
                <w:szCs w:val="20"/>
              </w:rPr>
              <w:t xml:space="preserve">60 %</w:t>
            </w:r>
          </w:p>
        </w:tc>
        <w:tc>
          <w:tcPr>
            <w:shd w:fill="FFFFFF" w:color="FFFFFF" w:val="solid"/>
          </w:tcPr>
          <w:p>
            <w:pPr>
              <w:jc w:val="center"/>
            </w:pPr>
            <w:r>
              <w:rPr>
                <w:rFonts w:ascii="Times New Roman" w:cs="Times New Roman" w:eastAsia="Times New Roman" w:hAnsi="Times New Roman"/>
                <w:color w:val="1F2937"/>
                <w:sz w:val="20"/>
                <w:szCs w:val="20"/>
              </w:rPr>
              <w:t xml:space="preserve">40 %</w:t>
            </w:r>
          </w:p>
        </w:tc>
      </w:tr>
      <w:tr>
        <w:tc>
          <w:tcPr>
            <w:shd w:fill="EEF2F7" w:color="EEF2F7" w:val="solid"/>
          </w:tcPr>
          <w:p>
            <w:pPr>
              <w:jc w:val="center"/>
            </w:pPr>
            <w:r>
              <w:rPr>
                <w:rFonts w:ascii="Times New Roman" w:cs="Times New Roman" w:eastAsia="Times New Roman" w:hAnsi="Times New Roman"/>
                <w:color w:val="1F2937"/>
                <w:sz w:val="20"/>
                <w:szCs w:val="20"/>
              </w:rPr>
              <w:t xml:space="preserve">2027</w:t>
            </w:r>
          </w:p>
        </w:tc>
        <w:tc>
          <w:tcPr>
            <w:shd w:fill="EEF2F7" w:color="EEF2F7" w:val="solid"/>
          </w:tcPr>
          <w:p>
            <w:pPr>
              <w:jc w:val="center"/>
            </w:pPr>
            <w:r>
              <w:rPr>
                <w:rFonts w:ascii="Times New Roman" w:cs="Times New Roman" w:eastAsia="Times New Roman" w:hAnsi="Times New Roman"/>
                <w:color w:val="1F2937"/>
                <w:sz w:val="20"/>
                <w:szCs w:val="20"/>
              </w:rPr>
              <w:t xml:space="preserve">62 ans</w:t>
            </w:r>
          </w:p>
        </w:tc>
        <w:tc>
          <w:tcPr>
            <w:shd w:fill="EEF2F7" w:color="EEF2F7" w:val="solid"/>
          </w:tcPr>
          <w:p>
            <w:pPr>
              <w:jc w:val="center"/>
            </w:pPr>
            <w:r>
              <w:rPr>
                <w:rFonts w:ascii="Times New Roman" w:cs="Times New Roman" w:eastAsia="Times New Roman" w:hAnsi="Times New Roman"/>
                <w:color w:val="1F2937"/>
                <w:sz w:val="20"/>
                <w:szCs w:val="20"/>
              </w:rPr>
              <w:t xml:space="preserve">55 %</w:t>
            </w:r>
          </w:p>
        </w:tc>
        <w:tc>
          <w:tcPr>
            <w:shd w:fill="EEF2F7" w:color="EEF2F7" w:val="solid"/>
          </w:tcPr>
          <w:p>
            <w:pPr>
              <w:jc w:val="center"/>
            </w:pPr>
            <w:r>
              <w:rPr>
                <w:rFonts w:ascii="Times New Roman" w:cs="Times New Roman" w:eastAsia="Times New Roman" w:hAnsi="Times New Roman"/>
                <w:color w:val="1F2937"/>
                <w:sz w:val="20"/>
                <w:szCs w:val="20"/>
              </w:rPr>
              <w:t xml:space="preserve">45 %</w:t>
            </w:r>
          </w:p>
        </w:tc>
      </w:tr>
      <w:tr>
        <w:tc>
          <w:tcPr>
            <w:shd w:fill="FFFFFF" w:color="FFFFFF" w:val="solid"/>
          </w:tcPr>
          <w:p>
            <w:pPr>
              <w:jc w:val="center"/>
            </w:pPr>
            <w:r>
              <w:rPr>
                <w:rFonts w:ascii="Times New Roman" w:cs="Times New Roman" w:eastAsia="Times New Roman" w:hAnsi="Times New Roman"/>
                <w:color w:val="1F2937"/>
                <w:sz w:val="20"/>
                <w:szCs w:val="20"/>
              </w:rPr>
              <w:t xml:space="preserve">2028</w:t>
            </w:r>
          </w:p>
        </w:tc>
        <w:tc>
          <w:tcPr>
            <w:shd w:fill="FFFFFF" w:color="FFFFFF" w:val="solid"/>
          </w:tcPr>
          <w:p>
            <w:pPr>
              <w:jc w:val="center"/>
            </w:pPr>
            <w:r>
              <w:rPr>
                <w:rFonts w:ascii="Times New Roman" w:cs="Times New Roman" w:eastAsia="Times New Roman" w:hAnsi="Times New Roman"/>
                <w:color w:val="1F2937"/>
                <w:sz w:val="20"/>
                <w:szCs w:val="20"/>
              </w:rPr>
              <w:t xml:space="preserve">63 ans</w:t>
            </w:r>
          </w:p>
        </w:tc>
        <w:tc>
          <w:tcPr>
            <w:shd w:fill="FFFFFF" w:color="FFFFFF" w:val="solid"/>
          </w:tcPr>
          <w:p>
            <w:pPr>
              <w:jc w:val="center"/>
            </w:pPr>
            <w:r>
              <w:rPr>
                <w:rFonts w:ascii="Times New Roman" w:cs="Times New Roman" w:eastAsia="Times New Roman" w:hAnsi="Times New Roman"/>
                <w:color w:val="1F2937"/>
                <w:sz w:val="20"/>
                <w:szCs w:val="20"/>
              </w:rPr>
              <w:t xml:space="preserve">50 %</w:t>
            </w:r>
          </w:p>
        </w:tc>
        <w:tc>
          <w:tcPr>
            <w:shd w:fill="FFFFFF" w:color="FFFFFF" w:val="solid"/>
          </w:tcPr>
          <w:p>
            <w:pPr>
              <w:jc w:val="center"/>
            </w:pPr>
            <w:r>
              <w:rPr>
                <w:rFonts w:ascii="Times New Roman" w:cs="Times New Roman" w:eastAsia="Times New Roman" w:hAnsi="Times New Roman"/>
                <w:color w:val="1F2937"/>
                <w:sz w:val="20"/>
                <w:szCs w:val="20"/>
              </w:rPr>
              <w:t xml:space="preserve">50 %</w:t>
            </w:r>
          </w:p>
        </w:tc>
      </w:tr>
      <w:tr>
        <w:tc>
          <w:tcPr>
            <w:shd w:fill="EEF2F7" w:color="EEF2F7" w:val="solid"/>
          </w:tcPr>
          <w:p>
            <w:pPr>
              <w:jc w:val="center"/>
            </w:pPr>
            <w:r>
              <w:rPr>
                <w:rFonts w:ascii="Times New Roman" w:cs="Times New Roman" w:eastAsia="Times New Roman" w:hAnsi="Times New Roman"/>
                <w:color w:val="1F2937"/>
                <w:sz w:val="20"/>
                <w:szCs w:val="20"/>
              </w:rPr>
              <w:t xml:space="preserve">2029</w:t>
            </w:r>
          </w:p>
        </w:tc>
        <w:tc>
          <w:tcPr>
            <w:shd w:fill="EEF2F7" w:color="EEF2F7" w:val="solid"/>
          </w:tcPr>
          <w:p>
            <w:pPr>
              <w:jc w:val="center"/>
            </w:pPr>
            <w:r>
              <w:rPr>
                <w:rFonts w:ascii="Times New Roman" w:cs="Times New Roman" w:eastAsia="Times New Roman" w:hAnsi="Times New Roman"/>
                <w:color w:val="1F2937"/>
                <w:sz w:val="20"/>
                <w:szCs w:val="20"/>
              </w:rPr>
              <w:t xml:space="preserve">64 ans</w:t>
            </w:r>
          </w:p>
        </w:tc>
        <w:tc>
          <w:tcPr>
            <w:shd w:fill="EEF2F7" w:color="EEF2F7" w:val="solid"/>
          </w:tcPr>
          <w:p>
            <w:pPr>
              <w:jc w:val="center"/>
            </w:pPr>
            <w:r>
              <w:rPr>
                <w:rFonts w:ascii="Times New Roman" w:cs="Times New Roman" w:eastAsia="Times New Roman" w:hAnsi="Times New Roman"/>
                <w:color w:val="1F2937"/>
                <w:sz w:val="20"/>
                <w:szCs w:val="20"/>
              </w:rPr>
              <w:t xml:space="preserve">45 %</w:t>
            </w:r>
          </w:p>
        </w:tc>
        <w:tc>
          <w:tcPr>
            <w:shd w:fill="EEF2F7" w:color="EEF2F7" w:val="solid"/>
          </w:tcPr>
          <w:p>
            <w:pPr>
              <w:jc w:val="center"/>
            </w:pPr>
            <w:r>
              <w:rPr>
                <w:rFonts w:ascii="Times New Roman" w:cs="Times New Roman" w:eastAsia="Times New Roman" w:hAnsi="Times New Roman"/>
                <w:color w:val="1F2937"/>
                <w:sz w:val="20"/>
                <w:szCs w:val="20"/>
              </w:rPr>
              <w:t xml:space="preserve">55 %</w:t>
            </w:r>
          </w:p>
        </w:tc>
      </w:tr>
      <w:tr>
        <w:tc>
          <w:tcPr>
            <w:shd w:fill="FFFFFF" w:color="FFFFFF" w:val="solid"/>
          </w:tcPr>
          <w:p>
            <w:pPr>
              <w:jc w:val="center"/>
            </w:pPr>
            <w:r>
              <w:rPr>
                <w:rFonts w:ascii="Times New Roman" w:cs="Times New Roman" w:eastAsia="Times New Roman" w:hAnsi="Times New Roman"/>
                <w:color w:val="1F2937"/>
                <w:sz w:val="20"/>
                <w:szCs w:val="20"/>
              </w:rPr>
              <w:t xml:space="preserve">2030</w:t>
            </w:r>
          </w:p>
        </w:tc>
        <w:tc>
          <w:tcPr>
            <w:shd w:fill="FFFFFF" w:color="FFFFFF" w:val="solid"/>
          </w:tcPr>
          <w:p>
            <w:pPr>
              <w:jc w:val="center"/>
            </w:pPr>
            <w:r>
              <w:rPr>
                <w:rFonts w:ascii="Times New Roman" w:cs="Times New Roman" w:eastAsia="Times New Roman" w:hAnsi="Times New Roman"/>
                <w:color w:val="1F2937"/>
                <w:sz w:val="20"/>
                <w:szCs w:val="20"/>
              </w:rPr>
              <w:t xml:space="preserve">65 ans</w:t>
            </w:r>
          </w:p>
        </w:tc>
        <w:tc>
          <w:tcPr>
            <w:shd w:fill="FFFFFF" w:color="FFFFFF" w:val="solid"/>
          </w:tcPr>
          <w:p>
            <w:pPr>
              <w:jc w:val="center"/>
            </w:pPr>
            <w:r>
              <w:rPr>
                <w:rFonts w:ascii="Times New Roman" w:cs="Times New Roman" w:eastAsia="Times New Roman" w:hAnsi="Times New Roman"/>
                <w:color w:val="1F2937"/>
                <w:sz w:val="20"/>
                <w:szCs w:val="20"/>
              </w:rPr>
              <w:t xml:space="preserve">40 %</w:t>
            </w:r>
          </w:p>
        </w:tc>
        <w:tc>
          <w:tcPr>
            <w:shd w:fill="FFFFFF" w:color="FFFFFF" w:val="solid"/>
          </w:tcPr>
          <w:p>
            <w:pPr>
              <w:jc w:val="center"/>
            </w:pPr>
            <w:r>
              <w:rPr>
                <w:rFonts w:ascii="Times New Roman" w:cs="Times New Roman" w:eastAsia="Times New Roman" w:hAnsi="Times New Roman"/>
                <w:color w:val="1F2937"/>
                <w:sz w:val="20"/>
                <w:szCs w:val="20"/>
              </w:rPr>
              <w:t xml:space="preserve">60 %</w:t>
            </w:r>
          </w:p>
        </w:tc>
      </w:tr>
      <w:tr>
        <w:tc>
          <w:tcPr>
            <w:shd w:fill="EEF2F7" w:color="EEF2F7" w:val="solid"/>
          </w:tcPr>
          <w:p>
            <w:pPr>
              <w:jc w:val="center"/>
            </w:pPr>
            <w:r>
              <w:rPr>
                <w:rFonts w:ascii="Times New Roman" w:cs="Times New Roman" w:eastAsia="Times New Roman" w:hAnsi="Times New Roman"/>
                <w:color w:val="1F2937"/>
                <w:sz w:val="20"/>
                <w:szCs w:val="20"/>
              </w:rPr>
              <w:t xml:space="preserve">2031</w:t>
            </w:r>
          </w:p>
        </w:tc>
        <w:tc>
          <w:tcPr>
            <w:shd w:fill="EEF2F7" w:color="EEF2F7" w:val="solid"/>
          </w:tcPr>
          <w:p>
            <w:pPr>
              <w:jc w:val="center"/>
            </w:pPr>
            <w:r>
              <w:rPr>
                <w:rFonts w:ascii="Times New Roman" w:cs="Times New Roman" w:eastAsia="Times New Roman" w:hAnsi="Times New Roman"/>
                <w:color w:val="1F2937"/>
                <w:sz w:val="20"/>
                <w:szCs w:val="20"/>
              </w:rPr>
              <w:t xml:space="preserve">66 ans</w:t>
            </w:r>
          </w:p>
        </w:tc>
        <w:tc>
          <w:tcPr>
            <w:shd w:fill="EEF2F7" w:color="EEF2F7" w:val="solid"/>
          </w:tcPr>
          <w:p>
            <w:pPr>
              <w:jc w:val="center"/>
            </w:pPr>
            <w:r>
              <w:rPr>
                <w:rFonts w:ascii="Times New Roman" w:cs="Times New Roman" w:eastAsia="Times New Roman" w:hAnsi="Times New Roman"/>
                <w:color w:val="1F2937"/>
                <w:sz w:val="20"/>
                <w:szCs w:val="20"/>
              </w:rPr>
              <w:t xml:space="preserve">35 %</w:t>
            </w:r>
          </w:p>
        </w:tc>
        <w:tc>
          <w:tcPr>
            <w:shd w:fill="EEF2F7" w:color="EEF2F7" w:val="solid"/>
          </w:tcPr>
          <w:p>
            <w:pPr>
              <w:jc w:val="center"/>
            </w:pPr>
            <w:r>
              <w:rPr>
                <w:rFonts w:ascii="Times New Roman" w:cs="Times New Roman" w:eastAsia="Times New Roman" w:hAnsi="Times New Roman"/>
                <w:color w:val="1F2937"/>
                <w:sz w:val="20"/>
                <w:szCs w:val="20"/>
              </w:rPr>
              <w:t xml:space="preserve">65 %</w:t>
            </w:r>
          </w:p>
        </w:tc>
      </w:tr>
      <w:tr>
        <w:tc>
          <w:tcPr>
            <w:shd w:fill="FFFFFF" w:color="FFFFFF" w:val="solid"/>
          </w:tcPr>
          <w:p>
            <w:pPr>
              <w:jc w:val="center"/>
            </w:pPr>
            <w:r>
              <w:rPr>
                <w:rFonts w:ascii="Times New Roman" w:cs="Times New Roman" w:eastAsia="Times New Roman" w:hAnsi="Times New Roman"/>
                <w:color w:val="1F2937"/>
                <w:sz w:val="20"/>
                <w:szCs w:val="20"/>
              </w:rPr>
              <w:t xml:space="preserve">2032</w:t>
            </w:r>
          </w:p>
        </w:tc>
        <w:tc>
          <w:tcPr>
            <w:shd w:fill="FFFFFF" w:color="FFFFFF" w:val="solid"/>
          </w:tcPr>
          <w:p>
            <w:pPr>
              <w:jc w:val="center"/>
            </w:pPr>
            <w:r>
              <w:rPr>
                <w:rFonts w:ascii="Times New Roman" w:cs="Times New Roman" w:eastAsia="Times New Roman" w:hAnsi="Times New Roman"/>
                <w:color w:val="1F2937"/>
                <w:sz w:val="20"/>
                <w:szCs w:val="20"/>
              </w:rPr>
              <w:t xml:space="preserve">67 ans</w:t>
            </w:r>
          </w:p>
        </w:tc>
        <w:tc>
          <w:tcPr>
            <w:shd w:fill="FFFFFF" w:color="FFFFFF" w:val="solid"/>
          </w:tcPr>
          <w:p>
            <w:pPr>
              <w:jc w:val="center"/>
            </w:pPr>
            <w:r>
              <w:rPr>
                <w:rFonts w:ascii="Times New Roman" w:cs="Times New Roman" w:eastAsia="Times New Roman" w:hAnsi="Times New Roman"/>
                <w:color w:val="1F2937"/>
                <w:sz w:val="20"/>
                <w:szCs w:val="20"/>
              </w:rPr>
              <w:t xml:space="preserve">30 %</w:t>
            </w:r>
          </w:p>
        </w:tc>
        <w:tc>
          <w:tcPr>
            <w:shd w:fill="FFFFFF" w:color="FFFFFF" w:val="solid"/>
          </w:tcPr>
          <w:p>
            <w:pPr>
              <w:jc w:val="center"/>
            </w:pPr>
            <w:r>
              <w:rPr>
                <w:rFonts w:ascii="Times New Roman" w:cs="Times New Roman" w:eastAsia="Times New Roman" w:hAnsi="Times New Roman"/>
                <w:color w:val="1F2937"/>
                <w:sz w:val="20"/>
                <w:szCs w:val="20"/>
              </w:rPr>
              <w:t xml:space="preserve">70 %</w:t>
            </w:r>
          </w:p>
        </w:tc>
      </w:tr>
      <w:tr>
        <w:tc>
          <w:tcPr>
            <w:shd w:fill="EEF2F7" w:color="EEF2F7" w:val="solid"/>
          </w:tcPr>
          <w:p>
            <w:pPr>
              <w:jc w:val="center"/>
            </w:pPr>
            <w:r>
              <w:rPr>
                <w:rFonts w:ascii="Times New Roman" w:cs="Times New Roman" w:eastAsia="Times New Roman" w:hAnsi="Times New Roman"/>
                <w:color w:val="1F2937"/>
                <w:sz w:val="20"/>
                <w:szCs w:val="20"/>
              </w:rPr>
              <w:t xml:space="preserve">2033 (échéance)</w:t>
            </w:r>
          </w:p>
        </w:tc>
        <w:tc>
          <w:tcPr>
            <w:shd w:fill="EEF2F7" w:color="EEF2F7" w:val="solid"/>
          </w:tcPr>
          <w:p>
            <w:pPr>
              <w:jc w:val="center"/>
            </w:pPr>
            <w:r>
              <w:rPr>
                <w:rFonts w:ascii="Times New Roman" w:cs="Times New Roman" w:eastAsia="Times New Roman" w:hAnsi="Times New Roman"/>
                <w:color w:val="1F2937"/>
                <w:sz w:val="20"/>
                <w:szCs w:val="20"/>
              </w:rPr>
              <w:t xml:space="preserve">68 ans</w:t>
            </w:r>
          </w:p>
        </w:tc>
        <w:tc>
          <w:tcPr>
            <w:shd w:fill="EEF2F7" w:color="EEF2F7" w:val="solid"/>
          </w:tcPr>
          <w:p>
            <w:pPr>
              <w:jc w:val="center"/>
            </w:pPr>
            <w:r>
              <w:rPr>
                <w:rFonts w:ascii="Times New Roman" w:cs="Times New Roman" w:eastAsia="Times New Roman" w:hAnsi="Times New Roman"/>
                <w:color w:val="1F2937"/>
                <w:sz w:val="20"/>
                <w:szCs w:val="20"/>
              </w:rPr>
              <w:t xml:space="preserve">25 %</w:t>
            </w:r>
          </w:p>
        </w:tc>
        <w:tc>
          <w:tcPr>
            <w:shd w:fill="EEF2F7" w:color="EEF2F7" w:val="solid"/>
          </w:tcPr>
          <w:p>
            <w:pPr>
              <w:jc w:val="center"/>
            </w:pPr>
            <w:r>
              <w:rPr>
                <w:rFonts w:ascii="Times New Roman" w:cs="Times New Roman" w:eastAsia="Times New Roman" w:hAnsi="Times New Roman"/>
                <w:color w:val="1F2937"/>
                <w:sz w:val="20"/>
                <w:szCs w:val="20"/>
              </w:rPr>
              <w:t xml:space="preserve">75 %</w:t>
            </w:r>
          </w:p>
        </w:tc>
      </w:tr>
    </w:tbl>
    <w:p>
      <w:pPr>
        <w:spacing w:after="100"/>
      </w:pPr>
    </w:p>
    <w:p>
      <w:pPr>
        <w:pStyle w:val="Heading3"/>
        <w:spacing w:after="80" w:before="200"/>
      </w:pPr>
      <w:r>
        <w:rPr>
          <w:rFonts w:ascii="Times New Roman" w:cs="Times New Roman" w:eastAsia="Times New Roman" w:hAnsi="Times New Roman"/>
          <w:b/>
          <w:bCs/>
          <w:color w:val="1F2937"/>
          <w:sz w:val="26"/>
          <w:szCs w:val="26"/>
        </w:rPr>
        <w:t xml:space="preserve">5. Répartition entre enveloppes fiscales</w:t>
      </w:r>
    </w:p>
    <w:p>
      <w:pPr>
        <w:spacing w:after="100"/>
      </w:pPr>
      <w:r>
        <w:rPr>
          <w:rFonts w:ascii="Times New Roman" w:cs="Times New Roman" w:eastAsia="Times New Roman" w:hAnsi="Times New Roman"/>
          <w:b w:val="false"/>
          <w:bCs w:val="false"/>
          <w:i w:val="false"/>
          <w:iCs w:val="false"/>
          <w:color w:val="1F2937"/>
          <w:sz w:val="22"/>
          <w:szCs w:val="22"/>
        </w:rPr>
        <w:t xml:space="preserve">L'allocation ne se limite pas aux classes d'actifs : elle intègre aussi la répartition entre enveloppes, chacune ayant ses règles fiscales et ses contraintes de liquidité (voir leçons 5 à 7)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Assurance-vie : enveloppe centrale pour l'horizon moyen, mixte fonds euros + unités de compte. Liquidité à tout moment, fiscalité allégée après 8 ans.</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PEA : pour la poche actions européennes, exonération des plus-values après 5 ans (hors prélèvements sociaux). Plafond versements : 150 000 €.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PER : pour la poche retraite, avec déductibilité des versements. Liquidité bloquée jusqu'à la retraite (sauf cas de déblocage anticipé).</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Livret A / LDDS / Livret d'épargne populaire : liquidités immédiates, rendement limité, pour le fonds d'urgence et le « seau court terme ».</w:t>
      </w:r>
    </w:p>
    <w:p>
      <w:pPr>
        <w:spacing w:after="100"/>
      </w:pPr>
      <w:r>
        <w:rPr>
          <w:rFonts w:ascii="Times New Roman" w:cs="Times New Roman" w:eastAsia="Times New Roman" w:hAnsi="Times New Roman"/>
          <w:b w:val="false"/>
          <w:bCs w:val="false"/>
          <w:i w:val="false"/>
          <w:iCs w:val="false"/>
          <w:color w:val="1F2937"/>
          <w:sz w:val="22"/>
          <w:szCs w:val="22"/>
        </w:rPr>
        <w:t xml:space="preserve">La stratégie dite des « trois seaux » (bucket strategy) combine ces enveloppes selon les horizons : seau court terme (liquidités, 1-3 ans), seau moyen terme (fonds euros, obligations, 3-10 ans), seau long terme (actions via PEA/AV, 10 ans et plus).</w:t>
      </w:r>
    </w:p>
    <w:p>
      <w:pPr>
        <w:pStyle w:val="Heading3"/>
        <w:spacing w:after="80" w:before="200"/>
      </w:pPr>
      <w:r>
        <w:rPr>
          <w:rFonts w:ascii="Times New Roman" w:cs="Times New Roman" w:eastAsia="Times New Roman" w:hAnsi="Times New Roman"/>
          <w:b/>
          <w:bCs/>
          <w:color w:val="1F2937"/>
          <w:sz w:val="26"/>
          <w:szCs w:val="26"/>
        </w:rPr>
        <w:t xml:space="preserve">6. Le rééquilibrage périodique</w:t>
      </w:r>
    </w:p>
    <w:p>
      <w:pPr>
        <w:spacing w:after="100"/>
      </w:pPr>
      <w:r>
        <w:rPr>
          <w:rFonts w:ascii="Times New Roman" w:cs="Times New Roman" w:eastAsia="Times New Roman" w:hAnsi="Times New Roman"/>
          <w:b w:val="false"/>
          <w:bCs w:val="false"/>
          <w:i w:val="false"/>
          <w:iCs w:val="false"/>
          <w:color w:val="1F2937"/>
          <w:sz w:val="22"/>
          <w:szCs w:val="22"/>
        </w:rPr>
        <w:t xml:space="preserve">Au fil du temps, les classes d'actifs évoluent à des rythmes différents. Un portefeuille initialement à 60/40 (actions/obligations) peut dériver à 70/30 après une hausse des marchés actions, augmentant le risque involontairement.</w:t>
      </w:r>
    </w:p>
    <w:p>
      <w:pPr>
        <w:spacing w:after="100"/>
      </w:pPr>
      <w:r>
        <w:rPr>
          <w:rFonts w:ascii="Times New Roman" w:cs="Times New Roman" w:eastAsia="Times New Roman" w:hAnsi="Times New Roman"/>
          <w:b w:val="false"/>
          <w:bCs w:val="false"/>
          <w:i w:val="false"/>
          <w:iCs w:val="false"/>
          <w:color w:val="1F2937"/>
          <w:sz w:val="22"/>
          <w:szCs w:val="22"/>
        </w:rPr>
        <w:t xml:space="preserve">Le rééquilibrage consiste à vendre une partie des actifs surpondérés pour racheter les sous-pondérés, et revenir à l'allocation stratégique cible.</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Fréquence recommandée par la littérature : annuelle, ou déclenchée par un seuil de dérive (ex. : ± 5 % par rapport à la cible).</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Avantage comportemental : discipline de vente des « gagnants » et d'achat des « perdants » — contre-intuitif mais efficace sur longue période.</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Points d'attention : frais de transaction, fiscalité des arbitrages (les plus-values réalisées sont imposables hors enveloppe PEA/AV).</w:t>
      </w:r>
    </w:p>
    <w:p>
      <w:pPr>
        <w:spacing w:after="100"/>
      </w:pPr>
      <w:r>
        <w:rPr>
          <w:rFonts w:ascii="Times New Roman" w:cs="Times New Roman" w:eastAsia="Times New Roman" w:hAnsi="Times New Roman"/>
          <w:b w:val="false"/>
          <w:bCs w:val="false"/>
          <w:i w:val="false"/>
          <w:iCs w:val="false"/>
          <w:color w:val="1F2937"/>
          <w:sz w:val="22"/>
          <w:szCs w:val="22"/>
        </w:rPr>
        <w:t xml:space="preserve">Dans une assurance-vie, les arbitrages entre supports sont souvent peu coûteux et sans imposition immédiate — ce qui en fait l'enveloppe de prédilection pour le rééquilibrage.</w:t>
      </w:r>
    </w:p>
    <w:p>
      <w:pPr>
        <w:pStyle w:val="Heading3"/>
        <w:spacing w:after="80" w:before="200"/>
      </w:pPr>
      <w:r>
        <w:rPr>
          <w:rFonts w:ascii="Times New Roman" w:cs="Times New Roman" w:eastAsia="Times New Roman" w:hAnsi="Times New Roman"/>
          <w:b/>
          <w:bCs/>
          <w:color w:val="1F2937"/>
          <w:sz w:val="26"/>
          <w:szCs w:val="26"/>
        </w:rPr>
        <w:t xml:space="preserve">7. Le plan de match sur 7-8 ans</w:t>
      </w:r>
    </w:p>
    <w:p>
      <w:pPr>
        <w:spacing w:after="100"/>
      </w:pPr>
      <w:r>
        <w:rPr>
          <w:rFonts w:ascii="Times New Roman" w:cs="Times New Roman" w:eastAsia="Times New Roman" w:hAnsi="Times New Roman"/>
          <w:b w:val="false"/>
          <w:bCs w:val="false"/>
          <w:i w:val="false"/>
          <w:iCs w:val="false"/>
          <w:color w:val="1F2937"/>
          <w:sz w:val="22"/>
          <w:szCs w:val="22"/>
        </w:rPr>
        <w:t xml:space="preserve">Un plan de match est un document personnel (quelques lignes suffisent) qui définit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L'objectif de capital à l'échéance (ex. : constituer un complément de revenus de X € par mois pendant 20 ans).</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L'allocation stratégique de départ et sa trajectoire (glide path).</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La répartition entre enveloppes.</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Les conditions de révision (tous les 3 ans, ou si la situation change significativement).</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Le montant et la fréquence des versements complémentaires éventuels.</w:t>
      </w:r>
    </w:p>
    <w:p>
      <w:pPr>
        <w:spacing w:after="100"/>
      </w:pPr>
      <w:r>
        <w:rPr>
          <w:rFonts w:ascii="Times New Roman" w:cs="Times New Roman" w:eastAsia="Times New Roman" w:hAnsi="Times New Roman"/>
          <w:b w:val="false"/>
          <w:bCs w:val="false"/>
          <w:i w:val="false"/>
          <w:iCs w:val="false"/>
          <w:color w:val="1F2937"/>
          <w:sz w:val="22"/>
          <w:szCs w:val="22"/>
        </w:rPr>
        <w:t xml:space="preserve">Sa vertu principale : l'engagement écrit contre les décisions impulsives. Les biais comportementaux (aversion aux pertes, panique en période de baisse) sont bien documentés (leçon 15) — le plan de match les contient avant qu'ils ne surviennent.</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Choisir son allocation de départ</w:t>
      </w:r>
    </w:p>
    <w:p>
      <w:pPr>
        <w:spacing w:after="100"/>
      </w:pPr>
      <w:r>
        <w:rPr>
          <w:rFonts w:ascii="Times New Roman" w:cs="Times New Roman" w:eastAsia="Times New Roman" w:hAnsi="Times New Roman"/>
          <w:b w:val="false"/>
          <w:bCs w:val="false"/>
          <w:i w:val="false"/>
          <w:iCs w:val="false"/>
          <w:color w:val="1F2937"/>
          <w:sz w:val="22"/>
          <w:szCs w:val="22"/>
        </w:rPr>
        <w:t xml:space="preserve">Situation : Marc, 62 ans, dispose de 80 000 € d'épargne disponible à placer. Son horizon est de 8 ans. Il supporte modérément la volatilité : une baisse de 15 % de son portefeuille le préoccuperait mais ne le contraindrait pas à vendre. Il dispose d'un fonds d'urgence distinct de 15 000 €.</w:t>
      </w:r>
    </w:p>
    <w:p>
      <w:pPr>
        <w:spacing w:after="10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 En appliquant la règle des 100 moins l'âge, quel pourcentage d'actions obtiendrait-on ? Pourquoi ce résultat est-il probablement sous-optimal pour Marc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b) Quel profil du tableau de théorie semble le plus adapté à son horizon et sa tolérance au risque ? Quel serait son allocation indicative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c) Comment répartir cette allocation entre ses enveloppes (PEA, assurance-vie) ?</w:t>
      </w:r>
    </w:p>
    <w:p>
      <w:pPr>
        <w:pStyle w:val="Heading3"/>
        <w:spacing w:after="80" w:before="200"/>
      </w:pPr>
      <w:r>
        <w:rPr>
          <w:rFonts w:ascii="Times New Roman" w:cs="Times New Roman" w:eastAsia="Times New Roman" w:hAnsi="Times New Roman"/>
          <w:b/>
          <w:bCs/>
          <w:color w:val="1F2937"/>
          <w:sz w:val="26"/>
          <w:szCs w:val="26"/>
        </w:rPr>
        <w:t xml:space="preserve">Corrigé — Exercice 1</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 100 − 62 = 38 % d'actions. Ce résultat est sous-optimal car Marc a un horizon de 8 ans et une tolérance au risque modérée : à 38 % d'actions, une grande partie de son portefeuille serait en fonds euros ou obligations à faible rendement, ce qui ne compensera pas l'inflation sur 8 ans.</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b) Profil équilibré à dynamique modéré : horizon 3-8 ans, tolérance modérée → 45-55 % actions, 35-45 % obligations/fonds euros, 5-10 % liquidités. Exemple : 50 % actions / 40 % fonds euros-obligations / 10 % liquidités.</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c) Répartition envisageable : poche actions (40 000 €) → PEA (plafond 150 000 €) pour l'avantage fiscal à 5 ans + assurance-vie en UC. Poche défensive (32 000 €) → assurance-vie fonds euros. Liquidités (8 000 €) → Livret A / LDDS. ⚠️ Ces exemples sont pédagogiques, non une recommandation — un CGP agréé est indispensable pour une décision réelle.</w:t>
      </w:r>
    </w:p>
    <w:p>
      <w:pPr>
        <w:pStyle w:val="Heading3"/>
        <w:spacing w:after="80" w:before="200"/>
      </w:pPr>
      <w:r>
        <w:rPr>
          <w:rFonts w:ascii="Times New Roman" w:cs="Times New Roman" w:eastAsia="Times New Roman" w:hAnsi="Times New Roman"/>
          <w:b/>
          <w:bCs/>
          <w:color w:val="1F2937"/>
          <w:sz w:val="26"/>
          <w:szCs w:val="26"/>
        </w:rPr>
        <w:t xml:space="preserve">Exercice 2 — Planifier sa glide path et ses effets</w:t>
      </w:r>
    </w:p>
    <w:p>
      <w:pPr>
        <w:spacing w:after="100"/>
      </w:pPr>
      <w:r>
        <w:rPr>
          <w:rFonts w:ascii="Times New Roman" w:cs="Times New Roman" w:eastAsia="Times New Roman" w:hAnsi="Times New Roman"/>
          <w:b w:val="false"/>
          <w:bCs w:val="false"/>
          <w:i w:val="false"/>
          <w:iCs w:val="false"/>
          <w:color w:val="1F2937"/>
          <w:sz w:val="22"/>
          <w:szCs w:val="22"/>
        </w:rPr>
        <w:t xml:space="preserve">Situation : Sophie, 61 ans, démarre avec 50 000 € investis à 60 % actions / 40 % fonds sécurisés. Elle applique la glide path du tableau de théorie (-5 % actions / an). Elle projette un rendement moyen annuel de 5 % sur la poche actions et de 3 % sur la poche sécurisée.</w:t>
      </w:r>
    </w:p>
    <w:p>
      <w:pPr>
        <w:spacing w:after="10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 Quelle est sa répartition en 2030 (année 4) et en 2033 (année 7)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b) En simplifiant : si la poche actions (30 000 €) avait un rendement de 5 % par an pendant 7 ans sans rééquilibrage, et la poche sécurisée (20 000 €) un rendement de 3 % par an, quels seraient les montants à l'échéance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c) Quel serait l'avantage comportemental de la glide path par rapport à une allocation statique à 60 % actions sur les 7 ans ?</w:t>
      </w:r>
    </w:p>
    <w:p>
      <w:pPr>
        <w:pStyle w:val="Heading3"/>
        <w:spacing w:after="80" w:before="200"/>
      </w:pPr>
      <w:r>
        <w:rPr>
          <w:rFonts w:ascii="Times New Roman" w:cs="Times New Roman" w:eastAsia="Times New Roman" w:hAnsi="Times New Roman"/>
          <w:b/>
          <w:bCs/>
          <w:color w:val="1F2937"/>
          <w:sz w:val="26"/>
          <w:szCs w:val="26"/>
        </w:rPr>
        <w:t xml:space="preserve">Corrigé — Exercice 2</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 Année 4 (2030) : 60 % − 4×5 % = 40 % actions / 60 % sécurisé. Année 7 (2033) : 60 % − 7×5 % = 25 % actions / 75 % sécurisé. En valeurs absolues sur 50 000 € : 2030 → 20 000 € actions / 30 000 € sécurisé ; 2033 → 12 500 € actions / 37 500 € sécurisé.</w:t>
      </w:r>
    </w:p>
    <w:p>
      <w:pPr>
        <w:spacing w:after="100"/>
      </w:pPr>
      <w:r>
        <w:rPr>
          <w:rFonts w:ascii="Times New Roman" w:cs="Times New Roman" w:eastAsia="Times New Roman" w:hAnsi="Times New Roman"/>
          <w:color w:val="1F2937"/>
          <w:sz w:val="22"/>
          <w:szCs w:val="22"/>
        </w:rPr>
        <w:t xml:space="preserve">b) Calcul de capitalisation sans rééquilibrage (illustration, pas une projection garantie)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Poche actions : 30 000 × (1,05)^7 ≈ 42 213 €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Poche sécurisée : 20 000 × (1,03)^7 ≈ 24 597 €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Total illustratif : 66 810 €. ⚠️ Ces rendements hypothétiques ne constituent pas une projection fiable ; les rendements réels varient et le capital peut baisser.</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c) Avec une glide path, à l'approche de 2033, la poche actions est limitée à 25 % : si les marchés chutent en 2032-2033, seule une fraction du capital est exposée. Avec une allocation statique à 60 % actions, une baisse de 30 % des marchés en 2032 représenterait une perte de 18 % sur la totalité du portefeuille — risque de séquence maximal.</w:t>
      </w:r>
    </w:p>
    <w:p>
      <w:pPr>
        <w:pStyle w:val="Heading3"/>
        <w:spacing w:after="80" w:before="200"/>
      </w:pPr>
      <w:r>
        <w:rPr>
          <w:rFonts w:ascii="Times New Roman" w:cs="Times New Roman" w:eastAsia="Times New Roman" w:hAnsi="Times New Roman"/>
          <w:b/>
          <w:bCs/>
          <w:color w:val="1F2937"/>
          <w:sz w:val="26"/>
          <w:szCs w:val="26"/>
        </w:rPr>
        <w:t xml:space="preserve">Exercice 3 — Simuler un rééquilibrage</w:t>
      </w:r>
    </w:p>
    <w:p>
      <w:pPr>
        <w:spacing w:after="100"/>
      </w:pPr>
      <w:r>
        <w:rPr>
          <w:rFonts w:ascii="Times New Roman" w:cs="Times New Roman" w:eastAsia="Times New Roman" w:hAnsi="Times New Roman"/>
          <w:b w:val="false"/>
          <w:bCs w:val="false"/>
          <w:i w:val="false"/>
          <w:iCs w:val="false"/>
          <w:color w:val="1F2937"/>
          <w:sz w:val="22"/>
          <w:szCs w:val="22"/>
        </w:rPr>
        <w:t xml:space="preserve">Situation : Un portefeuille de 100 000 € était ciblé à 55 % actions / 45 % fonds défensifs. Après une année de forte hausse des marchés actions (+20 %), la répartition est devenue 63 % actions / 37 % fonds défensifs.</w:t>
      </w:r>
    </w:p>
    <w:p>
      <w:pPr>
        <w:spacing w:after="100"/>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 Calculer la valeur absolue de chaque poche avant et après la hausse.</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b) Quels arbitrages effectuer pour revenir à la cible 55/45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c) Pourquoi ce rééquilibrage va-t-il à contre-courant de l'instinct naturel de l'investisseur ?</w:t>
      </w:r>
    </w:p>
    <w:p>
      <w:pPr>
        <w:pStyle w:val="Heading3"/>
        <w:spacing w:after="80" w:before="200"/>
      </w:pPr>
      <w:r>
        <w:rPr>
          <w:rFonts w:ascii="Times New Roman" w:cs="Times New Roman" w:eastAsia="Times New Roman" w:hAnsi="Times New Roman"/>
          <w:b/>
          <w:bCs/>
          <w:color w:val="1F2937"/>
          <w:sz w:val="26"/>
          <w:szCs w:val="26"/>
        </w:rPr>
        <w:t xml:space="preserve">Corrigé — Exercice 3</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a) Avant hausse : actions = 55 000 €, défensif = 45 000 €. Après hausse des actions de +20 % (uniquement sur la poche actions) : actions = 55 000 × 1,20 = 66 000 €, défensif inchangé = 45 000 €. Nouveau total = 111 000 €. Poids réel : actions = 66 000 / 111 000 = 59,5 % ≈ 60 %, défensif = 40,5 % ≈ 40 %. (La dérive est réelle mais légèrement atténuée par l'appréciation du total.)</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b) Cible 55 % sur 111 000 € = 61 050 € en actions. Valeur actuelle actions = 66 000 €. Arbitrage : vendre 66 000 − 61 050 = 4 950 € d'actions, acheter 4 950 € de fonds défensifs. Dans une assurance-vie, cet arbitrage est sans imposition immédiate.</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c) L'instinct naturel est de laisser courir ce qui performe (biais de momentum) et de conserver les actifs qui montent. Le rééquilibrage impose le contraire — c'est précisément pourquoi il doit être mécanique et planifié à l'avance, avant que les émotions ne dictent les décisions.</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Challenge — Mon plan de match sur 7-8 ans</w:t>
      </w:r>
    </w:p>
    <w:p>
      <w:pPr>
        <w:spacing w:after="100"/>
      </w:pPr>
      <w:r>
        <w:rPr>
          <w:rFonts w:ascii="Times New Roman" w:cs="Times New Roman" w:eastAsia="Times New Roman" w:hAnsi="Times New Roman"/>
          <w:b w:val="false"/>
          <w:bCs w:val="false"/>
          <w:i w:val="false"/>
          <w:iCs w:val="false"/>
          <w:color w:val="1F2937"/>
          <w:sz w:val="22"/>
          <w:szCs w:val="22"/>
        </w:rPr>
        <w:t xml:space="preserve">Exercice de synthèse : rédige ton propre plan de match en répondant aux cinq questions suivantes (une phrase par réponse suffit).</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1. Objectif de capital ou de rente à l'échéance (2033-2034) : quel montant vises-tu, et pour quel usage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2. Allocation stratégique de départ : quel pourcentage actions / défensif / liquidités, et pourquoi ce ratio est cohérent avec ton horizon et ta tolérance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3. Glide path : à quel rythme réduiras-tu la poche actions (ex. : -5 % par an) ? Quels supports ciblés pour la poche défensive qui croît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4. Répartition entre enveloppes : PEA, assurance-vie, PER, Livret A — comment répartis-tu ta mise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5. Règle de révision : à quelle fréquence reliras-tu ce plan, et quels événements déclencheraient une révision anticipée ?</w:t>
      </w:r>
    </w:p>
    <w:p>
      <w:pPr>
        <w:pBdr>
          <w:left w:val="single" w:color="1B3A6B" w:sz="6"/>
        </w:pBdr>
        <w:shd w:fill="F3F4F6" w:color="F3F4F6" w:val="solid"/>
        <w:spacing w:after="120" w:before="120"/>
        <w:ind w:left="431" w:right="431"/>
      </w:pPr>
      <w:r>
        <w:rPr>
          <w:rFonts w:ascii="Times New Roman" w:cs="Times New Roman" w:eastAsia="Times New Roman" w:hAnsi="Times New Roman"/>
          <w:i/>
          <w:iCs/>
          <w:color w:val="1F2937"/>
          <w:sz w:val="22"/>
          <w:szCs w:val="22"/>
        </w:rPr>
        <w:t xml:space="preserve">Ce plan de match est un outil personnel d'éducation financière. Avant toute mise en œuvre, soumets-le à un conseiller en gestion de patrimoine (CGP) ou un CIF agréé AMF qui connaît ta situation globale.</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Pont pro</w:t>
      </w:r>
    </w:p>
    <w:p>
      <w:pPr>
        <w:spacing w:after="100"/>
      </w:pPr>
      <w:r>
        <w:rPr>
          <w:rFonts w:ascii="Times New Roman" w:cs="Times New Roman" w:eastAsia="Times New Roman" w:hAnsi="Times New Roman"/>
          <w:b w:val="false"/>
          <w:bCs w:val="false"/>
          <w:i w:val="false"/>
          <w:iCs w:val="false"/>
          <w:color w:val="1F2937"/>
          <w:sz w:val="22"/>
          <w:szCs w:val="22"/>
        </w:rPr>
        <w:t xml:space="preserve">La logique du plan de match — fixer une cible, planifier les étapes, prévoir les révisions — est structurellement identique à la conduite d'un projet institutionnel ou d'un projet d'établissement en ESSMS. Le rééquilibrage périodique ressemble à l'ajustement annuel d'un CPOM : on mesure l'écart entre la trajectoire réelle et la cible, et on arbitre les ressources sans remettre en cause l'objectif de fond. Ce parallèle reste une analogie pédagogique ; les décisions patrimoniales relèvent d'un professionnel agréé.</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100"/>
      </w:pPr>
      <w:r>
        <w:rPr>
          <w:rFonts w:ascii="Times New Roman" w:cs="Times New Roman" w:eastAsia="Times New Roman" w:hAnsi="Times New Roman"/>
          <w:b w:val="false"/>
          <w:bCs w:val="false"/>
          <w:i w:val="false"/>
          <w:iCs w:val="false"/>
          <w:color w:val="1F2937"/>
          <w:sz w:val="22"/>
          <w:szCs w:val="22"/>
        </w:rPr>
        <w:t xml:space="preserve">Sources consultées pour cette leçon (toutes vérifiées accessibles le 17/10/2026) :</w:t>
      </w:r>
    </w:p>
    <w:p>
      <w:pPr>
        <w:pStyle w:val="ListParagraph"/>
        <w:numPr>
          <w:ilvl w:val="0"/>
          <w:numId w:val="1"/>
        </w:numPr>
        <w:spacing w:after="80"/>
        <w:ind w:left="576" w:hanging="288"/>
      </w:pPr>
      <w:hyperlink w:history="1" r:id="rIdi2ac9r0nyb8orxk-ehde_">
        <w:r>
          <w:rPr>
            <w:rFonts w:ascii="Times New Roman" w:cs="Times New Roman" w:eastAsia="Times New Roman" w:hAnsi="Times New Roman"/>
            <w:color w:val="1155CC"/>
            <w:sz w:val="22"/>
            <w:szCs w:val="22"/>
            <w:u w:val="single"/>
          </w:rPr>
          <w:t xml:space="preserve">La Finance pour tous — Comment organiser mon épargne ? (IEFP)</w:t>
        </w:r>
      </w:hyperlink>
    </w:p>
    <w:p>
      <w:pPr>
        <w:pStyle w:val="ListParagraph"/>
        <w:numPr>
          <w:ilvl w:val="0"/>
          <w:numId w:val="1"/>
        </w:numPr>
        <w:spacing w:after="80"/>
        <w:ind w:left="576" w:hanging="288"/>
      </w:pPr>
      <w:hyperlink w:history="1" r:id="rIdeaa3v_g1-7gdbpxgztcrk">
        <w:r>
          <w:rPr>
            <w:rFonts w:ascii="Times New Roman" w:cs="Times New Roman" w:eastAsia="Times New Roman" w:hAnsi="Times New Roman"/>
            <w:color w:val="1155CC"/>
            <w:sz w:val="22"/>
            <w:szCs w:val="22"/>
            <w:u w:val="single"/>
          </w:rPr>
          <w:t xml:space="preserve">La Finance pour tous — Horizon, objectifs et tempérament de l'investisseur</w:t>
        </w:r>
      </w:hyperlink>
    </w:p>
    <w:p>
      <w:pPr>
        <w:pStyle w:val="ListParagraph"/>
        <w:numPr>
          <w:ilvl w:val="0"/>
          <w:numId w:val="1"/>
        </w:numPr>
        <w:spacing w:after="80"/>
        <w:ind w:left="576" w:hanging="288"/>
      </w:pPr>
      <w:hyperlink w:history="1" r:id="rIdafka81r3kn-bdzwyacoce">
        <w:r>
          <w:rPr>
            <w:rFonts w:ascii="Times New Roman" w:cs="Times New Roman" w:eastAsia="Times New Roman" w:hAnsi="Times New Roman"/>
            <w:color w:val="1155CC"/>
            <w:sz w:val="22"/>
            <w:szCs w:val="22"/>
            <w:u w:val="single"/>
          </w:rPr>
          <w:t xml:space="preserve">AMF — Comment organiser son épargne (Autorité des marchés financiers)</w:t>
        </w:r>
      </w:hyperlink>
    </w:p>
    <w:p>
      <w:pPr>
        <w:pStyle w:val="ListParagraph"/>
        <w:numPr>
          <w:ilvl w:val="0"/>
          <w:numId w:val="1"/>
        </w:numPr>
        <w:spacing w:after="80"/>
        <w:ind w:left="576" w:hanging="288"/>
      </w:pPr>
      <w:hyperlink w:history="1" r:id="rId22nq6brqnimbmprg8qsmx">
        <w:r>
          <w:rPr>
            <w:rFonts w:ascii="Times New Roman" w:cs="Times New Roman" w:eastAsia="Times New Roman" w:hAnsi="Times New Roman"/>
            <w:color w:val="1155CC"/>
            <w:sz w:val="22"/>
            <w:szCs w:val="22"/>
            <w:u w:val="single"/>
          </w:rPr>
          <w:t xml:space="preserve">Assurance-vies.net — Ajuster son allocation avant la retraite : le guide de l'atterrissage sécurisé</w:t>
        </w:r>
      </w:hyperlink>
    </w:p>
    <w:p>
      <w:pPr>
        <w:pStyle w:val="ListParagraph"/>
        <w:numPr>
          <w:ilvl w:val="0"/>
          <w:numId w:val="1"/>
        </w:numPr>
        <w:spacing w:after="80"/>
        <w:ind w:left="576" w:hanging="288"/>
      </w:pPr>
      <w:hyperlink w:history="1" r:id="rIdcb0bqzuwvexv3a3epjpxw">
        <w:r>
          <w:rPr>
            <w:rFonts w:ascii="Times New Roman" w:cs="Times New Roman" w:eastAsia="Times New Roman" w:hAnsi="Times New Roman"/>
            <w:color w:val="1155CC"/>
            <w:sz w:val="22"/>
            <w:szCs w:val="22"/>
            <w:u w:val="single"/>
          </w:rPr>
          <w:t xml:space="preserve">ABE Infoservice — Investir dans des placements collectifs (AMF/ACPR)</w:t>
        </w:r>
      </w:hyperlink>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Questions à poser à un CGP / CIF agréé</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Mon niveau de risque actuel est-il cohérent avec mon horizon de 7-8 ans, compte tenu de mes autres sources de revenus à la retraite (droits acquis, immobilier)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Quelle enveloppe entre mon PEA, mon assurance-vie et mon PER est la plus adaptée pour loger chaque poche de mon allocation, en tenant compte de la fiscalité à la sortie ?</w:t>
      </w:r>
    </w:p>
    <w:p>
      <w:pPr>
        <w:pStyle w:val="ListParagraph"/>
        <w:numPr>
          <w:ilvl w:val="0"/>
          <w:numId w:val="1"/>
        </w:numPr>
        <w:spacing w:after="60"/>
        <w:ind w:left="576" w:hanging="288"/>
      </w:pPr>
      <w:r>
        <w:rPr>
          <w:rFonts w:ascii="Times New Roman" w:cs="Times New Roman" w:eastAsia="Times New Roman" w:hAnsi="Times New Roman"/>
          <w:b w:val="false"/>
          <w:bCs w:val="false"/>
          <w:i w:val="false"/>
          <w:iCs w:val="false"/>
          <w:color w:val="1F2937"/>
          <w:sz w:val="22"/>
          <w:szCs w:val="22"/>
        </w:rPr>
        <w:t xml:space="preserve">Faut-il prévoir un rééquilibrage déclenché par un seuil (ex. : dérive de ± 5 %) ou un rééquilibrage calendaire annuel, et lequel minimise les frais dans ma situation ?</w:t>
      </w:r>
    </w:p>
    <w:p>
      <w:pPr>
        <w:pBdr>
          <w:bottom w:val="single" w:color="CCCCCC" w:sz="4"/>
        </w:pBdr>
        <w:spacing w:after="80"/>
      </w:pPr>
    </w:p>
    <w:p>
      <w:pPr>
        <w:pStyle w:val="Heading2"/>
        <w:spacing w:after="120" w:before="320"/>
      </w:pPr>
      <w:r>
        <w:rPr>
          <w:rFonts w:ascii="Times New Roman" w:cs="Times New Roman" w:eastAsia="Times New Roman" w:hAnsi="Times New Roman"/>
          <w:b/>
          <w:bCs/>
          <w:color w:val="1B3A6B"/>
          <w:sz w:val="30"/>
          <w:szCs w:val="30"/>
        </w:rPr>
        <w:t xml:space="preserve">🔜 Prochaine leçon (n°20 / 20)</w:t>
      </w:r>
    </w:p>
    <w:p>
      <w:pPr>
        <w:spacing w:after="100"/>
      </w:pPr>
      <w:r>
        <w:rPr>
          <w:rFonts w:ascii="Times New Roman" w:cs="Times New Roman" w:eastAsia="Times New Roman" w:hAnsi="Times New Roman"/>
          <w:b w:val="false"/>
          <w:bCs w:val="false"/>
          <w:i w:val="false"/>
          <w:iCs w:val="false"/>
          <w:color w:val="1F2937"/>
          <w:sz w:val="22"/>
          <w:szCs w:val="22"/>
        </w:rPr>
        <w:t xml:space="preserve">Thème : BILAN — Synthèse du parcours Placement financier : mise en relation des 19 leçons, synthèse des concepts fondamentaux, signalisation de ce qui n'a pas pu être approfondi, et pistes d'approfondissement autonome pour la suite.</w:t>
      </w:r>
    </w:p>
    <w:p>
      <w:pPr>
        <w:spacing w:after="100"/>
      </w:pPr>
      <w:r>
        <w:rPr>
          <w:rFonts w:ascii="Times New Roman" w:cs="Times New Roman" w:eastAsia="Times New Roman" w:hAnsi="Times New Roman"/>
          <w:b w:val="false"/>
          <w:bCs w:val="false"/>
          <w:i w:val="false"/>
          <w:iCs w:val="false"/>
          <w:color w:val="1F2937"/>
          <w:sz w:val="22"/>
          <w:szCs w:val="22"/>
        </w:rPr>
        <w:t xml:space="preserve">Thèmes annoncés : synthèse du parcours, mise en relation des 19 leçons, lacunes et pistes d'approfondissement autonome, rappel déontologique final.</w:t>
      </w:r>
    </w:p>
    <w:p>
      <w:pPr>
        <w:pBdr>
          <w:left w:val="single" w:color="1B3A6B" w:sz="6"/>
        </w:pBdr>
        <w:shd w:fill="F3F4F6" w:color="F3F4F6" w:val="solid"/>
        <w:spacing w:after="120" w:before="120"/>
        <w:ind w:left="431" w:right="431"/>
      </w:pPr>
      <w:r>
        <w:rPr>
          <w:rFonts w:ascii="Times New Roman" w:cs="Times New Roman" w:eastAsia="Times New Roman" w:hAnsi="Times New Roman"/>
          <w:i/>
          <w:iCs/>
          <w:color w:val="1F2937"/>
          <w:sz w:val="22"/>
          <w:szCs w:val="22"/>
        </w:rPr>
        <w:t xml:space="preserve">⛔ PARCOURS FERMÉ — 20 LEÇONS. La leçon 20 est le bilan final de ce parcours. Elle ne traite pas un thème supplémentaire mais clôture l'ensemble. Ce job peut ensuite être supprimé.</w:t>
      </w:r>
    </w:p>
    <w:p>
      <w:pPr>
        <w:pBdr>
          <w:bottom w:val="single" w:color="CCCCCC" w:sz="4"/>
        </w:pBdr>
        <w:spacing w:after="80"/>
      </w:pP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Times New Roman" w:cs="Times New Roman" w:eastAsia="Times New Roman" w:hAnsi="Times New Roman"/>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i2ac9r0nyb8orxk-ehde_" Type="http://schemas.openxmlformats.org/officeDocument/2006/relationships/hyperlink" Target="https://www.lafinancepourtous.com/pratique/placements/les-questions-clefs-avant-d-investir/comment-organiser-mon-epargne/" TargetMode="External"/><Relationship Id="rIdeaa3v_g1-7gdbpxgztcrk" Type="http://schemas.openxmlformats.org/officeDocument/2006/relationships/hyperlink" Target="https://www.lafinancepourtous.com/pratique/placements/les-questions-clefs-avant-d-investir/horizon-objectifs-temperament/" TargetMode="External"/><Relationship Id="rIdafka81r3kn-bdzwyacoce" Type="http://schemas.openxmlformats.org/officeDocument/2006/relationships/hyperlink" Target="https://www.amf-france.org/fr/espace-epargnants/savoir-bien-investir/cadrer-son-projet/comment-organiser-son-epargne" TargetMode="External"/><Relationship Id="rId22nq6brqnimbmprg8qsmx" Type="http://schemas.openxmlformats.org/officeDocument/2006/relationships/hyperlink" Target="https://www.assurance-vies.net/ajuster-son-allocation-d-actifs-avant-la-retraite-le-guide-de-l-atterrissage-securise/" TargetMode="External"/><Relationship Id="rIdcb0bqzuwvexv3a3epjpxw" Type="http://schemas.openxmlformats.org/officeDocument/2006/relationships/hyperlink" Target="https://www.abe-infoservice.fr/epargne/placements-financiers/investir-dans-des-placements-collectif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2026-10-17T06:10:49.272Z</dcterms:created>
  <dcterms:modified xsi:type="dcterms:W3CDTF">2026-10-17T06:10:49.371Z</dcterms:modified>
</cp:coreProperties>
</file>

<file path=docProps/custom.xml><?xml version="1.0" encoding="utf-8"?>
<Properties xmlns="http://schemas.openxmlformats.org/officeDocument/2006/custom-properties" xmlns:vt="http://schemas.openxmlformats.org/officeDocument/2006/docPropsVTypes"/>
</file>