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B3A6B"/>
          <w:sz w:val="52"/>
          <w:szCs w:val="52"/>
        </w:rPr>
        <w:t xml:space="preserve">Leçon Psychopathologie clinique n°17</w:t>
      </w:r>
    </w:p>
    <w:p>
      <w:pPr>
        <w:spacing w:after="80" w:before="0"/>
        <w:jc w:val="center"/>
      </w:pPr>
      <w:r>
        <w:rPr>
          <w:rFonts w:ascii="Times New Roman" w:cs="Times New Roman" w:eastAsia="Times New Roman" w:hAnsi="Times New Roman"/>
          <w:b/>
          <w:bCs/>
          <w:color w:val="1B3A6B"/>
          <w:sz w:val="44"/>
          <w:szCs w:val="44"/>
        </w:rPr>
        <w:t xml:space="preserve">Les psychotropes : classes, effets attendus, effets indésirables, surveillance</w:t>
      </w:r>
    </w:p>
    <w:p>
      <w:pPr>
        <w:spacing w:after="60" w:before="0"/>
        <w:jc w:val="center"/>
      </w:pPr>
      <w:r>
        <w:rPr>
          <w:rFonts w:ascii="Times New Roman" w:cs="Times New Roman" w:eastAsia="Times New Roman" w:hAnsi="Times New Roman"/>
          <w:i/>
          <w:iCs/>
          <w:color w:val="1F2937"/>
          <w:sz w:val="22"/>
          <w:szCs w:val="22"/>
        </w:rPr>
        <w:t xml:space="preserve">21 septembre 2026  ·  Leçon 17 / 20</w:t>
      </w:r>
    </w:p>
    <w:p>
      <w:pPr>
        <w:spacing w:after="80" w:before="80"/>
      </w:pPr>
    </w:p>
    <w:p>
      <w:pPr>
        <w:spacing w:after="12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l'issue de cette leçon, tu sauras identifier les cinq grandes classes de psychotropes, reconnaître leurs effets attendus et leurs effets indésirables principaux, et adopter une posture de surveillance adaptée — sans jamais empiéter sur le rôle du médecin ou de l'infirmier.</w:t>
      </w:r>
    </w:p>
    <w:p>
      <w:pPr>
        <w:spacing w:after="60" w:before="60"/>
      </w:pPr>
      <w:r>
        <w:rPr>
          <w:rFonts w:ascii="Times New Roman" w:cs="Times New Roman" w:eastAsia="Times New Roman" w:hAnsi="Times New Roman"/>
          <w:color w:val="1F2937"/>
          <w:sz w:val="22"/>
          <w:szCs w:val="22"/>
        </w:rPr>
        <w:t xml:space="preserve">Lien avec la leçon précédente : la leçon 16 a examiné le handicap psychique et la déficience intellectuelle — deux situations dans lesquelles les personnes accompagnées sont fréquemment sous traitement psychotrope, parfois depuis des années. Comprendre ces médicaments permet de mieux interpréter certains signes observés au quotidien.</w:t>
      </w:r>
    </w:p>
    <w:p>
      <w:pPr>
        <w:spacing w:after="80" w:before="80"/>
      </w:pPr>
    </w:p>
    <w:p>
      <w:pPr>
        <w:spacing w:after="120" w:before="300"/>
      </w:pPr>
      <w:r>
        <w:rPr>
          <w:rFonts w:ascii="Times New Roman" w:cs="Times New Roman" w:eastAsia="Times New Roman" w:hAnsi="Times New Roman"/>
          <w:b/>
          <w:bCs/>
          <w:color w:val="1B3A6B"/>
          <w:sz w:val="30"/>
          <w:szCs w:val="30"/>
        </w:rPr>
        <w:t xml:space="preserve">🔬 Théorie (20 %) — Les grandes classes de psychotropes</w:t>
      </w:r>
    </w:p>
    <w:p>
      <w:pPr>
        <w:spacing w:after="60" w:before="60"/>
      </w:pPr>
      <w:r>
        <w:rPr>
          <w:rFonts w:ascii="Times New Roman" w:cs="Times New Roman" w:eastAsia="Times New Roman" w:hAnsi="Times New Roman"/>
          <w:color w:val="1F2937"/>
          <w:sz w:val="22"/>
          <w:szCs w:val="22"/>
        </w:rPr>
        <w:t xml:space="preserve">Un psychotrope est un médicament agissant sur le système nerveux central et influençant l'état psychique. La classification clinique retient habituellement cinq familles, chacune disposant d'indications distinctes.</w:t>
      </w:r>
    </w:p>
    <w:p>
      <w:pPr>
        <w:shd w:fill="F3F4F6" w:color="auto" w:val="clear"/>
        <w:spacing w:after="80" w:before="80"/>
      </w:pPr>
      <w:r>
        <w:rPr>
          <w:rFonts w:ascii="Times New Roman" w:cs="Times New Roman" w:eastAsia="Times New Roman" w:hAnsi="Times New Roman"/>
          <w:i/>
          <w:iCs/>
          <w:color w:val="1F2937"/>
          <w:sz w:val="20"/>
          <w:szCs w:val="20"/>
        </w:rPr>
        <w:t xml:space="preserve">⚠️ Cadre déontologique : la connaissance des psychotropes vise à mieux observer et à mieux accompagner, non à émettre un avis sur le traitement ni à le modifier. Toute question sur la médication est adressée au médecin traitant ou psychiatre, et toute observation préoccupante est transmise à l'infirmier de référence.</w:t>
      </w:r>
    </w:p>
    <w:p>
      <w:pPr>
        <w:spacing w:after="80" w:before="80"/>
      </w:pPr>
    </w:p>
    <w:p>
      <w:pPr>
        <w:spacing w:after="80" w:before="200"/>
      </w:pPr>
      <w:r>
        <w:rPr>
          <w:rFonts w:ascii="Times New Roman" w:cs="Times New Roman" w:eastAsia="Times New Roman" w:hAnsi="Times New Roman"/>
          <w:b/>
          <w:bCs/>
          <w:color w:val="1F2937"/>
          <w:sz w:val="26"/>
          <w:szCs w:val="26"/>
        </w:rPr>
        <w:t xml:space="preserve">1. Les antidépresseurs</w:t>
      </w:r>
    </w:p>
    <w:p>
      <w:pPr>
        <w:spacing w:after="60" w:before="60"/>
      </w:pPr>
      <w:r>
        <w:rPr>
          <w:rFonts w:ascii="Times New Roman" w:cs="Times New Roman" w:eastAsia="Times New Roman" w:hAnsi="Times New Roman"/>
          <w:color w:val="1F2937"/>
          <w:sz w:val="22"/>
          <w:szCs w:val="22"/>
        </w:rPr>
        <w:t xml:space="preserve">Indication principale : dépression caractérisée et certains troubles anxieux. Le traitement doit inclure un suivi psychothérapeutique.</w:t>
      </w:r>
    </w:p>
    <w:p>
      <w:pPr>
        <w:spacing w:after="60" w:before="60"/>
      </w:pPr>
      <w:r>
        <w:rPr>
          <w:rFonts w:ascii="Times New Roman" w:cs="Times New Roman" w:eastAsia="Times New Roman" w:hAnsi="Times New Roman"/>
          <w:color w:val="1F2937"/>
          <w:sz w:val="22"/>
          <w:szCs w:val="22"/>
        </w:rPr>
        <w:t xml:space="preserve">Quatre sous-classes sont reconnues (ANSM, mis à jour 18/09/2026)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color="auto" w:val="clear"/>
          </w:tcPr>
          <w:p>
            <w:r>
              <w:rPr>
                <w:rFonts w:ascii="Times New Roman" w:cs="Times New Roman" w:eastAsia="Times New Roman" w:hAnsi="Times New Roman"/>
                <w:b/>
                <w:bCs/>
                <w:color w:val="FFFFFF"/>
                <w:sz w:val="20"/>
                <w:szCs w:val="20"/>
              </w:rPr>
              <w:t xml:space="preserve">Sous-classe</w:t>
            </w:r>
          </w:p>
        </w:tc>
        <w:tc>
          <w:tcPr>
            <w:shd w:fill="1B3A6B" w:color="auto" w:val="clear"/>
          </w:tcPr>
          <w:p>
            <w:r>
              <w:rPr>
                <w:rFonts w:ascii="Times New Roman" w:cs="Times New Roman" w:eastAsia="Times New Roman" w:hAnsi="Times New Roman"/>
                <w:b/>
                <w:bCs/>
                <w:color w:val="FFFFFF"/>
                <w:sz w:val="20"/>
                <w:szCs w:val="20"/>
              </w:rPr>
              <w:t xml:space="preserve">Exemples (DCI) — mécanisme simplifié</w:t>
            </w:r>
          </w:p>
        </w:tc>
      </w:tr>
      <w:tr>
        <w:tc>
          <w:tcPr>
            <w:shd w:fill="EEF2F7" w:color="auto" w:val="clear"/>
          </w:tcPr>
          <w:p>
            <w:r>
              <w:rPr>
                <w:rFonts w:ascii="Times New Roman" w:cs="Times New Roman" w:eastAsia="Times New Roman" w:hAnsi="Times New Roman"/>
                <w:color w:val="1F2937"/>
                <w:sz w:val="20"/>
                <w:szCs w:val="20"/>
              </w:rPr>
              <w:t xml:space="preserve">ISRS (inhibiteurs sélectifs de la recapture de la sérotonine)</w:t>
            </w:r>
          </w:p>
        </w:tc>
        <w:tc>
          <w:tcPr>
            <w:shd w:fill="EEF2F7" w:color="auto" w:val="clear"/>
          </w:tcPr>
          <w:p>
            <w:r>
              <w:rPr>
                <w:rFonts w:ascii="Times New Roman" w:cs="Times New Roman" w:eastAsia="Times New Roman" w:hAnsi="Times New Roman"/>
                <w:color w:val="1F2937"/>
                <w:sz w:val="20"/>
                <w:szCs w:val="20"/>
              </w:rPr>
              <w:t xml:space="preserve">Citalopram, Escitalopram, Fluoxétine, Paroxétine, Sertraline — augmentent la sérotonine disponible en bloquant sa recapture</w:t>
            </w:r>
          </w:p>
        </w:tc>
      </w:tr>
      <w:tr>
        <w:tc>
          <w:tcPr>
            <w:shd w:fill="FFFFFF" w:color="auto" w:val="clear"/>
          </w:tcPr>
          <w:p>
            <w:r>
              <w:rPr>
                <w:rFonts w:ascii="Times New Roman" w:cs="Times New Roman" w:eastAsia="Times New Roman" w:hAnsi="Times New Roman"/>
                <w:color w:val="1F2937"/>
                <w:sz w:val="20"/>
                <w:szCs w:val="20"/>
              </w:rPr>
              <w:t xml:space="preserve">IRSNa (sérotonine + noradrénaline)</w:t>
            </w:r>
          </w:p>
        </w:tc>
        <w:tc>
          <w:tcPr>
            <w:shd w:fill="FFFFFF" w:color="auto" w:val="clear"/>
          </w:tcPr>
          <w:p>
            <w:r>
              <w:rPr>
                <w:rFonts w:ascii="Times New Roman" w:cs="Times New Roman" w:eastAsia="Times New Roman" w:hAnsi="Times New Roman"/>
                <w:color w:val="1F2937"/>
                <w:sz w:val="20"/>
                <w:szCs w:val="20"/>
              </w:rPr>
              <w:t xml:space="preserve">Duloxétine, Venlafaxine, Milnacipran — agissent sur sérotonine et noradrénaline</w:t>
            </w:r>
          </w:p>
        </w:tc>
      </w:tr>
      <w:tr>
        <w:tc>
          <w:tcPr>
            <w:shd w:fill="EEF2F7" w:color="auto" w:val="clear"/>
          </w:tcPr>
          <w:p>
            <w:r>
              <w:rPr>
                <w:rFonts w:ascii="Times New Roman" w:cs="Times New Roman" w:eastAsia="Times New Roman" w:hAnsi="Times New Roman"/>
                <w:color w:val="1F2937"/>
                <w:sz w:val="20"/>
                <w:szCs w:val="20"/>
              </w:rPr>
              <w:t xml:space="preserve">Tricycliques</w:t>
            </w:r>
          </w:p>
        </w:tc>
        <w:tc>
          <w:tcPr>
            <w:shd w:fill="EEF2F7" w:color="auto" w:val="clear"/>
          </w:tcPr>
          <w:p>
            <w:r>
              <w:rPr>
                <w:rFonts w:ascii="Times New Roman" w:cs="Times New Roman" w:eastAsia="Times New Roman" w:hAnsi="Times New Roman"/>
                <w:color w:val="1F2937"/>
                <w:sz w:val="20"/>
                <w:szCs w:val="20"/>
              </w:rPr>
              <w:t xml:space="preserve">Amitriptyline, Clomipramine, Imipramine — bloquent la recapture de sérotonine et noradrénaline ; profil d'effets indésirables plus chargé que les ISRS</w:t>
            </w:r>
          </w:p>
        </w:tc>
      </w:tr>
      <w:tr>
        <w:tc>
          <w:tcPr>
            <w:shd w:fill="FFFFFF" w:color="auto" w:val="clear"/>
          </w:tcPr>
          <w:p>
            <w:r>
              <w:rPr>
                <w:rFonts w:ascii="Times New Roman" w:cs="Times New Roman" w:eastAsia="Times New Roman" w:hAnsi="Times New Roman"/>
                <w:color w:val="1F2937"/>
                <w:sz w:val="20"/>
                <w:szCs w:val="20"/>
              </w:rPr>
              <w:t xml:space="preserve">IMAO (inhibiteurs de la monoamine oxydase)</w:t>
            </w:r>
          </w:p>
        </w:tc>
        <w:tc>
          <w:tcPr>
            <w:shd w:fill="FFFFFF" w:color="auto" w:val="clear"/>
          </w:tcPr>
          <w:p>
            <w:r>
              <w:rPr>
                <w:rFonts w:ascii="Times New Roman" w:cs="Times New Roman" w:eastAsia="Times New Roman" w:hAnsi="Times New Roman"/>
                <w:color w:val="1F2937"/>
                <w:sz w:val="20"/>
                <w:szCs w:val="20"/>
              </w:rPr>
              <w:t xml:space="preserve">Moclobémide, Iproniazide — préviennent la dégradation de plusieurs neurotransmetteurs</w:t>
            </w:r>
          </w:p>
        </w:tc>
      </w:tr>
    </w:tbl>
    <w:p>
      <w:pPr>
        <w:spacing w:after="80" w:before="80"/>
      </w:pPr>
    </w:p>
    <w:p>
      <w:pPr>
        <w:spacing w:after="60" w:before="60"/>
      </w:pPr>
      <w:r>
        <w:rPr>
          <w:rFonts w:ascii="Times New Roman" w:cs="Times New Roman" w:eastAsia="Times New Roman" w:hAnsi="Times New Roman"/>
          <w:color w:val="1F2937"/>
          <w:sz w:val="22"/>
          <w:szCs w:val="22"/>
        </w:rPr>
        <w:t xml:space="preserve">Délai d'action : 2 à 4 semaines pour une amélioration des symptômes (ANSM, 18/09/2026). Durée minimale : 6 mois après l'obtention de l'effet thérapeutique, pour prévenir la rechute.</w:t>
      </w:r>
    </w:p>
    <w:p>
      <w:pPr>
        <w:spacing w:after="60" w:before="60"/>
      </w:pPr>
      <w:r>
        <w:rPr>
          <w:rFonts w:ascii="Times New Roman" w:cs="Times New Roman" w:eastAsia="Times New Roman" w:hAnsi="Times New Roman"/>
          <w:color w:val="1F2937"/>
          <w:sz w:val="22"/>
          <w:szCs w:val="22"/>
        </w:rPr>
        <w:t xml:space="preserve">Effets indésirables à connaître : un syndrome de discontinuation peut survenir en cas d'arrêt brutal — vertiges, troubles du sommeil, irritabilité, symptômes pseudo-grippaux. L'arrêt doit se faire progressivement sous supervision médicale.</w:t>
      </w:r>
    </w:p>
    <w:p>
      <w:pPr>
        <w:spacing w:after="80" w:before="80"/>
      </w:pPr>
    </w:p>
    <w:p>
      <w:pPr>
        <w:spacing w:after="80" w:before="200"/>
      </w:pPr>
      <w:r>
        <w:rPr>
          <w:rFonts w:ascii="Times New Roman" w:cs="Times New Roman" w:eastAsia="Times New Roman" w:hAnsi="Times New Roman"/>
          <w:b/>
          <w:bCs/>
          <w:color w:val="1F2937"/>
          <w:sz w:val="26"/>
          <w:szCs w:val="26"/>
        </w:rPr>
        <w:t xml:space="preserve">2. Les antipsychotiques (neuroleptiques)</w:t>
      </w:r>
    </w:p>
    <w:p>
      <w:pPr>
        <w:spacing w:after="60" w:before="60"/>
      </w:pPr>
      <w:r>
        <w:rPr>
          <w:rFonts w:ascii="Times New Roman" w:cs="Times New Roman" w:eastAsia="Times New Roman" w:hAnsi="Times New Roman"/>
          <w:color w:val="1F2937"/>
          <w:sz w:val="22"/>
          <w:szCs w:val="22"/>
        </w:rPr>
        <w:t xml:space="preserve">Indication principale : troubles psychotiques (schizophrénie, épisode maniaque avec éléments psychotiques). Deux générations se distinguent.</w:t>
      </w:r>
    </w:p>
    <w:p>
      <w:pPr>
        <w:spacing w:after="60" w:before="60"/>
      </w:pPr>
      <w:r>
        <w:rPr>
          <w:rFonts w:ascii="Times New Roman" w:cs="Times New Roman" w:eastAsia="Times New Roman" w:hAnsi="Times New Roman"/>
          <w:color w:val="1F2937"/>
          <w:sz w:val="22"/>
          <w:szCs w:val="22"/>
        </w:rPr>
        <w:t xml:space="preserve">Mécanisme commun : modulation de l'activité dopaminergique au niveau cérébral ; certains agissent aussi sur la sérotonine (ANSM, 18/09/2026).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color="auto" w:val="clear"/>
          </w:tcPr>
          <w:p>
            <w:r>
              <w:rPr>
                <w:rFonts w:ascii="Times New Roman" w:cs="Times New Roman" w:eastAsia="Times New Roman" w:hAnsi="Times New Roman"/>
                <w:b/>
                <w:bCs/>
                <w:color w:val="FFFFFF"/>
                <w:sz w:val="20"/>
                <w:szCs w:val="20"/>
              </w:rPr>
              <w:t xml:space="preserve">Génération</w:t>
            </w:r>
          </w:p>
        </w:tc>
        <w:tc>
          <w:tcPr>
            <w:shd w:fill="1B3A6B" w:color="auto" w:val="clear"/>
          </w:tcPr>
          <w:p>
            <w:r>
              <w:rPr>
                <w:rFonts w:ascii="Times New Roman" w:cs="Times New Roman" w:eastAsia="Times New Roman" w:hAnsi="Times New Roman"/>
                <w:b/>
                <w:bCs/>
                <w:color w:val="FFFFFF"/>
                <w:sz w:val="20"/>
                <w:szCs w:val="20"/>
              </w:rPr>
              <w:t xml:space="preserve">Exemples et tolérance</w:t>
            </w:r>
          </w:p>
        </w:tc>
      </w:tr>
      <w:tr>
        <w:tc>
          <w:tcPr>
            <w:shd w:fill="EEF2F7" w:color="auto" w:val="clear"/>
          </w:tcPr>
          <w:p>
            <w:r>
              <w:rPr>
                <w:rFonts w:ascii="Times New Roman" w:cs="Times New Roman" w:eastAsia="Times New Roman" w:hAnsi="Times New Roman"/>
                <w:color w:val="1F2937"/>
                <w:sz w:val="20"/>
                <w:szCs w:val="20"/>
              </w:rPr>
              <w:t xml:space="preserve">1ère génération (typiques)
Ex. : Chlorpromazine, Halopéridol, Lévopromazine</w:t>
            </w:r>
          </w:p>
        </w:tc>
        <w:tc>
          <w:tcPr>
            <w:shd w:fill="EEF2F7" w:color="auto" w:val="clear"/>
          </w:tcPr>
          <w:p>
            <w:r>
              <w:rPr>
                <w:rFonts w:ascii="Times New Roman" w:cs="Times New Roman" w:eastAsia="Times New Roman" w:hAnsi="Times New Roman"/>
                <w:color w:val="1F2937"/>
                <w:sz w:val="20"/>
                <w:szCs w:val="20"/>
              </w:rPr>
              <w:t xml:space="preserve">Efficaces sur les symptômes dits positifs (hallucinations, délires) ; risque neurologique plus élevé : syndrome parkinsonien, dyskinésies tardives</w:t>
            </w:r>
          </w:p>
        </w:tc>
      </w:tr>
      <w:tr>
        <w:tc>
          <w:tcPr>
            <w:shd w:fill="FFFFFF" w:color="auto" w:val="clear"/>
          </w:tcPr>
          <w:p>
            <w:r>
              <w:rPr>
                <w:rFonts w:ascii="Times New Roman" w:cs="Times New Roman" w:eastAsia="Times New Roman" w:hAnsi="Times New Roman"/>
                <w:color w:val="1F2937"/>
                <w:sz w:val="20"/>
                <w:szCs w:val="20"/>
              </w:rPr>
              <w:t xml:space="preserve">2ème génération (atypiques)
Ex. : Aripiprazole, Clozapine, Olanzapine, Palipéridone, Rispéridone</w:t>
            </w:r>
          </w:p>
        </w:tc>
        <w:tc>
          <w:tcPr>
            <w:shd w:fill="FFFFFF" w:color="auto" w:val="clear"/>
          </w:tcPr>
          <w:p>
            <w:r>
              <w:rPr>
                <w:rFonts w:ascii="Times New Roman" w:cs="Times New Roman" w:eastAsia="Times New Roman" w:hAnsi="Times New Roman"/>
                <w:color w:val="1F2937"/>
                <w:sz w:val="20"/>
                <w:szCs w:val="20"/>
              </w:rPr>
              <w:t xml:space="preserve">Souvent mieux tolérés sur le plan moteur ; effet possible sur les symptômes négatifs (retrait social, émoussement affectif)</w:t>
            </w:r>
          </w:p>
        </w:tc>
      </w:tr>
    </w:tbl>
    <w:p>
      <w:pPr>
        <w:spacing w:after="80" w:before="80"/>
      </w:pPr>
    </w:p>
    <w:p>
      <w:pPr>
        <w:spacing w:after="60" w:before="60"/>
      </w:pPr>
      <w:r>
        <w:rPr>
          <w:rFonts w:ascii="Times New Roman" w:cs="Times New Roman" w:eastAsia="Times New Roman" w:hAnsi="Times New Roman"/>
          <w:color w:val="1F2937"/>
          <w:sz w:val="22"/>
          <w:szCs w:val="22"/>
        </w:rPr>
        <w:t xml:space="preserve">Effets indésirables principaux à surveiller en ESSMS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Syndrome extrapyramidal : tremblements, rigidité, akathisie (agitation avec impossibilité de rester immobile), dyskinésies (mouvements involontaires)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Prise de poids et syndrome métabolique : surveillance du poids et de la tension artérielle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Sédation excessive pouvant affecter l'autonomie et les activités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Allongement de l'intervalle QT (risque cardiaque) — signalement au médecin si palpitations ou malaise</w:t>
      </w:r>
    </w:p>
    <w:p>
      <w:pPr>
        <w:spacing w:after="80" w:before="80"/>
      </w:pPr>
    </w:p>
    <w:p>
      <w:pPr>
        <w:shd w:fill="F3F4F6" w:color="auto" w:val="clear"/>
        <w:spacing w:after="40" w:before="80"/>
        <w:ind w:left="720"/>
      </w:pPr>
      <w:r>
        <w:rPr>
          <w:rFonts w:ascii="Times New Roman" w:cs="Times New Roman" w:eastAsia="Times New Roman" w:hAnsi="Times New Roman"/>
          <w:i/>
          <w:iCs/>
          <w:color w:val="1F2937"/>
          <w:sz w:val="22"/>
          <w:szCs w:val="22"/>
        </w:rPr>
        <w:t xml:space="preserve">La page HAS indique que parmi les événements graves médicamenteux liés à un mésusage de neuroleptiques, 1/3 sont liés à une absence d'évaluation régulière du traitement (HAS, Flash Sécurité Patient, validé octobre 2022).</w:t>
      </w:r>
    </w:p>
    <w:p>
      <w:pPr>
        <w:spacing w:after="80" w:before="0"/>
      </w:pPr>
      <w:r>
        <w:rPr>
          <w:rFonts w:ascii="Times New Roman" w:cs="Times New Roman" w:eastAsia="Times New Roman" w:hAnsi="Times New Roman"/>
          <w:i/>
          <w:iCs/>
          <w:color w:val="1F2937"/>
          <w:sz w:val="20"/>
          <w:szCs w:val="20"/>
        </w:rPr>
        <w:t xml:space="preserve">Source : </w:t>
      </w:r>
      <w:hyperlink w:history="1" r:id="rIdcpcpuao8ca9cmgzvw6x9v">
        <w:r>
          <w:rPr>
            <w:rFonts w:ascii="Times New Roman" w:cs="Times New Roman" w:eastAsia="Times New Roman" w:hAnsi="Times New Roman"/>
            <w:color w:val="1155CC"/>
            <w:sz w:val="20"/>
            <w:szCs w:val="20"/>
            <w:u w:val="single"/>
          </w:rPr>
          <w:t xml:space="preserve">HAS — Flash Sécurité Patient « Patient sous neuroleptique. La vigilance est la bonne pratique » (validé octobre 2022, en ligne novembre 2022)</w:t>
        </w:r>
      </w:hyperlink>
    </w:p>
    <w:p>
      <w:pPr>
        <w:spacing w:after="80" w:before="80"/>
      </w:pPr>
    </w:p>
    <w:p>
      <w:pPr>
        <w:spacing w:after="80" w:before="200"/>
      </w:pPr>
      <w:r>
        <w:rPr>
          <w:rFonts w:ascii="Times New Roman" w:cs="Times New Roman" w:eastAsia="Times New Roman" w:hAnsi="Times New Roman"/>
          <w:b/>
          <w:bCs/>
          <w:color w:val="1F2937"/>
          <w:sz w:val="26"/>
          <w:szCs w:val="26"/>
        </w:rPr>
        <w:t xml:space="preserve">3. Les thymorégulateurs (stabilisateurs de l'humeur)</w:t>
      </w:r>
    </w:p>
    <w:p>
      <w:pPr>
        <w:spacing w:after="60" w:before="60"/>
      </w:pPr>
      <w:r>
        <w:rPr>
          <w:rFonts w:ascii="Times New Roman" w:cs="Times New Roman" w:eastAsia="Times New Roman" w:hAnsi="Times New Roman"/>
          <w:color w:val="1F2937"/>
          <w:sz w:val="22"/>
          <w:szCs w:val="22"/>
        </w:rPr>
        <w:t xml:space="preserve">Indication principale : trouble bipolaire — stabilisation des fluctuations de l'humeur, réduction de l'intensité et de la fréquence des épisodes.</w:t>
      </w:r>
    </w:p>
    <w:p>
      <w:pPr>
        <w:spacing w:after="60" w:before="60"/>
      </w:pPr>
      <w:r>
        <w:rPr>
          <w:rFonts w:ascii="Times New Roman" w:cs="Times New Roman" w:eastAsia="Times New Roman" w:hAnsi="Times New Roman"/>
          <w:color w:val="1F2937"/>
          <w:sz w:val="22"/>
          <w:szCs w:val="22"/>
        </w:rPr>
        <w:t xml:space="preserve">Médicaments reconnus (ANSM, mis à jour 18/09/2026) : Lithium (Téralithe), Carbamazépine (Tégrétol), Valpromide (Dépamide), Divalproate de sodium (Dépakote, Divalcote), Lamotrigine (Lamictal).</w:t>
      </w:r>
    </w:p>
    <w:p>
      <w:pPr>
        <w:spacing w:after="60" w:before="60"/>
      </w:pPr>
      <w:r>
        <w:rPr>
          <w:rFonts w:ascii="Times New Roman" w:cs="Times New Roman" w:eastAsia="Times New Roman" w:hAnsi="Times New Roman"/>
          <w:color w:val="1F2937"/>
          <w:sz w:val="22"/>
          <w:szCs w:val="22"/>
        </w:rPr>
        <w:t xml:space="preserve">Mécanisme : modulation de l'activité de la dopamine, du glutamate, du GABA et de la sérotonine ; effets sur la plasticité neuronale et la régulation du rythme veille-sommeil (ANSM, 18/09/2026).</w:t>
      </w:r>
    </w:p>
    <w:p>
      <w:pPr>
        <w:spacing w:after="60" w:before="60"/>
      </w:pPr>
      <w:r>
        <w:rPr>
          <w:rFonts w:ascii="Times New Roman" w:cs="Times New Roman" w:eastAsia="Times New Roman" w:hAnsi="Times New Roman"/>
          <w:color w:val="1F2937"/>
          <w:sz w:val="22"/>
          <w:szCs w:val="22"/>
        </w:rPr>
        <w:t xml:space="preserve">Délai d'effet : quelques jours en phase maniaque aiguë, plusieurs semaines en phase dépressive. Traitement souvent pluriannuel en raison du caractère chronique et récidivant du trouble bipolaire.</w:t>
      </w:r>
    </w:p>
    <w:p>
      <w:pPr>
        <w:spacing w:after="60" w:before="60"/>
      </w:pPr>
      <w:r>
        <w:rPr>
          <w:rFonts w:ascii="Times New Roman" w:cs="Times New Roman" w:eastAsia="Times New Roman" w:hAnsi="Times New Roman"/>
          <w:color w:val="1F2937"/>
          <w:sz w:val="22"/>
          <w:szCs w:val="22"/>
        </w:rPr>
        <w:t xml:space="preserve">Effets indésirables principaux (ANSM, 18/09/2026)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Sédation / somnolence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Prise de poids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Tremblements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Problèmes hépatiques ou rénaux selon la molécule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Réactions cutanées graves possibles</w:t>
      </w:r>
    </w:p>
    <w:p>
      <w:pPr>
        <w:spacing w:after="60" w:before="60"/>
      </w:pPr>
      <w:r>
        <w:rPr>
          <w:rFonts w:ascii="Times New Roman" w:cs="Times New Roman" w:eastAsia="Times New Roman" w:hAnsi="Times New Roman"/>
          <w:color w:val="1F2937"/>
          <w:sz w:val="22"/>
          <w:szCs w:val="22"/>
        </w:rPr>
        <w:t xml:space="preserve">Point de vigilance : ces médicaments peuvent augmenter les idées suicidaires, notamment en début de traitement — la vigilance est essentielle, en particulier lors des premières semaines.</w:t>
      </w:r>
    </w:p>
    <w:p>
      <w:pPr>
        <w:spacing w:after="60" w:before="60"/>
      </w:pPr>
      <w:r>
        <w:rPr>
          <w:rFonts w:ascii="Times New Roman" w:cs="Times New Roman" w:eastAsia="Times New Roman" w:hAnsi="Times New Roman"/>
          <w:color w:val="1F2937"/>
          <w:sz w:val="22"/>
          <w:szCs w:val="22"/>
        </w:rPr>
        <w:t xml:space="preserve">Arrêt : doit se faire progressivement et sous supervision médicale pour éviter la réapparition des symptômes.</w:t>
      </w:r>
    </w:p>
    <w:p>
      <w:pPr>
        <w:spacing w:after="80" w:before="80"/>
      </w:pPr>
    </w:p>
    <w:p>
      <w:pPr>
        <w:spacing w:after="80" w:before="200"/>
      </w:pPr>
      <w:r>
        <w:rPr>
          <w:rFonts w:ascii="Times New Roman" w:cs="Times New Roman" w:eastAsia="Times New Roman" w:hAnsi="Times New Roman"/>
          <w:b/>
          <w:bCs/>
          <w:color w:val="1F2937"/>
          <w:sz w:val="26"/>
          <w:szCs w:val="26"/>
        </w:rPr>
        <w:t xml:space="preserve">4. Les anxiolytiques et hypnotiques</w:t>
      </w:r>
    </w:p>
    <w:p>
      <w:pPr>
        <w:spacing w:after="60" w:before="60"/>
      </w:pPr>
      <w:r>
        <w:rPr>
          <w:rFonts w:ascii="Times New Roman" w:cs="Times New Roman" w:eastAsia="Times New Roman" w:hAnsi="Times New Roman"/>
          <w:color w:val="1F2937"/>
          <w:sz w:val="22"/>
          <w:szCs w:val="22"/>
        </w:rPr>
        <w:t xml:space="preserve">Indication principale : anxiété (anxiolytiques) et troubles du sommeil (hypnotiques). La classe principale est celle des benzodiazépines et apparentés.</w:t>
      </w:r>
    </w:p>
    <w:p>
      <w:pPr>
        <w:spacing w:after="60" w:before="60"/>
      </w:pPr>
      <w:r>
        <w:rPr>
          <w:rFonts w:ascii="Times New Roman" w:cs="Times New Roman" w:eastAsia="Times New Roman" w:hAnsi="Times New Roman"/>
          <w:color w:val="1F2937"/>
          <w:sz w:val="22"/>
          <w:szCs w:val="22"/>
        </w:rPr>
        <w:t xml:space="preserve">Mécanisme : potentialisation de l'action du GABA (neurotransmetteur inhibiteur), entraînant une réduction de l'activité du système nerveux central.</w:t>
      </w:r>
    </w:p>
    <w:p>
      <w:pPr>
        <w:spacing w:after="60" w:before="60"/>
      </w:pPr>
      <w:r>
        <w:rPr>
          <w:rFonts w:ascii="Times New Roman" w:cs="Times New Roman" w:eastAsia="Times New Roman" w:hAnsi="Times New Roman"/>
          <w:color w:val="1F2937"/>
          <w:sz w:val="22"/>
          <w:szCs w:val="22"/>
        </w:rPr>
        <w:t xml:space="preserve">Effets attendus : sédation, réduction de l'anxiété, relaxation musculaire, facilitation du sommeil.</w:t>
      </w:r>
    </w:p>
    <w:p>
      <w:pPr>
        <w:spacing w:after="60" w:before="60"/>
      </w:pPr>
      <w:r>
        <w:rPr>
          <w:rFonts w:ascii="Times New Roman" w:cs="Times New Roman" w:eastAsia="Times New Roman" w:hAnsi="Times New Roman"/>
          <w:color w:val="1F2937"/>
          <w:sz w:val="22"/>
          <w:szCs w:val="22"/>
        </w:rPr>
        <w:t xml:space="preserve">Effets indésirables et risques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Dépendance physique possible en cas d'usage prolongé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Syndrome de sevrage à l'arrêt brutal : anxiété rebond, insomnies, tremblements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Risque de chutes, notamment chez les personnes âgées (somnolence, diminution des réflexes)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Interactions médicamenteuses avec d'autres dépresseurs du SNC (alcool, opioïdes)</w:t>
      </w:r>
    </w:p>
    <w:p>
      <w:pPr>
        <w:shd w:fill="F3F4F6" w:color="auto" w:val="clear"/>
        <w:spacing w:after="80" w:before="80"/>
      </w:pPr>
      <w:r>
        <w:rPr>
          <w:rFonts w:ascii="Times New Roman" w:cs="Times New Roman" w:eastAsia="Times New Roman" w:hAnsi="Times New Roman"/>
          <w:i/>
          <w:iCs/>
          <w:color w:val="1F2937"/>
          <w:sz w:val="20"/>
          <w:szCs w:val="20"/>
        </w:rPr>
        <w:t xml:space="preserve">Note méthodologique : les pages ANSM consultées pour cette leçon consacrent quatre dossiers thématiques aux antidépresseurs, antipsychotiques, thymorégulateurs et psychostimulants. Les anxiolytiques/hypnotiques n'y disposent pas de dossier dédié dans les sources récupérées. Cette classe est présentée ici comme repère de terrain, sans chiffres attribués à une source particulière.</w:t>
      </w:r>
    </w:p>
    <w:p>
      <w:pPr>
        <w:spacing w:after="80" w:before="80"/>
      </w:pPr>
    </w:p>
    <w:p>
      <w:pPr>
        <w:spacing w:after="80" w:before="200"/>
      </w:pPr>
      <w:r>
        <w:rPr>
          <w:rFonts w:ascii="Times New Roman" w:cs="Times New Roman" w:eastAsia="Times New Roman" w:hAnsi="Times New Roman"/>
          <w:b/>
          <w:bCs/>
          <w:color w:val="1F2937"/>
          <w:sz w:val="26"/>
          <w:szCs w:val="26"/>
        </w:rPr>
        <w:t xml:space="preserve">5. Les psychostimulants</w:t>
      </w:r>
    </w:p>
    <w:p>
      <w:pPr>
        <w:spacing w:after="60" w:before="60"/>
      </w:pPr>
      <w:r>
        <w:rPr>
          <w:rFonts w:ascii="Times New Roman" w:cs="Times New Roman" w:eastAsia="Times New Roman" w:hAnsi="Times New Roman"/>
          <w:color w:val="1F2937"/>
          <w:sz w:val="22"/>
          <w:szCs w:val="22"/>
        </w:rPr>
        <w:t xml:space="preserve">Indication principale : trouble déficit de l'attention avec ou sans hyperactivité (TDA/H).</w:t>
      </w:r>
    </w:p>
    <w:p>
      <w:pPr>
        <w:spacing w:after="60" w:before="60"/>
      </w:pPr>
      <w:r>
        <w:rPr>
          <w:rFonts w:ascii="Times New Roman" w:cs="Times New Roman" w:eastAsia="Times New Roman" w:hAnsi="Times New Roman"/>
          <w:color w:val="1F2937"/>
          <w:sz w:val="22"/>
          <w:szCs w:val="22"/>
        </w:rPr>
        <w:t xml:space="preserve">Médicaments (ANSM, mis à jour 12/08/2026) : Méthylphénidate (Concerta, Médikinet, Quasym, Ritaline) — Lisdexamphétamine (Xurta).</w:t>
      </w:r>
    </w:p>
    <w:p>
      <w:pPr>
        <w:spacing w:after="60" w:before="60"/>
      </w:pPr>
      <w:r>
        <w:rPr>
          <w:rFonts w:ascii="Times New Roman" w:cs="Times New Roman" w:eastAsia="Times New Roman" w:hAnsi="Times New Roman"/>
          <w:color w:val="1F2937"/>
          <w:sz w:val="22"/>
          <w:szCs w:val="22"/>
        </w:rPr>
        <w:t xml:space="preserve">Mécanisme : augmentent la disponibilité de certains neurotransmetteurs, principalement la dopamine et la noradrénaline, dans les régions cérébrales impliquées dans la régulation de l'attention, des comportements, des pensées et des émotions (ANSM, 12/08/2026).</w:t>
      </w:r>
    </w:p>
    <w:p>
      <w:pPr>
        <w:spacing w:after="60" w:before="60"/>
      </w:pPr>
      <w:r>
        <w:rPr>
          <w:rFonts w:ascii="Times New Roman" w:cs="Times New Roman" w:eastAsia="Times New Roman" w:hAnsi="Times New Roman"/>
          <w:color w:val="1F2937"/>
          <w:sz w:val="22"/>
          <w:szCs w:val="22"/>
        </w:rPr>
        <w:t xml:space="preserve">Effets indésirables courants (ANSM, 12/08/2026) : troubles du sommeil, céphalées, nervosité ou irritabilité, palpitations, perte d'appétit ou douleurs abdominales — généralement réversibles et souvent transitoires.</w:t>
      </w:r>
    </w:p>
    <w:p>
      <w:pPr>
        <w:spacing w:after="60" w:before="60"/>
      </w:pPr>
      <w:r>
        <w:rPr>
          <w:rFonts w:ascii="Times New Roman" w:cs="Times New Roman" w:eastAsia="Times New Roman" w:hAnsi="Times New Roman"/>
          <w:color w:val="1F2937"/>
          <w:sz w:val="22"/>
          <w:szCs w:val="22"/>
        </w:rPr>
        <w:t xml:space="preserve">Surveillance spécifique recommandée (ANSM, 12/08/2026)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Tension artérielle et fréquence cardiaque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Croissance chez l'enfant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Poids et appétit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Troubles de l'humeur ou sensations inhabituelles</w:t>
      </w:r>
    </w:p>
    <w:p>
      <w:pPr>
        <w:spacing w:after="80" w:before="80"/>
      </w:pPr>
    </w:p>
    <w:p>
      <w:pPr>
        <w:spacing w:after="80" w:before="200"/>
      </w:pPr>
      <w:r>
        <w:rPr>
          <w:rFonts w:ascii="Times New Roman" w:cs="Times New Roman" w:eastAsia="Times New Roman" w:hAnsi="Times New Roman"/>
          <w:b/>
          <w:bCs/>
          <w:color w:val="1F2937"/>
          <w:sz w:val="26"/>
          <w:szCs w:val="26"/>
        </w:rPr>
        <w:t xml:space="preserve">Le cadre de la surveillance : quatre actions préventives (HAS, 2022)</w:t>
      </w:r>
    </w:p>
    <w:p>
      <w:pPr>
        <w:spacing w:after="60" w:before="60"/>
      </w:pPr>
      <w:r>
        <w:rPr>
          <w:rFonts w:ascii="Times New Roman" w:cs="Times New Roman" w:eastAsia="Times New Roman" w:hAnsi="Times New Roman"/>
          <w:color w:val="1F2937"/>
          <w:sz w:val="22"/>
          <w:szCs w:val="22"/>
        </w:rPr>
        <w:t xml:space="preserve">La HAS, dans son Flash Sécurité Patient de 2022, propose quatre actions préventives pour tout professionnel côtoyant des patients sous neuroleptiques (applicable par analogie à tout accompagnement de personnes sous psychotropes)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color="auto" w:val="clear"/>
          </w:tcPr>
          <w:p>
            <w:r>
              <w:rPr>
                <w:rFonts w:ascii="Times New Roman" w:cs="Times New Roman" w:eastAsia="Times New Roman" w:hAnsi="Times New Roman"/>
                <w:b/>
                <w:bCs/>
                <w:color w:val="FFFFFF"/>
                <w:sz w:val="20"/>
                <w:szCs w:val="20"/>
              </w:rPr>
              <w:t xml:space="preserve">Action</w:t>
            </w:r>
          </w:p>
        </w:tc>
        <w:tc>
          <w:tcPr>
            <w:shd w:fill="1B3A6B" w:color="auto" w:val="clear"/>
          </w:tcPr>
          <w:p>
            <w:r>
              <w:rPr>
                <w:rFonts w:ascii="Times New Roman" w:cs="Times New Roman" w:eastAsia="Times New Roman" w:hAnsi="Times New Roman"/>
                <w:b/>
                <w:bCs/>
                <w:color w:val="FFFFFF"/>
                <w:sz w:val="20"/>
                <w:szCs w:val="20"/>
              </w:rPr>
              <w:t xml:space="preserve">Ce que cela signifie en pratique</w:t>
            </w:r>
          </w:p>
        </w:tc>
      </w:tr>
      <w:tr>
        <w:tc>
          <w:tcPr>
            <w:shd w:fill="EEF2F7" w:color="auto" w:val="clear"/>
          </w:tcPr>
          <w:p>
            <w:r>
              <w:rPr>
                <w:rFonts w:ascii="Times New Roman" w:cs="Times New Roman" w:eastAsia="Times New Roman" w:hAnsi="Times New Roman"/>
                <w:color w:val="1F2937"/>
                <w:sz w:val="20"/>
                <w:szCs w:val="20"/>
              </w:rPr>
              <w:t xml:space="preserve">1. Informer</w:t>
            </w:r>
          </w:p>
        </w:tc>
        <w:tc>
          <w:tcPr>
            <w:shd w:fill="EEF2F7" w:color="auto" w:val="clear"/>
          </w:tcPr>
          <w:p>
            <w:r>
              <w:rPr>
                <w:rFonts w:ascii="Times New Roman" w:cs="Times New Roman" w:eastAsia="Times New Roman" w:hAnsi="Times New Roman"/>
                <w:color w:val="1F2937"/>
                <w:sz w:val="20"/>
                <w:szCs w:val="20"/>
              </w:rPr>
              <w:t xml:space="preserve">La personne accompagnée connaît les effets attendus et les signes à signaler</w:t>
            </w:r>
          </w:p>
        </w:tc>
      </w:tr>
      <w:tr>
        <w:tc>
          <w:tcPr>
            <w:shd w:fill="FFFFFF" w:color="auto" w:val="clear"/>
          </w:tcPr>
          <w:p>
            <w:r>
              <w:rPr>
                <w:rFonts w:ascii="Times New Roman" w:cs="Times New Roman" w:eastAsia="Times New Roman" w:hAnsi="Times New Roman"/>
                <w:color w:val="1F2937"/>
                <w:sz w:val="20"/>
                <w:szCs w:val="20"/>
              </w:rPr>
              <w:t xml:space="preserve">2. Détecter</w:t>
            </w:r>
          </w:p>
        </w:tc>
        <w:tc>
          <w:tcPr>
            <w:shd w:fill="FFFFFF" w:color="auto" w:val="clear"/>
          </w:tcPr>
          <w:p>
            <w:r>
              <w:rPr>
                <w:rFonts w:ascii="Times New Roman" w:cs="Times New Roman" w:eastAsia="Times New Roman" w:hAnsi="Times New Roman"/>
                <w:color w:val="1F2937"/>
                <w:sz w:val="20"/>
                <w:szCs w:val="20"/>
              </w:rPr>
              <w:t xml:space="preserve">Repérer précocement les effets indésirables (tremblements, agitation, prise de poids, troubles du sommeil, etc.)</w:t>
            </w:r>
          </w:p>
        </w:tc>
      </w:tr>
      <w:tr>
        <w:tc>
          <w:tcPr>
            <w:shd w:fill="EEF2F7" w:color="auto" w:val="clear"/>
          </w:tcPr>
          <w:p>
            <w:r>
              <w:rPr>
                <w:rFonts w:ascii="Times New Roman" w:cs="Times New Roman" w:eastAsia="Times New Roman" w:hAnsi="Times New Roman"/>
                <w:color w:val="1F2937"/>
                <w:sz w:val="20"/>
                <w:szCs w:val="20"/>
              </w:rPr>
              <w:t xml:space="preserve">3. Surveiller</w:t>
            </w:r>
          </w:p>
        </w:tc>
        <w:tc>
          <w:tcPr>
            <w:shd w:fill="EEF2F7" w:color="auto" w:val="clear"/>
          </w:tcPr>
          <w:p>
            <w:r>
              <w:rPr>
                <w:rFonts w:ascii="Times New Roman" w:cs="Times New Roman" w:eastAsia="Times New Roman" w:hAnsi="Times New Roman"/>
                <w:color w:val="1F2937"/>
                <w:sz w:val="20"/>
                <w:szCs w:val="20"/>
              </w:rPr>
              <w:t xml:space="preserve">Évaluation régulière du traitement — ne pas supposer que « ça va » parce que la personne ne se plaint pas</w:t>
            </w:r>
          </w:p>
        </w:tc>
      </w:tr>
      <w:tr>
        <w:tc>
          <w:tcPr>
            <w:shd w:fill="FFFFFF" w:color="auto" w:val="clear"/>
          </w:tcPr>
          <w:p>
            <w:r>
              <w:rPr>
                <w:rFonts w:ascii="Times New Roman" w:cs="Times New Roman" w:eastAsia="Times New Roman" w:hAnsi="Times New Roman"/>
                <w:color w:val="1F2937"/>
                <w:sz w:val="20"/>
                <w:szCs w:val="20"/>
              </w:rPr>
              <w:t xml:space="preserve">4. Sensibiliser</w:t>
            </w:r>
          </w:p>
        </w:tc>
        <w:tc>
          <w:tcPr>
            <w:shd w:fill="FFFFFF" w:color="auto" w:val="clear"/>
          </w:tcPr>
          <w:p>
            <w:r>
              <w:rPr>
                <w:rFonts w:ascii="Times New Roman" w:cs="Times New Roman" w:eastAsia="Times New Roman" w:hAnsi="Times New Roman"/>
                <w:color w:val="1F2937"/>
                <w:sz w:val="20"/>
                <w:szCs w:val="20"/>
              </w:rPr>
              <w:t xml:space="preserve">Former l'équipe éducative aux signes d'alerte nécessitant une consultation médicale urgente</w:t>
            </w:r>
          </w:p>
        </w:tc>
      </w:tr>
    </w:tbl>
    <w:p>
      <w:pPr>
        <w:spacing w:after="80" w:before="80"/>
      </w:pPr>
    </w:p>
    <w:p>
      <w:pPr>
        <w:spacing w:after="120" w:before="300"/>
      </w:pPr>
      <w:r>
        <w:rPr>
          <w:rFonts w:ascii="Times New Roman" w:cs="Times New Roman" w:eastAsia="Times New Roman" w:hAnsi="Times New Roman"/>
          <w:b/>
          <w:bCs/>
          <w:color w:val="1B3A6B"/>
          <w:sz w:val="30"/>
          <w:szCs w:val="30"/>
        </w:rPr>
        <w:t xml:space="preserve">🛠️ Pratique (80 %) — Exercices d'apprentissage actif</w:t>
      </w:r>
    </w:p>
    <w:p>
      <w:pPr>
        <w:spacing w:after="80" w:before="200"/>
      </w:pPr>
      <w:r>
        <w:rPr>
          <w:rFonts w:ascii="Times New Roman" w:cs="Times New Roman" w:eastAsia="Times New Roman" w:hAnsi="Times New Roman"/>
          <w:b/>
          <w:bCs/>
          <w:color w:val="1F2937"/>
          <w:sz w:val="26"/>
          <w:szCs w:val="26"/>
        </w:rPr>
        <w:t xml:space="preserve">Exercice 1 — Identification des classes (compréhension active)</w:t>
      </w:r>
    </w:p>
    <w:p>
      <w:pPr>
        <w:spacing w:after="60" w:before="60"/>
      </w:pPr>
      <w:r>
        <w:rPr>
          <w:rFonts w:ascii="Times New Roman" w:cs="Times New Roman" w:eastAsia="Times New Roman" w:hAnsi="Times New Roman"/>
          <w:color w:val="1F2937"/>
          <w:sz w:val="22"/>
          <w:szCs w:val="22"/>
        </w:rPr>
        <w:t xml:space="preserve">Pour chacun des médicaments ou descriptions ci-dessous, identifie la classe (antidépresseur, antipsychotique, thymorégulateur, anxiolytique, psychostimulant) et l'indication principale. Aucune source externe n'est nécessaire : utilise uniquement les informations de la section théorie.</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color="auto" w:val="clear"/>
          </w:tcPr>
          <w:p>
            <w:r>
              <w:rPr>
                <w:rFonts w:ascii="Times New Roman" w:cs="Times New Roman" w:eastAsia="Times New Roman" w:hAnsi="Times New Roman"/>
                <w:b/>
                <w:bCs/>
                <w:color w:val="FFFFFF"/>
                <w:sz w:val="20"/>
                <w:szCs w:val="20"/>
              </w:rPr>
              <w:t xml:space="preserve">Élément</w:t>
            </w:r>
          </w:p>
        </w:tc>
        <w:tc>
          <w:tcPr>
            <w:shd w:fill="1B3A6B" w:color="auto" w:val="clear"/>
          </w:tcPr>
          <w:p>
            <w:r>
              <w:rPr>
                <w:rFonts w:ascii="Times New Roman" w:cs="Times New Roman" w:eastAsia="Times New Roman" w:hAnsi="Times New Roman"/>
                <w:b/>
                <w:bCs/>
                <w:color w:val="FFFFFF"/>
                <w:sz w:val="20"/>
                <w:szCs w:val="20"/>
              </w:rPr>
              <w:t xml:space="preserve">Classe probable / Indication</w:t>
            </w:r>
          </w:p>
        </w:tc>
      </w:tr>
      <w:tr>
        <w:tc>
          <w:tcPr>
            <w:shd w:fill="EEF2F7" w:color="auto" w:val="clear"/>
          </w:tcPr>
          <w:p>
            <w:r>
              <w:rPr>
                <w:rFonts w:ascii="Times New Roman" w:cs="Times New Roman" w:eastAsia="Times New Roman" w:hAnsi="Times New Roman"/>
                <w:color w:val="1F2937"/>
                <w:sz w:val="20"/>
                <w:szCs w:val="20"/>
              </w:rPr>
              <w:t xml:space="preserve">a) Lithium (Téralithe)</w:t>
            </w:r>
          </w:p>
        </w:tc>
        <w:tc>
          <w:tcPr>
            <w:shd w:fill="EEF2F7" w:color="auto" w:val="clear"/>
          </w:tcPr>
          <w:p>
            <w:r>
              <w:rPr>
                <w:rFonts w:ascii="Times New Roman" w:cs="Times New Roman" w:eastAsia="Times New Roman" w:hAnsi="Times New Roman"/>
                <w:color w:val="1F2937"/>
                <w:sz w:val="20"/>
                <w:szCs w:val="20"/>
              </w:rPr>
              <w:t xml:space="preserve">?</w:t>
            </w:r>
          </w:p>
        </w:tc>
      </w:tr>
      <w:tr>
        <w:tc>
          <w:tcPr>
            <w:shd w:fill="FFFFFF" w:color="auto" w:val="clear"/>
          </w:tcPr>
          <w:p>
            <w:r>
              <w:rPr>
                <w:rFonts w:ascii="Times New Roman" w:cs="Times New Roman" w:eastAsia="Times New Roman" w:hAnsi="Times New Roman"/>
                <w:color w:val="1F2937"/>
                <w:sz w:val="20"/>
                <w:szCs w:val="20"/>
              </w:rPr>
              <w:t xml:space="preserve">b) Sertraline</w:t>
            </w:r>
          </w:p>
        </w:tc>
        <w:tc>
          <w:tcPr>
            <w:shd w:fill="FFFFFF" w:color="auto" w:val="clear"/>
          </w:tcPr>
          <w:p>
            <w:r>
              <w:rPr>
                <w:rFonts w:ascii="Times New Roman" w:cs="Times New Roman" w:eastAsia="Times New Roman" w:hAnsi="Times New Roman"/>
                <w:color w:val="1F2937"/>
                <w:sz w:val="20"/>
                <w:szCs w:val="20"/>
              </w:rPr>
              <w:t xml:space="preserve">?</w:t>
            </w:r>
          </w:p>
        </w:tc>
      </w:tr>
      <w:tr>
        <w:tc>
          <w:tcPr>
            <w:shd w:fill="EEF2F7" w:color="auto" w:val="clear"/>
          </w:tcPr>
          <w:p>
            <w:r>
              <w:rPr>
                <w:rFonts w:ascii="Times New Roman" w:cs="Times New Roman" w:eastAsia="Times New Roman" w:hAnsi="Times New Roman"/>
                <w:color w:val="1F2937"/>
                <w:sz w:val="20"/>
                <w:szCs w:val="20"/>
              </w:rPr>
              <w:t xml:space="preserve">c) Un médicament prescrit à un enfant pour améliorer son attention, avec surveillance du poids et de la tension artérielle</w:t>
            </w:r>
          </w:p>
        </w:tc>
        <w:tc>
          <w:tcPr>
            <w:shd w:fill="EEF2F7" w:color="auto" w:val="clear"/>
          </w:tcPr>
          <w:p>
            <w:r>
              <w:rPr>
                <w:rFonts w:ascii="Times New Roman" w:cs="Times New Roman" w:eastAsia="Times New Roman" w:hAnsi="Times New Roman"/>
                <w:color w:val="1F2937"/>
                <w:sz w:val="20"/>
                <w:szCs w:val="20"/>
              </w:rPr>
              <w:t xml:space="preserve">?</w:t>
            </w:r>
          </w:p>
        </w:tc>
      </w:tr>
      <w:tr>
        <w:tc>
          <w:tcPr>
            <w:shd w:fill="FFFFFF" w:color="auto" w:val="clear"/>
          </w:tcPr>
          <w:p>
            <w:r>
              <w:rPr>
                <w:rFonts w:ascii="Times New Roman" w:cs="Times New Roman" w:eastAsia="Times New Roman" w:hAnsi="Times New Roman"/>
                <w:color w:val="1F2937"/>
                <w:sz w:val="20"/>
                <w:szCs w:val="20"/>
              </w:rPr>
              <w:t xml:space="preserve">d) Halopéridol — prescrit pour réduire des hallucinations auditives intenses</w:t>
            </w:r>
          </w:p>
        </w:tc>
        <w:tc>
          <w:tcPr>
            <w:shd w:fill="FFFFFF" w:color="auto" w:val="clear"/>
          </w:tcPr>
          <w:p>
            <w:r>
              <w:rPr>
                <w:rFonts w:ascii="Times New Roman" w:cs="Times New Roman" w:eastAsia="Times New Roman" w:hAnsi="Times New Roman"/>
                <w:color w:val="1F2937"/>
                <w:sz w:val="20"/>
                <w:szCs w:val="20"/>
              </w:rPr>
              <w:t xml:space="preserve">?</w:t>
            </w:r>
          </w:p>
        </w:tc>
      </w:tr>
      <w:tr>
        <w:tc>
          <w:tcPr>
            <w:shd w:fill="EEF2F7" w:color="auto" w:val="clear"/>
          </w:tcPr>
          <w:p>
            <w:r>
              <w:rPr>
                <w:rFonts w:ascii="Times New Roman" w:cs="Times New Roman" w:eastAsia="Times New Roman" w:hAnsi="Times New Roman"/>
                <w:color w:val="1F2937"/>
                <w:sz w:val="20"/>
                <w:szCs w:val="20"/>
              </w:rPr>
              <w:t xml:space="preserve">e) Un médicament dont l'arrêt brutal provoque anxiété rebond, insomnies et tremblements</w:t>
            </w:r>
          </w:p>
        </w:tc>
        <w:tc>
          <w:tcPr>
            <w:shd w:fill="EEF2F7" w:color="auto" w:val="clear"/>
          </w:tcPr>
          <w:p>
            <w:r>
              <w:rPr>
                <w:rFonts w:ascii="Times New Roman" w:cs="Times New Roman" w:eastAsia="Times New Roman" w:hAnsi="Times New Roman"/>
                <w:color w:val="1F2937"/>
                <w:sz w:val="20"/>
                <w:szCs w:val="20"/>
              </w:rPr>
              <w:t xml:space="preserve">?</w:t>
            </w:r>
          </w:p>
        </w:tc>
      </w:tr>
      <w:tr>
        <w:tc>
          <w:tcPr>
            <w:shd w:fill="FFFFFF" w:color="auto" w:val="clear"/>
          </w:tcPr>
          <w:p>
            <w:r>
              <w:rPr>
                <w:rFonts w:ascii="Times New Roman" w:cs="Times New Roman" w:eastAsia="Times New Roman" w:hAnsi="Times New Roman"/>
                <w:color w:val="1F2937"/>
                <w:sz w:val="20"/>
                <w:szCs w:val="20"/>
              </w:rPr>
              <w:t xml:space="preserve">f) Venlafaxine</w:t>
            </w:r>
          </w:p>
        </w:tc>
        <w:tc>
          <w:tcPr>
            <w:shd w:fill="FFFFFF" w:color="auto" w:val="clear"/>
          </w:tcPr>
          <w:p>
            <w:r>
              <w:rPr>
                <w:rFonts w:ascii="Times New Roman" w:cs="Times New Roman" w:eastAsia="Times New Roman" w:hAnsi="Times New Roman"/>
                <w:color w:val="1F2937"/>
                <w:sz w:val="20"/>
                <w:szCs w:val="20"/>
              </w:rPr>
              <w:t xml:space="preserve">?</w:t>
            </w:r>
          </w:p>
        </w:tc>
      </w:tr>
    </w:tbl>
    <w:p>
      <w:pPr>
        <w:spacing w:after="80" w:before="80"/>
      </w:pPr>
    </w:p>
    <w:p>
      <w:pPr>
        <w:spacing w:after="80" w:before="200"/>
      </w:pPr>
      <w:r>
        <w:rPr>
          <w:rFonts w:ascii="Times New Roman" w:cs="Times New Roman" w:eastAsia="Times New Roman" w:hAnsi="Times New Roman"/>
          <w:b/>
          <w:bCs/>
          <w:color w:val="1F2937"/>
          <w:sz w:val="26"/>
          <w:szCs w:val="26"/>
        </w:rPr>
        <w:t xml:space="preserve">Corrigé — Exercice 1</w:t>
      </w:r>
    </w:p>
    <w:p>
      <w:pPr>
        <w:shd w:fill="F3F4F6" w:color="auto" w:val="clear"/>
        <w:spacing w:after="80" w:before="80"/>
      </w:pPr>
      <w:r>
        <w:rPr>
          <w:rFonts w:ascii="Times New Roman" w:cs="Times New Roman" w:eastAsia="Times New Roman" w:hAnsi="Times New Roman"/>
          <w:i/>
          <w:iCs/>
          <w:color w:val="1F2937"/>
          <w:sz w:val="20"/>
          <w:szCs w:val="20"/>
        </w:rPr>
        <w:t xml:space="preserve">a) Lithium : THYMORÉGULATEUR — trouble bipolaire.</w:t>
      </w:r>
    </w:p>
    <w:p>
      <w:pPr>
        <w:shd w:fill="F3F4F6" w:color="auto" w:val="clear"/>
        <w:spacing w:after="80" w:before="80"/>
      </w:pPr>
      <w:r>
        <w:rPr>
          <w:rFonts w:ascii="Times New Roman" w:cs="Times New Roman" w:eastAsia="Times New Roman" w:hAnsi="Times New Roman"/>
          <w:i/>
          <w:iCs/>
          <w:color w:val="1F2937"/>
          <w:sz w:val="20"/>
          <w:szCs w:val="20"/>
        </w:rPr>
        <w:t xml:space="preserve">b) Sertraline : ANTIDÉPRESSEUR (ISRS) — dépression et certains troubles anxieux.</w:t>
      </w:r>
    </w:p>
    <w:p>
      <w:pPr>
        <w:shd w:fill="F3F4F6" w:color="auto" w:val="clear"/>
        <w:spacing w:after="80" w:before="80"/>
      </w:pPr>
      <w:r>
        <w:rPr>
          <w:rFonts w:ascii="Times New Roman" w:cs="Times New Roman" w:eastAsia="Times New Roman" w:hAnsi="Times New Roman"/>
          <w:i/>
          <w:iCs/>
          <w:color w:val="1F2937"/>
          <w:sz w:val="20"/>
          <w:szCs w:val="20"/>
        </w:rPr>
        <w:t xml:space="preserve">c) TDA/H : PSYCHOSTIMULANT — la surveillance du poids et de la tension artérielle correspond aux recommandations ANSM pour cette classe.</w:t>
      </w:r>
    </w:p>
    <w:p>
      <w:pPr>
        <w:shd w:fill="F3F4F6" w:color="auto" w:val="clear"/>
        <w:spacing w:after="80" w:before="80"/>
      </w:pPr>
      <w:r>
        <w:rPr>
          <w:rFonts w:ascii="Times New Roman" w:cs="Times New Roman" w:eastAsia="Times New Roman" w:hAnsi="Times New Roman"/>
          <w:i/>
          <w:iCs/>
          <w:color w:val="1F2937"/>
          <w:sz w:val="20"/>
          <w:szCs w:val="20"/>
        </w:rPr>
        <w:t xml:space="preserve">d) Halopéridol : ANTIPSYCHOTIQUE de 1ère génération — indiqué sur les symptômes positifs (hallucinations, délires).</w:t>
      </w:r>
    </w:p>
    <w:p>
      <w:pPr>
        <w:shd w:fill="F3F4F6" w:color="auto" w:val="clear"/>
        <w:spacing w:after="80" w:before="80"/>
      </w:pPr>
      <w:r>
        <w:rPr>
          <w:rFonts w:ascii="Times New Roman" w:cs="Times New Roman" w:eastAsia="Times New Roman" w:hAnsi="Times New Roman"/>
          <w:i/>
          <w:iCs/>
          <w:color w:val="1F2937"/>
          <w:sz w:val="20"/>
          <w:szCs w:val="20"/>
        </w:rPr>
        <w:t xml:space="preserve">e) Arrêt brutal → syndrome de sevrage : ANXIOLYTIQUE ou HYPNOTIQUE (benzodiazépine) — la dépendance physique et le sevrage sont caractéristiques de cette classe.</w:t>
      </w:r>
    </w:p>
    <w:p>
      <w:pPr>
        <w:shd w:fill="F3F4F6" w:color="auto" w:val="clear"/>
        <w:spacing w:after="80" w:before="80"/>
      </w:pPr>
      <w:r>
        <w:rPr>
          <w:rFonts w:ascii="Times New Roman" w:cs="Times New Roman" w:eastAsia="Times New Roman" w:hAnsi="Times New Roman"/>
          <w:i/>
          <w:iCs/>
          <w:color w:val="1F2937"/>
          <w:sz w:val="20"/>
          <w:szCs w:val="20"/>
        </w:rPr>
        <w:t xml:space="preserve">f) Venlafaxine : ANTIDÉPRESSEUR (IRSNa) — dépression et certains troubles anxieux.</w:t>
      </w:r>
    </w:p>
    <w:p>
      <w:pPr>
        <w:spacing w:after="80" w:before="80"/>
      </w:pPr>
    </w:p>
    <w:p>
      <w:pPr>
        <w:spacing w:after="80" w:before="200"/>
      </w:pPr>
      <w:r>
        <w:rPr>
          <w:rFonts w:ascii="Times New Roman" w:cs="Times New Roman" w:eastAsia="Times New Roman" w:hAnsi="Times New Roman"/>
          <w:b/>
          <w:bCs/>
          <w:color w:val="1F2937"/>
          <w:sz w:val="26"/>
          <w:szCs w:val="26"/>
        </w:rPr>
        <w:t xml:space="preserve">Exercice 2 — Vignette clinique : repérage d'effets indésirables</w:t>
      </w:r>
    </w:p>
    <w:p>
      <w:pPr>
        <w:shd w:fill="F3F4F6" w:color="auto" w:val="clear"/>
        <w:spacing w:after="80" w:before="80"/>
      </w:pPr>
      <w:r>
        <w:rPr>
          <w:rFonts w:ascii="Times New Roman" w:cs="Times New Roman" w:eastAsia="Times New Roman" w:hAnsi="Times New Roman"/>
          <w:b/>
          <w:bCs/>
          <w:color w:val="1F2937"/>
          <w:sz w:val="22"/>
          <w:szCs w:val="22"/>
        </w:rPr>
        <w:t xml:space="preserve">Situation : </w:t>
      </w:r>
      <w:r>
        <w:rPr>
          <w:rFonts w:ascii="Times New Roman" w:cs="Times New Roman" w:eastAsia="Times New Roman" w:hAnsi="Times New Roman"/>
          <w:i/>
          <w:iCs/>
          <w:color w:val="1F2937"/>
          <w:sz w:val="22"/>
          <w:szCs w:val="22"/>
        </w:rPr>
        <w:t xml:space="preserve">Marco, 34 ans, accompagné depuis 3 ans dans un foyer d'hébergement. Depuis quelques semaines, l'équipe remarque qu'il marche plus lentement, qu'il a les mains qui tremblent et qu'il bave parfois. Il prend un traitement psychiatrique depuis son entrée dans le foyer. Il n'en parle pas spontanément.</w:t>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Quelle classe de psychotrope peut expliquer ces signes ? Quels sont ces signes en termes sémiologiques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Quelle est ta posture en tant qu'éducateur ou chef de service ? Vers qui transmets-tu cette observation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Ces signes sont-ils urgents ? Comment le sais-tu ?</w:t>
      </w:r>
    </w:p>
    <w:p>
      <w:pPr>
        <w:spacing w:after="80" w:before="80"/>
      </w:pPr>
    </w:p>
    <w:p>
      <w:pPr>
        <w:spacing w:after="80" w:before="200"/>
      </w:pPr>
      <w:r>
        <w:rPr>
          <w:rFonts w:ascii="Times New Roman" w:cs="Times New Roman" w:eastAsia="Times New Roman" w:hAnsi="Times New Roman"/>
          <w:b/>
          <w:bCs/>
          <w:color w:val="1F2937"/>
          <w:sz w:val="26"/>
          <w:szCs w:val="26"/>
        </w:rPr>
        <w:t xml:space="preserve">Corrigé — Exercice 2</w:t>
      </w:r>
    </w:p>
    <w:p>
      <w:pPr>
        <w:shd w:fill="F3F4F6" w:color="auto" w:val="clear"/>
        <w:spacing w:after="80" w:before="80"/>
      </w:pPr>
      <w:r>
        <w:rPr>
          <w:rFonts w:ascii="Times New Roman" w:cs="Times New Roman" w:eastAsia="Times New Roman" w:hAnsi="Times New Roman"/>
          <w:i/>
          <w:iCs/>
          <w:color w:val="1F2937"/>
          <w:sz w:val="20"/>
          <w:szCs w:val="20"/>
        </w:rPr>
        <w:t xml:space="preserve">1. Ces trois signes — ralentissement moteur, tremblements des extrémités et sialorrhée (excès de salive) — constituent un tableau évocateur d'un syndrome extrapyramidal, effet indésirable reconnu des antipsychotiques de 1ère génération (voir théorie). Les antipsychotiques de 2ème génération peuvent aussi en être responsables, dans une moindre mesure. Il s'agit d'effets indésirables moteurs liés à l'action de ces médicaments sur les voies dopaminergiques extrapyramidales.</w:t>
      </w:r>
    </w:p>
    <w:p>
      <w:pPr>
        <w:shd w:fill="F3F4F6" w:color="auto" w:val="clear"/>
        <w:spacing w:after="80" w:before="80"/>
      </w:pPr>
      <w:r>
        <w:rPr>
          <w:rFonts w:ascii="Times New Roman" w:cs="Times New Roman" w:eastAsia="Times New Roman" w:hAnsi="Times New Roman"/>
          <w:i/>
          <w:iCs/>
          <w:color w:val="1F2937"/>
          <w:sz w:val="20"/>
          <w:szCs w:val="20"/>
        </w:rPr>
        <w:t xml:space="preserve">2. Posture : (a) noter précisément et dater les observations dans le dossier de Marco ; (b) les transmettre à l'infirmier de référence ou au médecin traitant sans interprétation diagnostique ; (c) ne pas suggérer à Marco d'arrêter ou de modifier son traitement. La règle de prudence : toute modification d'un traitement psychiatrique relève du médecin, pas de l'équipe éducative.</w:t>
      </w:r>
    </w:p>
    <w:p>
      <w:pPr>
        <w:shd w:fill="F3F4F6" w:color="auto" w:val="clear"/>
        <w:spacing w:after="80" w:before="80"/>
      </w:pPr>
      <w:r>
        <w:rPr>
          <w:rFonts w:ascii="Times New Roman" w:cs="Times New Roman" w:eastAsia="Times New Roman" w:hAnsi="Times New Roman"/>
          <w:i/>
          <w:iCs/>
          <w:color w:val="1F2937"/>
          <w:sz w:val="20"/>
          <w:szCs w:val="20"/>
        </w:rPr>
        <w:t xml:space="preserve">3. En l'état, ces signes ne constituent pas une urgence vitale immédiate. Ils méritent cependant un signalement médical rapide (dans la journée ou le lendemain) car un syndrome extrapyramidal installé peut s'aggraver et certaines formes — notamment l'akathisie intense — ont un impact majeur sur la qualité de vie. Si Marco présentait en plus de la fièvre, de la rigidité musculaire sévère, une confusion ou des sueurs profuses, il faudrait évoquer un syndrome malin des neuroleptiques — urgence médicale absolue à connaître même si on ne peut pas la diagnostiquer.</w:t>
      </w:r>
    </w:p>
    <w:p>
      <w:pPr>
        <w:spacing w:after="80" w:before="80"/>
      </w:pPr>
    </w:p>
    <w:p>
      <w:pPr>
        <w:spacing w:after="80" w:before="200"/>
      </w:pPr>
      <w:r>
        <w:rPr>
          <w:rFonts w:ascii="Times New Roman" w:cs="Times New Roman" w:eastAsia="Times New Roman" w:hAnsi="Times New Roman"/>
          <w:b/>
          <w:bCs/>
          <w:color w:val="1F2937"/>
          <w:sz w:val="26"/>
          <w:szCs w:val="26"/>
        </w:rPr>
        <w:t xml:space="preserve">Exercice 3 — Vignette clinique : surveillance d'un nouveau traitement</w:t>
      </w:r>
    </w:p>
    <w:p>
      <w:pPr>
        <w:shd w:fill="F3F4F6" w:color="auto" w:val="clear"/>
        <w:spacing w:after="80" w:before="80"/>
      </w:pPr>
      <w:r>
        <w:rPr>
          <w:rFonts w:ascii="Times New Roman" w:cs="Times New Roman" w:eastAsia="Times New Roman" w:hAnsi="Times New Roman"/>
          <w:b/>
          <w:bCs/>
          <w:color w:val="1F2937"/>
          <w:sz w:val="22"/>
          <w:szCs w:val="22"/>
        </w:rPr>
        <w:t xml:space="preserve">Situation : </w:t>
      </w:r>
      <w:r>
        <w:rPr>
          <w:rFonts w:ascii="Times New Roman" w:cs="Times New Roman" w:eastAsia="Times New Roman" w:hAnsi="Times New Roman"/>
          <w:i/>
          <w:iCs/>
          <w:color w:val="1F2937"/>
          <w:sz w:val="22"/>
          <w:szCs w:val="22"/>
        </w:rPr>
        <w:t xml:space="preserve">Lucie, 29 ans, vient de réintégrer le foyer après une hospitalisation de 3 semaines pour un épisode maniaque. Elle a été rééquilibrée avec un traitement adapté. Depuis son retour, elle se plaint d'être « toujours assoiffée » et mange beaucoup plus qu'avant. Elle fait remarquer qu'elle tremble parfois en tenant son verre au repas.</w:t>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Quelle classe de psychotrope est la plus probable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Quels signes surveiller particulièrement au quotidien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Lucie parle d'arrêter son traitement « parce que ça ne sert à rien ». Quelle est ta réponse ?</w:t>
      </w:r>
    </w:p>
    <w:p>
      <w:pPr>
        <w:spacing w:after="80" w:before="80"/>
      </w:pPr>
    </w:p>
    <w:p>
      <w:pPr>
        <w:spacing w:after="80" w:before="200"/>
      </w:pPr>
      <w:r>
        <w:rPr>
          <w:rFonts w:ascii="Times New Roman" w:cs="Times New Roman" w:eastAsia="Times New Roman" w:hAnsi="Times New Roman"/>
          <w:b/>
          <w:bCs/>
          <w:color w:val="1F2937"/>
          <w:sz w:val="26"/>
          <w:szCs w:val="26"/>
        </w:rPr>
        <w:t xml:space="preserve">Corrigé — Exercice 3</w:t>
      </w:r>
    </w:p>
    <w:p>
      <w:pPr>
        <w:shd w:fill="F3F4F6" w:color="auto" w:val="clear"/>
        <w:spacing w:after="80" w:before="80"/>
      </w:pPr>
      <w:r>
        <w:rPr>
          <w:rFonts w:ascii="Times New Roman" w:cs="Times New Roman" w:eastAsia="Times New Roman" w:hAnsi="Times New Roman"/>
          <w:i/>
          <w:iCs/>
          <w:color w:val="1F2937"/>
          <w:sz w:val="20"/>
          <w:szCs w:val="20"/>
        </w:rPr>
        <w:t xml:space="preserve">1. Le tableau — épisode maniaque traité, avec polydipsie (soif intense), hyperphagie et tremblements — oriente vers un THYMORÉGULATEUR, et notamment vers le Lithium, dont ces trois signes constituent des effets indésirables décrits (prise de poids, tremblements) et, pour la soif, un signal d'alerte possible de lithémie (concentration sanguine) trop élevée. Attention : l'identification de la molécule précise relève du médecin. Ce qu'on peut faire : consigner et transmettre.</w:t>
      </w:r>
    </w:p>
    <w:p>
      <w:pPr>
        <w:shd w:fill="F3F4F6" w:color="auto" w:val="clear"/>
        <w:spacing w:after="80" w:before="80"/>
      </w:pPr>
      <w:r>
        <w:rPr>
          <w:rFonts w:ascii="Times New Roman" w:cs="Times New Roman" w:eastAsia="Times New Roman" w:hAnsi="Times New Roman"/>
          <w:i/>
          <w:iCs/>
          <w:color w:val="1F2937"/>
          <w:sz w:val="20"/>
          <w:szCs w:val="20"/>
        </w:rPr>
        <w:t xml:space="preserve">2. Signes à surveiller au quotidien pour tout traitement thymorégulateur (ANSM, 18/09/2026) : évolution du poids, intensité des tremblements, signes hépatiques ou rénaux (fatigue anormale, jaunisse, changement de la miction), troubles du sommeil, et tout changement brutal de l'humeur (dont idées suicidaires — la règle de vigilance s'applique en début de traitement ou lors d'un changement de dosage).</w:t>
      </w:r>
    </w:p>
    <w:p>
      <w:pPr>
        <w:shd w:fill="F3F4F6" w:color="auto" w:val="clear"/>
        <w:spacing w:after="80" w:before="80"/>
      </w:pPr>
      <w:r>
        <w:rPr>
          <w:rFonts w:ascii="Times New Roman" w:cs="Times New Roman" w:eastAsia="Times New Roman" w:hAnsi="Times New Roman"/>
          <w:i/>
          <w:iCs/>
          <w:color w:val="1F2937"/>
          <w:sz w:val="20"/>
          <w:szCs w:val="20"/>
        </w:rPr>
        <w:t xml:space="preserve">3. La posture : ne pas minimiser (« ça va aller »), ne pas dramatiser, ne pas prendre position sur l'intérêt ou non du traitement. Reformuler et orienter : « Je comprends que c'est difficile à vivre. C'est exactement ce genre de ressenti que tu peux exprimer à ton médecin ou à l'infirmière lors de la prochaine consultation — ils peuvent adapter le traitement en tenant compte de ce que tu ressens. » Ne jamais acquiescer à l'idée d'un arrêt spontané d'un thymorégulateur, dont l'interruption brutale peut provoquer une rechute rapide.</w:t>
      </w:r>
    </w:p>
    <w:p>
      <w:pPr>
        <w:spacing w:after="80" w:before="80"/>
      </w:pPr>
    </w:p>
    <w:p>
      <w:pPr>
        <w:spacing w:after="120" w:before="300"/>
      </w:pPr>
      <w:r>
        <w:rPr>
          <w:rFonts w:ascii="Times New Roman" w:cs="Times New Roman" w:eastAsia="Times New Roman" w:hAnsi="Times New Roman"/>
          <w:b/>
          <w:bCs/>
          <w:color w:val="1B3A6B"/>
          <w:sz w:val="30"/>
          <w:szCs w:val="30"/>
        </w:rPr>
        <w:t xml:space="preserve">🎯 Challenge — Tableau de synthèse et posture professionnelle</w:t>
      </w:r>
    </w:p>
    <w:p>
      <w:pPr>
        <w:spacing w:after="60" w:before="60"/>
      </w:pPr>
      <w:r>
        <w:rPr>
          <w:rFonts w:ascii="Times New Roman" w:cs="Times New Roman" w:eastAsia="Times New Roman" w:hAnsi="Times New Roman"/>
          <w:color w:val="1F2937"/>
          <w:sz w:val="22"/>
          <w:szCs w:val="22"/>
        </w:rPr>
        <w:t xml:space="preserve">Complète le tableau ci-dessous sans revenir sur la théorie (test de mémorisation active). Pour chaque classe : un effet attendu principal, deux effets indésirables à surveiller, et un professionnel à alerter.</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Classe</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Indication principale</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Effet attendu</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2 effets indésirables à surveiller</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Professionnel à alerter</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Antidépresseur</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r>
      <w:tr>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Antipsychotique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Thymorégulateur</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r>
      <w:tr>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Anxiolytique / Hypnotique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Psychostimulant</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r>
    </w:tbl>
    <w:p>
      <w:pPr>
        <w:spacing w:after="80" w:before="80"/>
      </w:pPr>
    </w:p>
    <w:p>
      <w:pPr>
        <w:spacing w:after="80" w:before="200"/>
      </w:pPr>
      <w:r>
        <w:rPr>
          <w:rFonts w:ascii="Times New Roman" w:cs="Times New Roman" w:eastAsia="Times New Roman" w:hAnsi="Times New Roman"/>
          <w:b/>
          <w:bCs/>
          <w:color w:val="1F2937"/>
          <w:sz w:val="26"/>
          <w:szCs w:val="26"/>
        </w:rPr>
        <w:t xml:space="preserve">Corrigé — Challenge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Classe</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Indication principale</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Effet attendu</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2 effets indésirables à surveiller</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Professionnel à alerter</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Antidépresseur</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Dépression, troubles anxieux</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Amélioration de l'humeur (délai 2 à 4 semaines)</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Syndrome de discontinuation à l'arrêt ; agitation/irritabilité en début de traitement</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Médecin, infirmier</w:t>
            </w:r>
          </w:p>
        </w:tc>
      </w:tr>
      <w:tr>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Antipsychotique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Schizophrénie, trouble bipolaire avec psychose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Réduction hallucinations, délires ; apaisement</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Syndrome extrapyramidal (tremblements, rigidité) ; prise de poids / syndrome métabolique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Médecin, infirmier (signalement rapide si signes moteurs)</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Thymorégulateur</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Trouble bipolaire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Stabilisation de l'humeur, réduction des épisodes</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Tremblements ; prise de poids, soif intense (lithium) ; réactions cutanées graves</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Médecin (urgence si fièvre + rigidité + confusion)</w:t>
            </w:r>
          </w:p>
        </w:tc>
      </w:tr>
      <w:tr>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Anxiolytique / Hypnotique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Anxiété, insomnie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Sédation, réduction de l'anxiété</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Dépendance physique ; risque de chutes (sédation)</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Infirmier, médecin si chute ou sevrage</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Psychostimulant</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TDA/H</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Amélioration de l'attention, réduction de l'impulsivité</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Palpitations ; perte d'appétit / troubles du sommeil</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Médecin, infirmier (surveillance TA et FC)</w:t>
            </w:r>
          </w:p>
        </w:tc>
      </w:tr>
    </w:tbl>
    <w:p>
      <w:pPr>
        <w:spacing w:after="80" w:before="80"/>
      </w:pPr>
    </w:p>
    <w:p>
      <w:pPr>
        <w:spacing w:after="120" w:before="300"/>
      </w:pPr>
      <w:r>
        <w:rPr>
          <w:rFonts w:ascii="Times New Roman" w:cs="Times New Roman" w:eastAsia="Times New Roman" w:hAnsi="Times New Roman"/>
          <w:b/>
          <w:bCs/>
          <w:color w:val="1B3A6B"/>
          <w:sz w:val="30"/>
          <w:szCs w:val="30"/>
        </w:rPr>
        <w:t xml:space="preserve">🌉 Pont pro</w:t>
      </w:r>
    </w:p>
    <w:p>
      <w:pPr>
        <w:spacing w:after="60" w:before="60"/>
      </w:pPr>
      <w:r>
        <w:rPr>
          <w:rFonts w:ascii="Times New Roman" w:cs="Times New Roman" w:eastAsia="Times New Roman" w:hAnsi="Times New Roman"/>
          <w:color w:val="1F2937"/>
          <w:sz w:val="22"/>
          <w:szCs w:val="22"/>
        </w:rPr>
        <w:t xml:space="preserve">La HAS, dans son Flash Sécurité Patient « Patient sous neuroleptique. La vigilance est la bonne pratique » (validé octobre 2022, en ligne novembre 2022), rappelle que 1/3 des événements graves médicamenteux liés aux neuroleptiques sont associés à une absence d'évaluation régulière du traitement. Ce document identifie quatre leviers : informer, détecter, surveiller, sensibiliser.</w:t>
      </w:r>
    </w:p>
    <w:p>
      <w:pPr>
        <w:spacing w:after="60" w:before="60"/>
      </w:pPr>
      <w:r>
        <w:rPr>
          <w:rFonts w:ascii="Times New Roman" w:cs="Times New Roman" w:eastAsia="Times New Roman" w:hAnsi="Times New Roman"/>
          <w:color w:val="1F2937"/>
          <w:sz w:val="22"/>
          <w:szCs w:val="22"/>
        </w:rPr>
        <w:t xml:space="preserve">En ESSMS, l'équipe éducative est souvent la première à observer un changement comportemental ou physique chez la personne accompagnée — bien avant la consultation médicale suivante. Cette position d'observation privilégiée n'est pas un rôle médical : c'est un rôle d'alerte. Former l'équipe à reconnaître les signes indésirables principaux (tremblements, rigidité, chutes, prise de poids rapide, changements d'humeur) et à les consigner constitue un levier concret pour la qualité et la sécurité de l'accompagnement.</w:t>
      </w:r>
    </w:p>
    <w:p>
      <w:pPr>
        <w:shd w:fill="F3F4F6" w:color="auto" w:val="clear"/>
        <w:spacing w:after="80" w:before="80"/>
      </w:pPr>
      <w:r>
        <w:rPr>
          <w:rFonts w:ascii="Times New Roman" w:cs="Times New Roman" w:eastAsia="Times New Roman" w:hAnsi="Times New Roman"/>
          <w:i/>
          <w:iCs/>
          <w:color w:val="1F2937"/>
          <w:sz w:val="20"/>
          <w:szCs w:val="20"/>
        </w:rPr>
        <w:t xml:space="preserve">Note : le pont pro ne constitue pas un avis médical et ne doit pas être présenté comme tel. La formation de l'équipe sur les signes d'alerte est un objectif éducatif, non un acte de soins.</w:t>
      </w:r>
    </w:p>
    <w:p>
      <w:pPr>
        <w:spacing w:after="80" w:before="80"/>
      </w:pPr>
    </w:p>
    <w:p>
      <w:pPr>
        <w:spacing w:after="120" w:before="30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color w:val="1F2937"/>
          <w:sz w:val="22"/>
          <w:szCs w:val="22"/>
        </w:rPr>
        <w:t xml:space="preserve">Sources institutionnelles (rang 1) — récupérées et testées pendant cette exécution :</w:t>
      </w:r>
    </w:p>
    <w:p>
      <w:pPr>
        <w:spacing w:after="40" w:before="40"/>
      </w:pPr>
      <w:r>
        <w:rPr>
          <w:rFonts w:ascii="Times New Roman" w:cs="Times New Roman" w:eastAsia="Times New Roman" w:hAnsi="Times New Roman"/>
          <w:color w:val="1F2937"/>
          <w:sz w:val="22"/>
          <w:szCs w:val="22"/>
        </w:rPr>
        <w:t xml:space="preserve">→ </w:t>
      </w:r>
      <w:hyperlink w:history="1" r:id="rIdpeodqjprg5_3rv-7ctgcw">
        <w:r>
          <w:rPr>
            <w:rFonts w:ascii="Times New Roman" w:cs="Times New Roman" w:eastAsia="Times New Roman" w:hAnsi="Times New Roman"/>
            <w:color w:val="1155CC"/>
            <w:sz w:val="22"/>
            <w:szCs w:val="22"/>
            <w:u w:val="single"/>
          </w:rPr>
          <w:t xml:space="preserve">ANSM — Dossier thématique Antidépresseurs (mis à jour 18/09/2026)</w:t>
        </w:r>
      </w:hyperlink>
    </w:p>
    <w:p>
      <w:pPr>
        <w:spacing w:after="40" w:before="40"/>
      </w:pPr>
      <w:r>
        <w:rPr>
          <w:rFonts w:ascii="Times New Roman" w:cs="Times New Roman" w:eastAsia="Times New Roman" w:hAnsi="Times New Roman"/>
          <w:color w:val="1F2937"/>
          <w:sz w:val="22"/>
          <w:szCs w:val="22"/>
        </w:rPr>
        <w:t xml:space="preserve">→ </w:t>
      </w:r>
      <w:hyperlink w:history="1" r:id="rIdv-jszhypnvoftgirnlip_">
        <w:r>
          <w:rPr>
            <w:rFonts w:ascii="Times New Roman" w:cs="Times New Roman" w:eastAsia="Times New Roman" w:hAnsi="Times New Roman"/>
            <w:color w:val="1155CC"/>
            <w:sz w:val="22"/>
            <w:szCs w:val="22"/>
            <w:u w:val="single"/>
          </w:rPr>
          <w:t xml:space="preserve">ANSM — Dossier thématique Antipsychotiques (mis à jour 18/09/2026)</w:t>
        </w:r>
      </w:hyperlink>
    </w:p>
    <w:p>
      <w:pPr>
        <w:spacing w:after="40" w:before="40"/>
      </w:pPr>
      <w:r>
        <w:rPr>
          <w:rFonts w:ascii="Times New Roman" w:cs="Times New Roman" w:eastAsia="Times New Roman" w:hAnsi="Times New Roman"/>
          <w:color w:val="1F2937"/>
          <w:sz w:val="22"/>
          <w:szCs w:val="22"/>
        </w:rPr>
        <w:t xml:space="preserve">→ </w:t>
      </w:r>
      <w:hyperlink w:history="1" r:id="rId7eg0u_ddptjknngk6yyuj">
        <w:r>
          <w:rPr>
            <w:rFonts w:ascii="Times New Roman" w:cs="Times New Roman" w:eastAsia="Times New Roman" w:hAnsi="Times New Roman"/>
            <w:color w:val="1155CC"/>
            <w:sz w:val="22"/>
            <w:szCs w:val="22"/>
            <w:u w:val="single"/>
          </w:rPr>
          <w:t xml:space="preserve">ANSM — Dossier thématique Thymorégulateurs (mis à jour 18/09/2026)</w:t>
        </w:r>
      </w:hyperlink>
    </w:p>
    <w:p>
      <w:pPr>
        <w:spacing w:after="40" w:before="40"/>
      </w:pPr>
      <w:r>
        <w:rPr>
          <w:rFonts w:ascii="Times New Roman" w:cs="Times New Roman" w:eastAsia="Times New Roman" w:hAnsi="Times New Roman"/>
          <w:color w:val="1F2937"/>
          <w:sz w:val="22"/>
          <w:szCs w:val="22"/>
        </w:rPr>
        <w:t xml:space="preserve">→ </w:t>
      </w:r>
      <w:hyperlink w:history="1" r:id="rIdgyybpozjg0fuxvdd4owsq">
        <w:r>
          <w:rPr>
            <w:rFonts w:ascii="Times New Roman" w:cs="Times New Roman" w:eastAsia="Times New Roman" w:hAnsi="Times New Roman"/>
            <w:color w:val="1155CC"/>
            <w:sz w:val="22"/>
            <w:szCs w:val="22"/>
            <w:u w:val="single"/>
          </w:rPr>
          <w:t xml:space="preserve">ANSM — Dossier thématique Psychostimulants (mis à jour 12/08/2026)</w:t>
        </w:r>
      </w:hyperlink>
    </w:p>
    <w:p>
      <w:pPr>
        <w:spacing w:after="40" w:before="40"/>
      </w:pPr>
      <w:r>
        <w:rPr>
          <w:rFonts w:ascii="Times New Roman" w:cs="Times New Roman" w:eastAsia="Times New Roman" w:hAnsi="Times New Roman"/>
          <w:color w:val="1F2937"/>
          <w:sz w:val="22"/>
          <w:szCs w:val="22"/>
        </w:rPr>
        <w:t xml:space="preserve">→ </w:t>
      </w:r>
      <w:hyperlink w:history="1" r:id="rIdsb95eirzhrnle09p_sidj">
        <w:r>
          <w:rPr>
            <w:rFonts w:ascii="Times New Roman" w:cs="Times New Roman" w:eastAsia="Times New Roman" w:hAnsi="Times New Roman"/>
            <w:color w:val="1155CC"/>
            <w:sz w:val="22"/>
            <w:szCs w:val="22"/>
            <w:u w:val="single"/>
          </w:rPr>
          <w:t xml:space="preserve">ANSM — Portail Santé mentale (médicaments psychiatriques)</w:t>
        </w:r>
      </w:hyperlink>
    </w:p>
    <w:p>
      <w:pPr>
        <w:spacing w:after="40" w:before="40"/>
      </w:pPr>
      <w:r>
        <w:rPr>
          <w:rFonts w:ascii="Times New Roman" w:cs="Times New Roman" w:eastAsia="Times New Roman" w:hAnsi="Times New Roman"/>
          <w:color w:val="1F2937"/>
          <w:sz w:val="22"/>
          <w:szCs w:val="22"/>
        </w:rPr>
        <w:t xml:space="preserve">→ </w:t>
      </w:r>
      <w:hyperlink w:history="1" r:id="rIdbujjhvxaqsrjf7ygmk317">
        <w:r>
          <w:rPr>
            <w:rFonts w:ascii="Times New Roman" w:cs="Times New Roman" w:eastAsia="Times New Roman" w:hAnsi="Times New Roman"/>
            <w:color w:val="1155CC"/>
            <w:sz w:val="22"/>
            <w:szCs w:val="22"/>
            <w:u w:val="single"/>
          </w:rPr>
          <w:t xml:space="preserve">HAS — Flash Sécurité Patient « Patient sous neuroleptique. La vigilance est la bonne pratique » (validé octobre 2022, en ligne novembre 2022)</w:t>
        </w:r>
      </w:hyperlink>
    </w:p>
    <w:p>
      <w:pPr>
        <w:spacing w:after="80" w:before="80"/>
      </w:pPr>
    </w:p>
    <w:p>
      <w:pPr>
        <w:spacing w:after="60" w:before="60"/>
      </w:pPr>
      <w:r>
        <w:rPr>
          <w:rFonts w:ascii="Times New Roman" w:cs="Times New Roman" w:eastAsia="Times New Roman" w:hAnsi="Times New Roman"/>
          <w:color w:val="1F2937"/>
          <w:sz w:val="22"/>
          <w:szCs w:val="22"/>
        </w:rPr>
        <w:t xml:space="preserve">Pour s'orienter (rang 4 — source tertiaire, ne pas reprendre dans un écrit professionnel) :</w:t>
      </w:r>
    </w:p>
    <w:p>
      <w:pPr>
        <w:spacing w:after="40" w:before="40"/>
      </w:pPr>
      <w:r>
        <w:rPr>
          <w:rFonts w:ascii="Times New Roman" w:cs="Times New Roman" w:eastAsia="Times New Roman" w:hAnsi="Times New Roman"/>
          <w:color w:val="1F2937"/>
          <w:sz w:val="22"/>
          <w:szCs w:val="22"/>
        </w:rPr>
        <w:t xml:space="preserve">→ </w:t>
      </w:r>
      <w:hyperlink w:history="1" r:id="rIdgsc9-flbbt1sf-jnpx5sy">
        <w:r>
          <w:rPr>
            <w:rFonts w:ascii="Times New Roman" w:cs="Times New Roman" w:eastAsia="Times New Roman" w:hAnsi="Times New Roman"/>
            <w:color w:val="1155CC"/>
            <w:sz w:val="22"/>
            <w:szCs w:val="22"/>
            <w:u w:val="single"/>
          </w:rPr>
          <w:t xml:space="preserve">Wikipédia — Psychotrope (classification Delay-Deniker, contexte historique)</w:t>
        </w:r>
      </w:hyperlink>
    </w:p>
    <w:p>
      <w:pPr>
        <w:spacing w:after="80" w:before="80"/>
      </w:pPr>
    </w:p>
    <w:p>
      <w:pPr>
        <w:spacing w:after="120" w:before="300"/>
      </w:pPr>
      <w:r>
        <w:rPr>
          <w:rFonts w:ascii="Times New Roman" w:cs="Times New Roman" w:eastAsia="Times New Roman" w:hAnsi="Times New Roman"/>
          <w:b/>
          <w:bCs/>
          <w:color w:val="1B3A6B"/>
          <w:sz w:val="30"/>
          <w:szCs w:val="30"/>
        </w:rPr>
        <w:t xml:space="preserve">🔜 Prochaine leçon</w:t>
      </w:r>
    </w:p>
    <w:p>
      <w:pPr>
        <w:shd w:fill="F3F4F6" w:color="auto" w:val="clear"/>
        <w:spacing w:after="80" w:before="80"/>
      </w:pPr>
      <w:r>
        <w:rPr>
          <w:rFonts w:ascii="Times New Roman" w:cs="Times New Roman" w:eastAsia="Times New Roman" w:hAnsi="Times New Roman"/>
          <w:b/>
          <w:bCs/>
          <w:color w:val="1B3A6B"/>
          <w:sz w:val="24"/>
          <w:szCs w:val="24"/>
        </w:rPr>
        <w:t xml:space="preserve">Leçon 18 / 20 — Réhabilitation psychosociale et paradigme du rétablissement</w:t>
      </w:r>
    </w:p>
    <w:p>
      <w:pPr>
        <w:spacing w:after="60" w:before="60"/>
      </w:pPr>
      <w:r>
        <w:rPr>
          <w:rFonts w:ascii="Times New Roman" w:cs="Times New Roman" w:eastAsia="Times New Roman" w:hAnsi="Times New Roman"/>
          <w:color w:val="1F2937"/>
          <w:sz w:val="22"/>
          <w:szCs w:val="22"/>
        </w:rPr>
        <w:t xml:space="preserve">Après avoir exploré les médicaments, la prochaine leçon abordera les approches non médicamenteuses : la réhabilitation psychosociale, le rétablissement (recovery), le rôle des pairs aidants et les interventions qui visent à restaurer les capacités fonctionnelles et la participation sociale des personnes accompagnées.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pcpuao8ca9cmgzvw6x9v" Type="http://schemas.openxmlformats.org/officeDocument/2006/relationships/hyperlink" Target="https://www.has-sante.fr/jcms/p_3381939/fr/flash-securite-patient-patient-sous-neuroleptique-la-vigilance-est-la-bonne-pratique" TargetMode="External"/><Relationship Id="rIdpeodqjprg5_3rv-7ctgcw" Type="http://schemas.openxmlformats.org/officeDocument/2006/relationships/hyperlink" Target="https://ansm.sante.fr/dossiers-thematiques/sante-mentale/antidepresseurs" TargetMode="External"/><Relationship Id="rIdv-jszhypnvoftgirnlip_" Type="http://schemas.openxmlformats.org/officeDocument/2006/relationships/hyperlink" Target="https://ansm.sante.fr/dossiers-thematiques/sante-mentale/antipsychotiques" TargetMode="External"/><Relationship Id="rId7eg0u_ddptjknngk6yyuj" Type="http://schemas.openxmlformats.org/officeDocument/2006/relationships/hyperlink" Target="https://ansm.sante.fr/dossiers-thematiques/sante-mentale/thymoregulateurs" TargetMode="External"/><Relationship Id="rIdgyybpozjg0fuxvdd4owsq" Type="http://schemas.openxmlformats.org/officeDocument/2006/relationships/hyperlink" Target="https://ansm.sante.fr/dossiers-thematiques/sante-mentale/psychostimulants" TargetMode="External"/><Relationship Id="rIdsb95eirzhrnle09p_sidj" Type="http://schemas.openxmlformats.org/officeDocument/2006/relationships/hyperlink" Target="https://ansm.sante.fr/dossiers-thematiques/sante-mentale" TargetMode="External"/><Relationship Id="rIdbujjhvxaqsrjf7ygmk317" Type="http://schemas.openxmlformats.org/officeDocument/2006/relationships/hyperlink" Target="https://www.has-sante.fr/jcms/p_3381939/fr/flash-securite-patient-patient-sous-neuroleptique-la-vigilance-est-la-bonne-pratique" TargetMode="External"/><Relationship Id="rIdgsc9-flbbt1sf-jnpx5sy" Type="http://schemas.openxmlformats.org/officeDocument/2006/relationships/hyperlink" Target="https://fr.wikipedia.org/wiki/Psychotrop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17 — Les psychotropes</dc:title>
  <dc:creator>Parcours Psychopathologie clinique</dc:creator>
  <dc:description>Psychotropes : classes, effets attendus, effets indésirables, surveillance</dc:description>
  <cp:lastModifiedBy>Un-named</cp:lastModifiedBy>
  <cp:revision>1</cp:revision>
  <dcterms:created xsi:type="dcterms:W3CDTF">2026-09-21T06:10:33.128Z</dcterms:created>
  <dcterms:modified xsi:type="dcterms:W3CDTF">2026-09-21T06:10:33.208Z</dcterms:modified>
</cp:coreProperties>
</file>

<file path=docProps/custom.xml><?xml version="1.0" encoding="utf-8"?>
<Properties xmlns="http://schemas.openxmlformats.org/officeDocument/2006/custom-properties" xmlns:vt="http://schemas.openxmlformats.org/officeDocument/2006/docPropsVTypes"/>
</file>