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jc w:val="center"/>
      </w:pPr>
      <w:r>
        <w:rPr>
          <w:rFonts w:ascii="Times New Roman" w:cs="Times New Roman" w:eastAsia="Times New Roman" w:hAnsi="Times New Roman"/>
          <w:b/>
          <w:bCs/>
          <w:color w:val="1B3A6B"/>
          <w:sz w:val="52"/>
          <w:szCs w:val="52"/>
        </w:rPr>
        <w:t xml:space="preserve">Leçon Hypnose &amp; auto-hypnose n°03</w:t>
      </w:r>
    </w:p>
    <w:p>
      <w:pPr>
        <w:spacing w:after="80" w:before="0"/>
        <w:jc w:val="center"/>
      </w:pPr>
      <w:r>
        <w:rPr>
          <w:rFonts w:ascii="Times New Roman" w:cs="Times New Roman" w:eastAsia="Times New Roman" w:hAnsi="Times New Roman"/>
          <w:b/>
          <w:bCs/>
          <w:color w:val="1B3A6B"/>
          <w:sz w:val="36"/>
          <w:szCs w:val="36"/>
        </w:rPr>
        <w:t xml:space="preserve">Les grands courants de l'hypnose</w:t>
      </w:r>
    </w:p>
    <w:p>
      <w:pPr>
        <w:spacing w:after="200" w:before="0"/>
        <w:jc w:val="center"/>
      </w:pPr>
      <w:r>
        <w:rPr>
          <w:rFonts w:ascii="Times New Roman" w:cs="Times New Roman" w:eastAsia="Times New Roman" w:hAnsi="Times New Roman"/>
          <w:i/>
          <w:iCs/>
          <w:color w:val="6B7280"/>
          <w:sz w:val="20"/>
          <w:szCs w:val="20"/>
        </w:rPr>
        <w:t xml:space="preserve">28 juin 2026  |  Module Fondamental — leçon 3/16</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80" w:before="60"/>
      </w:pPr>
      <w:r>
        <w:rPr>
          <w:rFonts w:ascii="Times New Roman" w:cs="Times New Roman" w:eastAsia="Times New Roman" w:hAnsi="Times New Roman"/>
          <w:b w:val="false"/>
          <w:bCs w:val="false"/>
          <w:i w:val="false"/>
          <w:iCs w:val="false"/>
          <w:color w:val="1F2937"/>
          <w:sz w:val="22"/>
          <w:szCs w:val="22"/>
        </w:rPr>
        <w:t xml:space="preserve">À la fin de cette leçon, tu seras capable de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Distinguer les quatre grands courants de l'hypnose (classique, ericksonienne, nouvelle hypnose, humaniste) sur leurs principes, leur langage et leur positionnement praticien-client.</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Identifier quel courant correspond à quel style d'induction et quel type de travail.</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Situer l'auto-hypnose dans cet écosystème et choisir consciemment une approche pour ta pratique personnelle.</w:t>
      </w:r>
    </w:p>
    <w:p>
      <w:pPr>
        <w:spacing w:after="80" w:before="60"/>
      </w:pPr>
      <w:r>
        <w:rPr>
          <w:rFonts w:ascii="Times New Roman" w:cs="Times New Roman" w:eastAsia="Times New Roman" w:hAnsi="Times New Roman"/>
          <w:b w:val="false"/>
          <w:bCs w:val="false"/>
          <w:i w:val="false"/>
          <w:iCs w:val="false"/>
          <w:color w:val="1F2937"/>
          <w:sz w:val="22"/>
          <w:szCs w:val="22"/>
        </w:rPr>
        <w:t xml:space="preserve"/>
      </w:r>
    </w:p>
    <w:p>
      <w:pPr>
        <w:spacing w:after="80" w:before="60"/>
      </w:pPr>
      <w:r>
        <w:rPr>
          <w:rFonts w:ascii="Times New Roman" w:cs="Times New Roman" w:eastAsia="Times New Roman" w:hAnsi="Times New Roman"/>
          <w:b/>
          <w:bCs/>
          <w:i w:val="false"/>
          <w:iCs w:val="false"/>
          <w:color w:val="1F2937"/>
          <w:sz w:val="22"/>
          <w:szCs w:val="22"/>
        </w:rPr>
        <w:t xml:space="preserve">Lien avec les leçons précédentes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Leçon 01 (intro-etat-hypnotique) : tu sais maintenant ce qu'est un état de transe et comment les neurosciences le caractérisent.</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Leçon 02 (histoire-mesmer-erickson) : tu connais les grandes figures qui ont façonné l'hypnose — ce contexte historique est indispensable pour comprendre POURQUOI ces courants ont émergé.</w:t>
      </w:r>
    </w:p>
    <w:p>
      <w:pPr>
        <w:spacing w:after="80" w:before="60"/>
      </w:pPr>
      <w:r>
        <w:rPr>
          <w:rFonts w:ascii="Times New Roman" w:cs="Times New Roman" w:eastAsia="Times New Roman" w:hAnsi="Times New Roman"/>
          <w:b w:val="false"/>
          <w:bCs w:val="false"/>
          <w:i w:val="false"/>
          <w:iCs w:val="false"/>
          <w:color w:val="1F2937"/>
          <w:sz w:val="22"/>
          <w:szCs w:val="22"/>
        </w:rPr>
        <w:t xml:space="preserve">Aujourd'hui, on passe de l'histoire aux écoles : chaque courant est une réponse à un contexte, une vision du rapport praticien-client, et une façon d'utiliser le langage.</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Cadre &amp; sécurité</w:t>
      </w:r>
    </w:p>
    <w:p>
      <w:pPr>
        <w:shd w:fill="F3F4F6" w:color="F3F4F6" w:val="solid"/>
        <w:spacing w:after="40" w:before="40"/>
        <w:ind w:left="431" w:right="431"/>
      </w:pPr>
      <w:r>
        <w:rPr>
          <w:rFonts w:ascii="Times New Roman" w:cs="Times New Roman" w:eastAsia="Times New Roman" w:hAnsi="Times New Roman"/>
          <w:color w:val="1F2937"/>
          <w:sz w:val="20"/>
          <w:szCs w:val="20"/>
        </w:rPr>
        <w:t xml:space="preserve">Cette leçon vise ta compréhension intellectuelle des courants et ta pratique d'AUTO-HYPNOSE pour le développement personnel (détente, gestion du stress, concentration).</w:t>
      </w:r>
    </w:p>
    <w:p>
      <w:pPr>
        <w:shd w:fill="F3F4F6" w:color="F3F4F6" w:val="solid"/>
        <w:spacing w:after="40" w:before="40"/>
        <w:ind w:left="431" w:right="431"/>
      </w:pPr>
      <w:r>
        <w:rPr>
          <w:rFonts w:ascii="Times New Roman" w:cs="Times New Roman" w:eastAsia="Times New Roman" w:hAnsi="Times New Roman"/>
          <w:color w:val="1F2937"/>
          <w:sz w:val="20"/>
          <w:szCs w:val="20"/>
        </w:rPr>
        <w:t xml:space="preserve">Elle NE te forme PAS à pratiquer l'hypnose sur autrui. Toute pratique sur des tiers — a fortiori en contexte professionnel médico-social — exige une formation qualifiante et un cadre éthique rigoureux.</w:t>
      </w:r>
    </w:p>
    <w:p>
      <w:pPr>
        <w:shd w:fill="F3F4F6" w:color="F3F4F6" w:val="solid"/>
        <w:spacing w:after="40" w:before="40"/>
        <w:ind w:left="431" w:right="431"/>
      </w:pPr>
      <w:r>
        <w:rPr>
          <w:rFonts w:ascii="Times New Roman" w:cs="Times New Roman" w:eastAsia="Times New Roman" w:hAnsi="Times New Roman"/>
          <w:color w:val="1F2937"/>
          <w:sz w:val="20"/>
          <w:szCs w:val="20"/>
        </w:rPr>
        <w:t xml:space="preserve">Contre-indications générales à garder en tête : troubles psychotiques actifs, troubles dissociatifs, antécédents de psychotraumatisme sévère non traité. En cas de doute sur toi-même, consulte un professionnel de santé.</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Théorie (20%) — Les quatre courants en détail</w:t>
      </w:r>
    </w:p>
    <w:p>
      <w:pPr>
        <w:spacing w:after="80" w:before="60"/>
      </w:pPr>
      <w:r>
        <w:rPr>
          <w:rFonts w:ascii="Times New Roman" w:cs="Times New Roman" w:eastAsia="Times New Roman" w:hAnsi="Times New Roman"/>
          <w:b w:val="false"/>
          <w:bCs w:val="false"/>
          <w:i w:val="false"/>
          <w:iCs w:val="false"/>
          <w:color w:val="1F2937"/>
          <w:sz w:val="22"/>
          <w:szCs w:val="22"/>
        </w:rPr>
        <w:t xml:space="preserve">Comprendre les grands courants, c'est comprendre que l'hypnose n'est pas une technique unique mais un champ de pratiques qui se sont diversifiées selon les cultures, les influences théoriques et les besoins cliniques.</w:t>
      </w:r>
    </w:p>
    <w:p>
      <w:pPr>
        <w:pStyle w:val="Heading3"/>
        <w:spacing w:after="80" w:before="200"/>
      </w:pPr>
      <w:r>
        <w:rPr>
          <w:rFonts w:ascii="Times New Roman" w:cs="Times New Roman" w:eastAsia="Times New Roman" w:hAnsi="Times New Roman"/>
          <w:b/>
          <w:bCs/>
          <w:color w:val="1F2937"/>
          <w:sz w:val="26"/>
          <w:szCs w:val="26"/>
        </w:rPr>
        <w:t xml:space="preserve">1. L'hypnose classique (ou directive)</w:t>
      </w:r>
    </w:p>
    <w:p>
      <w:pPr>
        <w:spacing w:after="80" w:before="60"/>
      </w:pPr>
      <w:r>
        <w:rPr>
          <w:rFonts w:ascii="Times New Roman" w:cs="Times New Roman" w:eastAsia="Times New Roman" w:hAnsi="Times New Roman"/>
          <w:b/>
          <w:bCs/>
          <w:i w:val="false"/>
          <w:iCs w:val="false"/>
          <w:color w:val="1F2937"/>
          <w:sz w:val="22"/>
          <w:szCs w:val="22"/>
        </w:rPr>
        <w:t xml:space="preserve">Époque et fondateur :</w:t>
      </w:r>
    </w:p>
    <w:p>
      <w:pPr>
        <w:spacing w:after="80" w:before="60"/>
      </w:pPr>
      <w:r>
        <w:rPr>
          <w:rFonts w:ascii="Times New Roman" w:cs="Times New Roman" w:eastAsia="Times New Roman" w:hAnsi="Times New Roman"/>
          <w:b w:val="false"/>
          <w:bCs w:val="false"/>
          <w:i w:val="false"/>
          <w:iCs w:val="false"/>
          <w:color w:val="1F2937"/>
          <w:sz w:val="22"/>
          <w:szCs w:val="22"/>
        </w:rPr>
        <w:t xml:space="preserve">Née officiellement en 1841, quand James Braid (chirurgien écossais) introduit le terme « neurhypnotisme » (du grec Hypnos, sommeil). Il établit que la transe est un phénomène neurologique, pas magnétique.</w:t>
      </w:r>
    </w:p>
    <w:p>
      <w:pPr>
        <w:spacing w:after="80" w:before="60"/>
      </w:pPr>
      <w:r>
        <w:rPr>
          <w:rFonts w:ascii="Times New Roman" w:cs="Times New Roman" w:eastAsia="Times New Roman" w:hAnsi="Times New Roman"/>
          <w:b/>
          <w:bCs/>
          <w:i w:val="false"/>
          <w:iCs w:val="false"/>
          <w:color w:val="1F2937"/>
          <w:sz w:val="22"/>
          <w:szCs w:val="22"/>
        </w:rPr>
        <w:t xml:space="preserve">Principes clés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Suggestion directe et impérative : le praticien dit « vous allez vous détendre », « votre bras devient lourd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Relation asymétrique : le praticien est en position d'autorité, le sujet en position de réceptivité passive.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Protocoles standardisés : les mêmes inductions et suggestions peuvent être utilisées avec différents sujets.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Objectif : obtenir un effet précis (insensibilité à la douleur, arrêt du tabac) via des commandes directes.</w:t>
      </w:r>
    </w:p>
    <w:p>
      <w:pPr>
        <w:spacing w:after="80" w:before="60"/>
      </w:pPr>
      <w:r>
        <w:rPr>
          <w:rFonts w:ascii="Times New Roman" w:cs="Times New Roman" w:eastAsia="Times New Roman" w:hAnsi="Times New Roman"/>
          <w:b/>
          <w:bCs/>
          <w:i w:val="false"/>
          <w:iCs w:val="false"/>
          <w:color w:val="1F2937"/>
          <w:sz w:val="22"/>
          <w:szCs w:val="22"/>
        </w:rPr>
        <w:t xml:space="preserve">Points forts / limites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Efficace pour les sujets très suggestibles et confiants envers le praticien.</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Moins adaptée aux sujets résistants ou analytiques.</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Risque d'effet placebo si le sujet n'adhère pas à la suggestion.</w:t>
      </w:r>
    </w:p>
    <w:p>
      <w:pPr>
        <w:spacing w:after="80" w:before="80"/>
        <w:ind w:left="720" w:right="720"/>
      </w:pPr>
      <w:r>
        <w:rPr>
          <w:rFonts w:ascii="Times New Roman" w:cs="Times New Roman" w:eastAsia="Times New Roman" w:hAnsi="Times New Roman"/>
          <w:i/>
          <w:iCs/>
          <w:color w:val="1B3A6B"/>
          <w:sz w:val="22"/>
          <w:szCs w:val="22"/>
        </w:rPr>
        <w:t xml:space="preserve">« La suggestion directe agit comme une commande : elle est efficace si le sujet est prêt à la recevoir et à l'appliquer sans résistance. »</w:t>
      </w:r>
    </w:p>
    <w:p>
      <w:pPr>
        <w:pStyle w:val="Heading3"/>
        <w:spacing w:after="80" w:before="200"/>
      </w:pPr>
      <w:r>
        <w:rPr>
          <w:rFonts w:ascii="Times New Roman" w:cs="Times New Roman" w:eastAsia="Times New Roman" w:hAnsi="Times New Roman"/>
          <w:b/>
          <w:bCs/>
          <w:color w:val="1F2937"/>
          <w:sz w:val="26"/>
          <w:szCs w:val="26"/>
        </w:rPr>
        <w:t xml:space="preserve">2. L'hypnose ericksonienne</w:t>
      </w:r>
    </w:p>
    <w:p>
      <w:pPr>
        <w:spacing w:after="80" w:before="60"/>
      </w:pPr>
      <w:r>
        <w:rPr>
          <w:rFonts w:ascii="Times New Roman" w:cs="Times New Roman" w:eastAsia="Times New Roman" w:hAnsi="Times New Roman"/>
          <w:b/>
          <w:bCs/>
          <w:i w:val="false"/>
          <w:iCs w:val="false"/>
          <w:color w:val="1F2937"/>
          <w:sz w:val="22"/>
          <w:szCs w:val="22"/>
        </w:rPr>
        <w:t xml:space="preserve">Époque et fondateur :</w:t>
      </w:r>
    </w:p>
    <w:p>
      <w:pPr>
        <w:spacing w:after="80" w:before="60"/>
      </w:pPr>
      <w:r>
        <w:rPr>
          <w:rFonts w:ascii="Times New Roman" w:cs="Times New Roman" w:eastAsia="Times New Roman" w:hAnsi="Times New Roman"/>
          <w:b w:val="false"/>
          <w:bCs w:val="false"/>
          <w:i w:val="false"/>
          <w:iCs w:val="false"/>
          <w:color w:val="1F2937"/>
          <w:sz w:val="22"/>
          <w:szCs w:val="22"/>
        </w:rPr>
        <w:t xml:space="preserve">Milton H. Erickson (1901-1980), psychiatre et psychologue américain, développe son approche dans les années 1950-1970. Lui-même ayant surmonté deux poliomyélites, il a développé ses techniques en partie par auto-observation. La Fondation Milton H. Erickson, créée après sa mort, diffuse son enseignement à l'échelle mondiale.</w:t>
      </w:r>
    </w:p>
    <w:p>
      <w:pPr>
        <w:spacing w:after="80" w:before="60"/>
      </w:pPr>
      <w:r>
        <w:rPr>
          <w:rFonts w:ascii="Times New Roman" w:cs="Times New Roman" w:eastAsia="Times New Roman" w:hAnsi="Times New Roman"/>
          <w:b/>
          <w:bCs/>
          <w:i w:val="false"/>
          <w:iCs w:val="false"/>
          <w:color w:val="1F2937"/>
          <w:sz w:val="22"/>
          <w:szCs w:val="22"/>
        </w:rPr>
        <w:t xml:space="preserve">Principes clés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Suggestion indirecte et permissive : « peut-être que tu remarqueras... », « il est possible que... », « et je me demande si...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Respect de l'individualité : chaque patient est unique. Erickson disait lui-même que la carte du monde de chaque personne est aussi unique que son empreinte digitale.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Utilisation (Utilization) : tout comportement du sujet — même une résistance — est utilisé comme levier thérapeutique.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Métaphores et histoires : le thérapeute raconte des histoires dont le sens symbolique atteint l'inconscient sans déclencher les mécanismes de défense conscients.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Transe naturaliste : la transe n'est pas un état artificiel — c'est un état que nous vivons naturellement (conduite automatique, lecture absorée, rêverie).</w:t>
      </w:r>
    </w:p>
    <w:p>
      <w:pPr>
        <w:spacing w:after="80" w:before="80"/>
        <w:ind w:left="720" w:right="720"/>
      </w:pPr>
      <w:r>
        <w:rPr>
          <w:rFonts w:ascii="Times New Roman" w:cs="Times New Roman" w:eastAsia="Times New Roman" w:hAnsi="Times New Roman"/>
          <w:i/>
          <w:iCs/>
          <w:color w:val="1B3A6B"/>
          <w:sz w:val="22"/>
          <w:szCs w:val="22"/>
        </w:rPr>
        <w:t xml:space="preserve">Un aphorisme largement attribué à Milton H. Erickson résume la position ericksonienne : la carte du monde de chaque personne est aussi singulière que son empreinte digitale, et l'on ne cherche pas à la faire entrer dans l'idée qu'on se fait d'elle, mais à découvrir ce qu'elle est et à l'y rejoindre. ⚠️ Corrigé le 11/09/2026 : la phrase était donnée entre guillemets en anglais et attribuée nommément à Erickson. Elle ne figure sur aucune des cinq sources de la leçon — et l'une d'elles, hypnoseetcoach.fr, RÉPOND 200 AVEC ZÉRO OCTET, aussi bien au moment de la leçon qu'au 11/09/2026 : elle ne peut rien confirmer. Les guillemets et l'attribution stricte sont remplacés par « largement attribué à », qui dit ce qu'on sait.</w:t>
      </w:r>
    </w:p>
    <w:p>
      <w:pPr>
        <w:spacing w:after="80" w:before="60"/>
      </w:pPr>
      <w:r>
        <w:rPr>
          <w:rFonts w:ascii="Times New Roman" w:cs="Times New Roman" w:eastAsia="Times New Roman" w:hAnsi="Times New Roman"/>
          <w:b/>
          <w:bCs/>
          <w:i w:val="false"/>
          <w:iCs w:val="false"/>
          <w:color w:val="1F2937"/>
          <w:sz w:val="22"/>
          <w:szCs w:val="22"/>
        </w:rPr>
        <w:t xml:space="preserve">Points forts / limites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Très adaptable, efficace avec les sujets résistants car il n'y a pas de résistance possible à une suggestion indirecte.</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Demande une formation longue pour être bien maîtrisée — l'improvisation mal calibrée peut perdre le fil thérapeutique.</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Parfois difficile à évaluer scientifiquement car très individualisée.</w:t>
      </w:r>
    </w:p>
    <w:p>
      <w:pPr>
        <w:pStyle w:val="Heading3"/>
        <w:spacing w:after="80" w:before="200"/>
      </w:pPr>
      <w:r>
        <w:rPr>
          <w:rFonts w:ascii="Times New Roman" w:cs="Times New Roman" w:eastAsia="Times New Roman" w:hAnsi="Times New Roman"/>
          <w:b/>
          <w:bCs/>
          <w:color w:val="1F2937"/>
          <w:sz w:val="26"/>
          <w:szCs w:val="26"/>
        </w:rPr>
        <w:t xml:space="preserve">3. La nouvelle hypnose</w:t>
      </w:r>
    </w:p>
    <w:p>
      <w:pPr>
        <w:spacing w:after="80" w:before="60"/>
      </w:pPr>
      <w:r>
        <w:rPr>
          <w:rFonts w:ascii="Times New Roman" w:cs="Times New Roman" w:eastAsia="Times New Roman" w:hAnsi="Times New Roman"/>
          <w:b/>
          <w:bCs/>
          <w:i w:val="false"/>
          <w:iCs w:val="false"/>
          <w:color w:val="1F2937"/>
          <w:sz w:val="22"/>
          <w:szCs w:val="22"/>
        </w:rPr>
        <w:t xml:space="preserve">Époque et contexte :</w:t>
      </w:r>
    </w:p>
    <w:p>
      <w:pPr>
        <w:spacing w:after="80" w:before="60"/>
      </w:pPr>
      <w:r>
        <w:rPr>
          <w:rFonts w:ascii="Times New Roman" w:cs="Times New Roman" w:eastAsia="Times New Roman" w:hAnsi="Times New Roman"/>
          <w:b w:val="false"/>
          <w:bCs w:val="false"/>
          <w:i w:val="false"/>
          <w:iCs w:val="false"/>
          <w:color w:val="1F2937"/>
          <w:sz w:val="22"/>
          <w:szCs w:val="22"/>
        </w:rPr>
        <w:t xml:space="preserve">Émerge à la fin des années 1970, en intégrant les acquis de l'hypnose classique et de l'approche ericksonienne dans un cadre plus contemporain et collaboratif. Elle s'appuie aussi sur des recherches révisées de Bernheim et intègre des éléments de Programmation Neuro-Linguistique (PNL).</w:t>
      </w:r>
    </w:p>
    <w:p>
      <w:pPr>
        <w:spacing w:after="80" w:before="60"/>
      </w:pPr>
      <w:r>
        <w:rPr>
          <w:rFonts w:ascii="Times New Roman" w:cs="Times New Roman" w:eastAsia="Times New Roman" w:hAnsi="Times New Roman"/>
          <w:b/>
          <w:bCs/>
          <w:i w:val="false"/>
          <w:iCs w:val="false"/>
          <w:color w:val="1F2937"/>
          <w:sz w:val="22"/>
          <w:szCs w:val="22"/>
        </w:rPr>
        <w:t xml:space="preserve">Principes clés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Participation active du client : le sujet n'est pas passif, il est co-auteur de la transe.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Protocoles modernisés : techniques très structurées, nombreux protocoles de soin formalisés.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Non-coercition : aucune autorité imposée, la relation est explicitement collaborative.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Orientation développement personnel : gestion des émotions, relations interpersonnelles, confiance en soi.</w:t>
      </w:r>
    </w:p>
    <w:p>
      <w:pPr>
        <w:spacing w:after="80" w:before="60"/>
      </w:pPr>
      <w:r>
        <w:rPr>
          <w:rFonts w:ascii="Times New Roman" w:cs="Times New Roman" w:eastAsia="Times New Roman" w:hAnsi="Times New Roman"/>
          <w:b/>
          <w:bCs/>
          <w:i w:val="false"/>
          <w:iCs w:val="false"/>
          <w:color w:val="1F2937"/>
          <w:sz w:val="22"/>
          <w:szCs w:val="22"/>
        </w:rPr>
        <w:t xml:space="preserve">Points forts / limites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Bonne acceptation par des publics modernes, habitués à l'autonomie et à la participation.</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Le côté « protocoles structurés » peut perdre en flexibilité par rapport à l'approche ericksonienne pure.</w:t>
      </w:r>
    </w:p>
    <w:p>
      <w:pPr>
        <w:pStyle w:val="Heading3"/>
        <w:spacing w:after="80" w:before="200"/>
      </w:pPr>
      <w:r>
        <w:rPr>
          <w:rFonts w:ascii="Times New Roman" w:cs="Times New Roman" w:eastAsia="Times New Roman" w:hAnsi="Times New Roman"/>
          <w:b/>
          <w:bCs/>
          <w:color w:val="1F2937"/>
          <w:sz w:val="26"/>
          <w:szCs w:val="26"/>
        </w:rPr>
        <w:t xml:space="preserve">4. L'hypnose humaniste</w:t>
      </w:r>
    </w:p>
    <w:p>
      <w:pPr>
        <w:spacing w:after="80" w:before="60"/>
      </w:pPr>
      <w:r>
        <w:rPr>
          <w:rFonts w:ascii="Times New Roman" w:cs="Times New Roman" w:eastAsia="Times New Roman" w:hAnsi="Times New Roman"/>
          <w:b/>
          <w:bCs/>
          <w:i w:val="false"/>
          <w:iCs w:val="false"/>
          <w:color w:val="1F2937"/>
          <w:sz w:val="22"/>
          <w:szCs w:val="22"/>
        </w:rPr>
        <w:t xml:space="preserve">Époque et fondateur :</w:t>
      </w:r>
    </w:p>
    <w:p>
      <w:pPr>
        <w:spacing w:after="80" w:before="60"/>
      </w:pPr>
      <w:r>
        <w:rPr>
          <w:rFonts w:ascii="Times New Roman" w:cs="Times New Roman" w:eastAsia="Times New Roman" w:hAnsi="Times New Roman"/>
          <w:b w:val="false"/>
          <w:bCs w:val="false"/>
          <w:i w:val="false"/>
          <w:iCs w:val="false"/>
          <w:color w:val="1F2937"/>
          <w:sz w:val="22"/>
          <w:szCs w:val="22"/>
        </w:rPr>
        <w:t xml:space="preserve">Développée dans les années 2000 par Olivier Lockert (France). C'est le courant le plus récent et le plus disruptif dans sa conception de l'état hypnotique.</w:t>
      </w:r>
    </w:p>
    <w:p>
      <w:pPr>
        <w:spacing w:after="80" w:before="60"/>
      </w:pPr>
      <w:r>
        <w:rPr>
          <w:rFonts w:ascii="Times New Roman" w:cs="Times New Roman" w:eastAsia="Times New Roman" w:hAnsi="Times New Roman"/>
          <w:b/>
          <w:bCs/>
          <w:i w:val="false"/>
          <w:iCs w:val="false"/>
          <w:color w:val="1F2937"/>
          <w:sz w:val="22"/>
          <w:szCs w:val="22"/>
        </w:rPr>
        <w:t xml:space="preserve">Principes clés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État augmenté de conscience (≠ état réduit) : contrairement aux autres courants qui visent une dissociation ou un état de conscience altéré vers le « bas », l'hypnose humaniste vise un état où la conscience est amplifiée, hyperactive.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Client conscient et actif : pas de lâcher-prise imposé, le sujet reste pleinement présent et observateur de ses propres processus.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Langage direct et symbolique : les suggestions sont explicites mais utilisent un langage archétypal et symbolique.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Travail sur les blessures inconscientes et l'identité profonde.</w:t>
      </w:r>
    </w:p>
    <w:p>
      <w:pPr>
        <w:spacing w:after="80" w:before="60"/>
      </w:pPr>
      <w:r>
        <w:rPr>
          <w:rFonts w:ascii="Times New Roman" w:cs="Times New Roman" w:eastAsia="Times New Roman" w:hAnsi="Times New Roman"/>
          <w:b/>
          <w:bCs/>
          <w:i w:val="false"/>
          <w:iCs w:val="false"/>
          <w:color w:val="1F2937"/>
          <w:sz w:val="22"/>
          <w:szCs w:val="22"/>
        </w:rPr>
        <w:t xml:space="preserve">Points forts / limites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Accessible aux personnes qui ne « savent pas se laisser aller » — pas besoin de lâcher prise.</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Approche très récente : littérature scientifique indépendante limitée.</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Terminologie parfois propriétaire, ce qui peut rendre la comparaison avec d'autres recherches difficile.</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Tableau comparatif des quatre courants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3A6B" w:color="1B3A6B" w:val="solid"/>
          </w:tcPr>
          <w:p>
            <w:pPr>
              <w:jc w:val="center"/>
            </w:pPr>
            <w:r>
              <w:rPr>
                <w:rFonts w:ascii="Times New Roman" w:cs="Times New Roman" w:eastAsia="Times New Roman" w:hAnsi="Times New Roman"/>
                <w:b/>
                <w:bCs/>
                <w:color w:val="FFFFFF"/>
                <w:sz w:val="20"/>
                <w:szCs w:val="20"/>
              </w:rPr>
              <w:t xml:space="preserve">Aspect</w:t>
            </w:r>
          </w:p>
        </w:tc>
        <w:tc>
          <w:tcPr>
            <w:shd w:fill="1B3A6B" w:color="1B3A6B" w:val="solid"/>
          </w:tcPr>
          <w:p>
            <w:pPr>
              <w:jc w:val="center"/>
            </w:pPr>
            <w:r>
              <w:rPr>
                <w:rFonts w:ascii="Times New Roman" w:cs="Times New Roman" w:eastAsia="Times New Roman" w:hAnsi="Times New Roman"/>
                <w:b/>
                <w:bCs/>
                <w:color w:val="FFFFFF"/>
                <w:sz w:val="20"/>
                <w:szCs w:val="20"/>
              </w:rPr>
              <w:t xml:space="preserve">Classique</w:t>
            </w:r>
          </w:p>
        </w:tc>
        <w:tc>
          <w:tcPr>
            <w:shd w:fill="1B3A6B" w:color="1B3A6B" w:val="solid"/>
          </w:tcPr>
          <w:p>
            <w:pPr>
              <w:jc w:val="center"/>
            </w:pPr>
            <w:r>
              <w:rPr>
                <w:rFonts w:ascii="Times New Roman" w:cs="Times New Roman" w:eastAsia="Times New Roman" w:hAnsi="Times New Roman"/>
                <w:b/>
                <w:bCs/>
                <w:color w:val="FFFFFF"/>
                <w:sz w:val="20"/>
                <w:szCs w:val="20"/>
              </w:rPr>
              <w:t xml:space="preserve">Ericksonienne</w:t>
            </w:r>
          </w:p>
        </w:tc>
        <w:tc>
          <w:tcPr>
            <w:shd w:fill="1B3A6B" w:color="1B3A6B" w:val="solid"/>
          </w:tcPr>
          <w:p>
            <w:pPr>
              <w:jc w:val="center"/>
            </w:pPr>
            <w:r>
              <w:rPr>
                <w:rFonts w:ascii="Times New Roman" w:cs="Times New Roman" w:eastAsia="Times New Roman" w:hAnsi="Times New Roman"/>
                <w:b/>
                <w:bCs/>
                <w:color w:val="FFFFFF"/>
                <w:sz w:val="20"/>
                <w:szCs w:val="20"/>
              </w:rPr>
              <w:t xml:space="preserve">Nouvelle hypnose</w:t>
            </w:r>
          </w:p>
        </w:tc>
        <w:tc>
          <w:tcPr>
            <w:shd w:fill="1B3A6B" w:color="1B3A6B" w:val="solid"/>
          </w:tcPr>
          <w:p>
            <w:pPr>
              <w:jc w:val="center"/>
            </w:pPr>
            <w:r>
              <w:rPr>
                <w:rFonts w:ascii="Times New Roman" w:cs="Times New Roman" w:eastAsia="Times New Roman" w:hAnsi="Times New Roman"/>
                <w:b/>
                <w:bCs/>
                <w:color w:val="FFFFFF"/>
                <w:sz w:val="20"/>
                <w:szCs w:val="20"/>
              </w:rPr>
              <w:t xml:space="preserve">Humaniste</w:t>
            </w:r>
          </w:p>
        </w:tc>
      </w:tr>
      <w:tr>
        <w:tc>
          <w:tcPr>
            <w:shd w:fill="D1D9ED" w:color="D1D9ED" w:val="solid"/>
          </w:tcPr>
          <w:p>
            <w:r>
              <w:rPr>
                <w:rFonts w:ascii="Times New Roman" w:cs="Times New Roman" w:eastAsia="Times New Roman" w:hAnsi="Times New Roman"/>
                <w:b/>
                <w:bCs/>
                <w:color w:val="1F2937"/>
                <w:sz w:val="18"/>
                <w:szCs w:val="18"/>
              </w:rPr>
              <w:t xml:space="preserve">Époque</w:t>
            </w:r>
          </w:p>
        </w:tc>
        <w:tc>
          <w:tcPr>
            <w:shd w:fill="FFFFFF" w:color="FFFFFF" w:val="solid"/>
          </w:tcPr>
          <w:p>
            <w:r>
              <w:rPr>
                <w:rFonts w:ascii="Times New Roman" w:cs="Times New Roman" w:eastAsia="Times New Roman" w:hAnsi="Times New Roman"/>
                <w:b w:val="false"/>
                <w:bCs w:val="false"/>
                <w:color w:val="1F2937"/>
                <w:sz w:val="18"/>
                <w:szCs w:val="18"/>
              </w:rPr>
              <w:t xml:space="preserve">1841 (Braid)</w:t>
            </w:r>
          </w:p>
        </w:tc>
        <w:tc>
          <w:tcPr>
            <w:shd w:fill="FFFFFF" w:color="FFFFFF" w:val="solid"/>
          </w:tcPr>
          <w:p>
            <w:r>
              <w:rPr>
                <w:rFonts w:ascii="Times New Roman" w:cs="Times New Roman" w:eastAsia="Times New Roman" w:hAnsi="Times New Roman"/>
                <w:b w:val="false"/>
                <w:bCs w:val="false"/>
                <w:color w:val="1F2937"/>
                <w:sz w:val="18"/>
                <w:szCs w:val="18"/>
              </w:rPr>
              <w:t xml:space="preserve">Années 1950</w:t>
            </w:r>
          </w:p>
        </w:tc>
        <w:tc>
          <w:tcPr>
            <w:shd w:fill="FFFFFF" w:color="FFFFFF" w:val="solid"/>
          </w:tcPr>
          <w:p>
            <w:r>
              <w:rPr>
                <w:rFonts w:ascii="Times New Roman" w:cs="Times New Roman" w:eastAsia="Times New Roman" w:hAnsi="Times New Roman"/>
                <w:b w:val="false"/>
                <w:bCs w:val="false"/>
                <w:color w:val="1F2937"/>
                <w:sz w:val="18"/>
                <w:szCs w:val="18"/>
              </w:rPr>
              <w:t xml:space="preserve">Fin 1970</w:t>
            </w:r>
          </w:p>
        </w:tc>
        <w:tc>
          <w:tcPr>
            <w:shd w:fill="FFFFFF" w:color="FFFFFF" w:val="solid"/>
          </w:tcPr>
          <w:p>
            <w:r>
              <w:rPr>
                <w:rFonts w:ascii="Times New Roman" w:cs="Times New Roman" w:eastAsia="Times New Roman" w:hAnsi="Times New Roman"/>
                <w:b w:val="false"/>
                <w:bCs w:val="false"/>
                <w:color w:val="1F2937"/>
                <w:sz w:val="18"/>
                <w:szCs w:val="18"/>
              </w:rPr>
              <w:t xml:space="preserve">Années 2000</w:t>
            </w:r>
          </w:p>
        </w:tc>
      </w:tr>
      <w:tr>
        <w:tc>
          <w:tcPr>
            <w:shd w:fill="D1D9ED" w:color="D1D9ED" w:val="solid"/>
          </w:tcPr>
          <w:p>
            <w:r>
              <w:rPr>
                <w:rFonts w:ascii="Times New Roman" w:cs="Times New Roman" w:eastAsia="Times New Roman" w:hAnsi="Times New Roman"/>
                <w:b/>
                <w:bCs/>
                <w:color w:val="1F2937"/>
                <w:sz w:val="18"/>
                <w:szCs w:val="18"/>
              </w:rPr>
              <w:t xml:space="preserve">Fondateur</w:t>
            </w:r>
          </w:p>
        </w:tc>
        <w:tc>
          <w:tcPr>
            <w:shd w:fill="EEF2F7" w:color="EEF2F7" w:val="solid"/>
          </w:tcPr>
          <w:p>
            <w:r>
              <w:rPr>
                <w:rFonts w:ascii="Times New Roman" w:cs="Times New Roman" w:eastAsia="Times New Roman" w:hAnsi="Times New Roman"/>
                <w:b w:val="false"/>
                <w:bCs w:val="false"/>
                <w:color w:val="1F2937"/>
                <w:sz w:val="18"/>
                <w:szCs w:val="18"/>
              </w:rPr>
              <w:t xml:space="preserve">James Braid</w:t>
            </w:r>
          </w:p>
        </w:tc>
        <w:tc>
          <w:tcPr>
            <w:shd w:fill="EEF2F7" w:color="EEF2F7" w:val="solid"/>
          </w:tcPr>
          <w:p>
            <w:r>
              <w:rPr>
                <w:rFonts w:ascii="Times New Roman" w:cs="Times New Roman" w:eastAsia="Times New Roman" w:hAnsi="Times New Roman"/>
                <w:b w:val="false"/>
                <w:bCs w:val="false"/>
                <w:color w:val="1F2937"/>
                <w:sz w:val="18"/>
                <w:szCs w:val="18"/>
              </w:rPr>
              <w:t xml:space="preserve">Milton Erickson</w:t>
            </w:r>
          </w:p>
        </w:tc>
        <w:tc>
          <w:tcPr>
            <w:shd w:fill="EEF2F7" w:color="EEF2F7" w:val="solid"/>
          </w:tcPr>
          <w:p>
            <w:r>
              <w:rPr>
                <w:rFonts w:ascii="Times New Roman" w:cs="Times New Roman" w:eastAsia="Times New Roman" w:hAnsi="Times New Roman"/>
                <w:b w:val="false"/>
                <w:bCs w:val="false"/>
                <w:color w:val="1F2937"/>
                <w:sz w:val="18"/>
                <w:szCs w:val="18"/>
              </w:rPr>
              <w:t xml:space="preserve">Collectif (Bernheim révisé)</w:t>
            </w:r>
          </w:p>
        </w:tc>
        <w:tc>
          <w:tcPr>
            <w:shd w:fill="EEF2F7" w:color="EEF2F7" w:val="solid"/>
          </w:tcPr>
          <w:p>
            <w:r>
              <w:rPr>
                <w:rFonts w:ascii="Times New Roman" w:cs="Times New Roman" w:eastAsia="Times New Roman" w:hAnsi="Times New Roman"/>
                <w:b w:val="false"/>
                <w:bCs w:val="false"/>
                <w:color w:val="1F2937"/>
                <w:sz w:val="18"/>
                <w:szCs w:val="18"/>
              </w:rPr>
              <w:t xml:space="preserve">Olivier Lockert</w:t>
            </w:r>
          </w:p>
        </w:tc>
      </w:tr>
      <w:tr>
        <w:tc>
          <w:tcPr>
            <w:shd w:fill="D1D9ED" w:color="D1D9ED" w:val="solid"/>
          </w:tcPr>
          <w:p>
            <w:r>
              <w:rPr>
                <w:rFonts w:ascii="Times New Roman" w:cs="Times New Roman" w:eastAsia="Times New Roman" w:hAnsi="Times New Roman"/>
                <w:b/>
                <w:bCs/>
                <w:color w:val="1F2937"/>
                <w:sz w:val="18"/>
                <w:szCs w:val="18"/>
              </w:rPr>
              <w:t xml:space="preserve">Directivité</w:t>
            </w:r>
          </w:p>
        </w:tc>
        <w:tc>
          <w:tcPr>
            <w:shd w:fill="FFFFFF" w:color="FFFFFF" w:val="solid"/>
          </w:tcPr>
          <w:p>
            <w:r>
              <w:rPr>
                <w:rFonts w:ascii="Times New Roman" w:cs="Times New Roman" w:eastAsia="Times New Roman" w:hAnsi="Times New Roman"/>
                <w:b w:val="false"/>
                <w:bCs w:val="false"/>
                <w:color w:val="1F2937"/>
                <w:sz w:val="18"/>
                <w:szCs w:val="18"/>
              </w:rPr>
              <w:t xml:space="preserve">Haute — suggestions directes</w:t>
            </w:r>
          </w:p>
        </w:tc>
        <w:tc>
          <w:tcPr>
            <w:shd w:fill="FFFFFF" w:color="FFFFFF" w:val="solid"/>
          </w:tcPr>
          <w:p>
            <w:r>
              <w:rPr>
                <w:rFonts w:ascii="Times New Roman" w:cs="Times New Roman" w:eastAsia="Times New Roman" w:hAnsi="Times New Roman"/>
                <w:b w:val="false"/>
                <w:bCs w:val="false"/>
                <w:color w:val="1F2937"/>
                <w:sz w:val="18"/>
                <w:szCs w:val="18"/>
              </w:rPr>
              <w:t xml:space="preserve">Faible — langage indirect</w:t>
            </w:r>
          </w:p>
        </w:tc>
        <w:tc>
          <w:tcPr>
            <w:shd w:fill="FFFFFF" w:color="FFFFFF" w:val="solid"/>
          </w:tcPr>
          <w:p>
            <w:r>
              <w:rPr>
                <w:rFonts w:ascii="Times New Roman" w:cs="Times New Roman" w:eastAsia="Times New Roman" w:hAnsi="Times New Roman"/>
                <w:b w:val="false"/>
                <w:bCs w:val="false"/>
                <w:color w:val="1F2937"/>
                <w:sz w:val="18"/>
                <w:szCs w:val="18"/>
              </w:rPr>
              <w:t xml:space="preserve">Modérée — collaborative</w:t>
            </w:r>
          </w:p>
        </w:tc>
        <w:tc>
          <w:tcPr>
            <w:shd w:fill="FFFFFF" w:color="FFFFFF" w:val="solid"/>
          </w:tcPr>
          <w:p>
            <w:r>
              <w:rPr>
                <w:rFonts w:ascii="Times New Roman" w:cs="Times New Roman" w:eastAsia="Times New Roman" w:hAnsi="Times New Roman"/>
                <w:b w:val="false"/>
                <w:bCs w:val="false"/>
                <w:color w:val="1F2937"/>
                <w:sz w:val="18"/>
                <w:szCs w:val="18"/>
              </w:rPr>
              <w:t xml:space="preserve">Directe-symbolique</w:t>
            </w:r>
          </w:p>
        </w:tc>
      </w:tr>
      <w:tr>
        <w:tc>
          <w:tcPr>
            <w:shd w:fill="D1D9ED" w:color="D1D9ED" w:val="solid"/>
          </w:tcPr>
          <w:p>
            <w:r>
              <w:rPr>
                <w:rFonts w:ascii="Times New Roman" w:cs="Times New Roman" w:eastAsia="Times New Roman" w:hAnsi="Times New Roman"/>
                <w:b/>
                <w:bCs/>
                <w:color w:val="1F2937"/>
                <w:sz w:val="18"/>
                <w:szCs w:val="18"/>
              </w:rPr>
              <w:t xml:space="preserve">État de conscience</w:t>
            </w:r>
          </w:p>
        </w:tc>
        <w:tc>
          <w:tcPr>
            <w:shd w:fill="EEF2F7" w:color="EEF2F7" w:val="solid"/>
          </w:tcPr>
          <w:p>
            <w:r>
              <w:rPr>
                <w:rFonts w:ascii="Times New Roman" w:cs="Times New Roman" w:eastAsia="Times New Roman" w:hAnsi="Times New Roman"/>
                <w:b w:val="false"/>
                <w:bCs w:val="false"/>
                <w:color w:val="1F2937"/>
                <w:sz w:val="18"/>
                <w:szCs w:val="18"/>
              </w:rPr>
              <w:t xml:space="preserve">Transe profonde, dissociation</w:t>
            </w:r>
          </w:p>
        </w:tc>
        <w:tc>
          <w:tcPr>
            <w:shd w:fill="EEF2F7" w:color="EEF2F7" w:val="solid"/>
          </w:tcPr>
          <w:p>
            <w:r>
              <w:rPr>
                <w:rFonts w:ascii="Times New Roman" w:cs="Times New Roman" w:eastAsia="Times New Roman" w:hAnsi="Times New Roman"/>
                <w:b w:val="false"/>
                <w:bCs w:val="false"/>
                <w:color w:val="1F2937"/>
                <w:sz w:val="18"/>
                <w:szCs w:val="18"/>
              </w:rPr>
              <w:t xml:space="preserve">Transe légère à profonde</w:t>
            </w:r>
          </w:p>
        </w:tc>
        <w:tc>
          <w:tcPr>
            <w:shd w:fill="EEF2F7" w:color="EEF2F7" w:val="solid"/>
          </w:tcPr>
          <w:p>
            <w:r>
              <w:rPr>
                <w:rFonts w:ascii="Times New Roman" w:cs="Times New Roman" w:eastAsia="Times New Roman" w:hAnsi="Times New Roman"/>
                <w:b w:val="false"/>
                <w:bCs w:val="false"/>
                <w:color w:val="1F2937"/>
                <w:sz w:val="18"/>
                <w:szCs w:val="18"/>
              </w:rPr>
              <w:t xml:space="preserve">Participation active</w:t>
            </w:r>
          </w:p>
        </w:tc>
        <w:tc>
          <w:tcPr>
            <w:shd w:fill="EEF2F7" w:color="EEF2F7" w:val="solid"/>
          </w:tcPr>
          <w:p>
            <w:r>
              <w:rPr>
                <w:rFonts w:ascii="Times New Roman" w:cs="Times New Roman" w:eastAsia="Times New Roman" w:hAnsi="Times New Roman"/>
                <w:b w:val="false"/>
                <w:bCs w:val="false"/>
                <w:color w:val="1F2937"/>
                <w:sz w:val="18"/>
                <w:szCs w:val="18"/>
              </w:rPr>
              <w:t xml:space="preserve">État augmenté (pas dissociation)</w:t>
            </w:r>
          </w:p>
        </w:tc>
      </w:tr>
      <w:tr>
        <w:tc>
          <w:tcPr>
            <w:shd w:fill="D1D9ED" w:color="D1D9ED" w:val="solid"/>
          </w:tcPr>
          <w:p>
            <w:r>
              <w:rPr>
                <w:rFonts w:ascii="Times New Roman" w:cs="Times New Roman" w:eastAsia="Times New Roman" w:hAnsi="Times New Roman"/>
                <w:b/>
                <w:bCs/>
                <w:color w:val="1F2937"/>
                <w:sz w:val="18"/>
                <w:szCs w:val="18"/>
              </w:rPr>
              <w:t xml:space="preserve">Rôle du praticien</w:t>
            </w:r>
          </w:p>
        </w:tc>
        <w:tc>
          <w:tcPr>
            <w:shd w:fill="FFFFFF" w:color="FFFFFF" w:val="solid"/>
          </w:tcPr>
          <w:p>
            <w:r>
              <w:rPr>
                <w:rFonts w:ascii="Times New Roman" w:cs="Times New Roman" w:eastAsia="Times New Roman" w:hAnsi="Times New Roman"/>
                <w:b w:val="false"/>
                <w:bCs w:val="false"/>
                <w:color w:val="1F2937"/>
                <w:sz w:val="18"/>
                <w:szCs w:val="18"/>
              </w:rPr>
              <w:t xml:space="preserve">Autorité, guide</w:t>
            </w:r>
          </w:p>
        </w:tc>
        <w:tc>
          <w:tcPr>
            <w:shd w:fill="FFFFFF" w:color="FFFFFF" w:val="solid"/>
          </w:tcPr>
          <w:p>
            <w:r>
              <w:rPr>
                <w:rFonts w:ascii="Times New Roman" w:cs="Times New Roman" w:eastAsia="Times New Roman" w:hAnsi="Times New Roman"/>
                <w:b w:val="false"/>
                <w:bCs w:val="false"/>
                <w:color w:val="1F2937"/>
                <w:sz w:val="18"/>
                <w:szCs w:val="18"/>
              </w:rPr>
              <w:t xml:space="preserve">Écoute, accompagnateur</w:t>
            </w:r>
          </w:p>
        </w:tc>
        <w:tc>
          <w:tcPr>
            <w:shd w:fill="FFFFFF" w:color="FFFFFF" w:val="solid"/>
          </w:tcPr>
          <w:p>
            <w:r>
              <w:rPr>
                <w:rFonts w:ascii="Times New Roman" w:cs="Times New Roman" w:eastAsia="Times New Roman" w:hAnsi="Times New Roman"/>
                <w:b w:val="false"/>
                <w:bCs w:val="false"/>
                <w:color w:val="1F2937"/>
                <w:sz w:val="18"/>
                <w:szCs w:val="18"/>
              </w:rPr>
              <w:t xml:space="preserve">Partenaire</w:t>
            </w:r>
          </w:p>
        </w:tc>
        <w:tc>
          <w:tcPr>
            <w:shd w:fill="FFFFFF" w:color="FFFFFF" w:val="solid"/>
          </w:tcPr>
          <w:p>
            <w:r>
              <w:rPr>
                <w:rFonts w:ascii="Times New Roman" w:cs="Times New Roman" w:eastAsia="Times New Roman" w:hAnsi="Times New Roman"/>
                <w:b w:val="false"/>
                <w:bCs w:val="false"/>
                <w:color w:val="1F2937"/>
                <w:sz w:val="18"/>
                <w:szCs w:val="18"/>
              </w:rPr>
              <w:t xml:space="preserve">Facilitateur</w:t>
            </w:r>
          </w:p>
        </w:tc>
      </w:tr>
      <w:tr>
        <w:tc>
          <w:tcPr>
            <w:shd w:fill="D1D9ED" w:color="D1D9ED" w:val="solid"/>
          </w:tcPr>
          <w:p>
            <w:r>
              <w:rPr>
                <w:rFonts w:ascii="Times New Roman" w:cs="Times New Roman" w:eastAsia="Times New Roman" w:hAnsi="Times New Roman"/>
                <w:b/>
                <w:bCs/>
                <w:color w:val="1F2937"/>
                <w:sz w:val="18"/>
                <w:szCs w:val="18"/>
              </w:rPr>
              <w:t xml:space="preserve">Langage</w:t>
            </w:r>
          </w:p>
        </w:tc>
        <w:tc>
          <w:tcPr>
            <w:shd w:fill="EEF2F7" w:color="EEF2F7" w:val="solid"/>
          </w:tcPr>
          <w:p>
            <w:r>
              <w:rPr>
                <w:rFonts w:ascii="Times New Roman" w:cs="Times New Roman" w:eastAsia="Times New Roman" w:hAnsi="Times New Roman"/>
                <w:b w:val="false"/>
                <w:bCs w:val="false"/>
                <w:color w:val="1F2937"/>
                <w:sz w:val="18"/>
                <w:szCs w:val="18"/>
              </w:rPr>
              <w:t xml:space="preserve">Impératif direct</w:t>
            </w:r>
          </w:p>
        </w:tc>
        <w:tc>
          <w:tcPr>
            <w:shd w:fill="EEF2F7" w:color="EEF2F7" w:val="solid"/>
          </w:tcPr>
          <w:p>
            <w:r>
              <w:rPr>
                <w:rFonts w:ascii="Times New Roman" w:cs="Times New Roman" w:eastAsia="Times New Roman" w:hAnsi="Times New Roman"/>
                <w:b w:val="false"/>
                <w:bCs w:val="false"/>
                <w:color w:val="1F2937"/>
                <w:sz w:val="18"/>
                <w:szCs w:val="18"/>
              </w:rPr>
              <w:t xml:space="preserve">Métaphores, truismes, suggestions ouvertes</w:t>
            </w:r>
          </w:p>
        </w:tc>
        <w:tc>
          <w:tcPr>
            <w:shd w:fill="EEF2F7" w:color="EEF2F7" w:val="solid"/>
          </w:tcPr>
          <w:p>
            <w:r>
              <w:rPr>
                <w:rFonts w:ascii="Times New Roman" w:cs="Times New Roman" w:eastAsia="Times New Roman" w:hAnsi="Times New Roman"/>
                <w:b w:val="false"/>
                <w:bCs w:val="false"/>
                <w:color w:val="1F2937"/>
                <w:sz w:val="18"/>
                <w:szCs w:val="18"/>
              </w:rPr>
              <w:t xml:space="preserve">PNL intégrée, indirect</w:t>
            </w:r>
          </w:p>
        </w:tc>
        <w:tc>
          <w:tcPr>
            <w:shd w:fill="EEF2F7" w:color="EEF2F7" w:val="solid"/>
          </w:tcPr>
          <w:p>
            <w:r>
              <w:rPr>
                <w:rFonts w:ascii="Times New Roman" w:cs="Times New Roman" w:eastAsia="Times New Roman" w:hAnsi="Times New Roman"/>
                <w:b w:val="false"/>
                <w:bCs w:val="false"/>
                <w:color w:val="1F2937"/>
                <w:sz w:val="18"/>
                <w:szCs w:val="18"/>
              </w:rPr>
              <w:t xml:space="preserve">Direct et symbolique</w:t>
            </w:r>
          </w:p>
        </w:tc>
      </w:tr>
      <w:tr>
        <w:tc>
          <w:tcPr>
            <w:shd w:fill="D1D9ED" w:color="D1D9ED" w:val="solid"/>
          </w:tcPr>
          <w:p>
            <w:r>
              <w:rPr>
                <w:rFonts w:ascii="Times New Roman" w:cs="Times New Roman" w:eastAsia="Times New Roman" w:hAnsi="Times New Roman"/>
                <w:b/>
                <w:bCs/>
                <w:color w:val="1F2937"/>
                <w:sz w:val="18"/>
                <w:szCs w:val="18"/>
              </w:rPr>
              <w:t xml:space="preserve">Application typique</w:t>
            </w:r>
          </w:p>
        </w:tc>
        <w:tc>
          <w:tcPr>
            <w:shd w:fill="FFFFFF" w:color="FFFFFF" w:val="solid"/>
          </w:tcPr>
          <w:p>
            <w:r>
              <w:rPr>
                <w:rFonts w:ascii="Times New Roman" w:cs="Times New Roman" w:eastAsia="Times New Roman" w:hAnsi="Times New Roman"/>
                <w:b w:val="false"/>
                <w:bCs w:val="false"/>
                <w:color w:val="1F2937"/>
                <w:sz w:val="18"/>
                <w:szCs w:val="18"/>
              </w:rPr>
              <w:t xml:space="preserve">Douleur, spectacle</w:t>
            </w:r>
          </w:p>
        </w:tc>
        <w:tc>
          <w:tcPr>
            <w:shd w:fill="FFFFFF" w:color="FFFFFF" w:val="solid"/>
          </w:tcPr>
          <w:p>
            <w:r>
              <w:rPr>
                <w:rFonts w:ascii="Times New Roman" w:cs="Times New Roman" w:eastAsia="Times New Roman" w:hAnsi="Times New Roman"/>
                <w:b w:val="false"/>
                <w:bCs w:val="false"/>
                <w:color w:val="1F2937"/>
                <w:sz w:val="18"/>
                <w:szCs w:val="18"/>
              </w:rPr>
              <w:t xml:space="preserve">Phobies, stress, addictions</w:t>
            </w:r>
          </w:p>
        </w:tc>
        <w:tc>
          <w:tcPr>
            <w:shd w:fill="FFFFFF" w:color="FFFFFF" w:val="solid"/>
          </w:tcPr>
          <w:p>
            <w:r>
              <w:rPr>
                <w:rFonts w:ascii="Times New Roman" w:cs="Times New Roman" w:eastAsia="Times New Roman" w:hAnsi="Times New Roman"/>
                <w:b w:val="false"/>
                <w:bCs w:val="false"/>
                <w:color w:val="1F2937"/>
                <w:sz w:val="18"/>
                <w:szCs w:val="18"/>
              </w:rPr>
              <w:t xml:space="preserve">Développement personnel</w:t>
            </w:r>
          </w:p>
        </w:tc>
        <w:tc>
          <w:tcPr>
            <w:shd w:fill="FFFFFF" w:color="FFFFFF" w:val="solid"/>
          </w:tcPr>
          <w:p>
            <w:r>
              <w:rPr>
                <w:rFonts w:ascii="Times New Roman" w:cs="Times New Roman" w:eastAsia="Times New Roman" w:hAnsi="Times New Roman"/>
                <w:b w:val="false"/>
                <w:bCs w:val="false"/>
                <w:color w:val="1F2937"/>
                <w:sz w:val="18"/>
                <w:szCs w:val="18"/>
              </w:rPr>
              <w:t xml:space="preserve">Blessures inconscientes</w:t>
            </w:r>
          </w:p>
        </w:tc>
      </w:tr>
    </w:tbl>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Et pour l'auto-hypnose ?</w:t>
      </w:r>
    </w:p>
    <w:p>
      <w:pPr>
        <w:spacing w:after="80" w:before="60"/>
      </w:pPr>
      <w:r>
        <w:rPr>
          <w:rFonts w:ascii="Times New Roman" w:cs="Times New Roman" w:eastAsia="Times New Roman" w:hAnsi="Times New Roman"/>
          <w:b w:val="false"/>
          <w:bCs w:val="false"/>
          <w:i w:val="false"/>
          <w:iCs w:val="false"/>
          <w:color w:val="1F2937"/>
          <w:sz w:val="22"/>
          <w:szCs w:val="22"/>
        </w:rPr>
        <w:t xml:space="preserve">Les courants thérapeutiques ont été développés pour un contexte praticien-client — mais pour l'auto-hypnose, tu es les deux à la fois. Ce qui signifie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L'approche ericksonienne est très fertile en auto-hypnose : tu peux te raconter des histoires-métaphores intérieurement, utiliser un langage permissif avec toi-même, exploiter tes états naturalistes.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La nouvelle hypnose t'offre des protocoles structurés, clairs à suivre seul.</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L'hypnose humaniste peut être intéressante si tu as du mal à « lâcher prise » — rester conscient et observateur de ta transe est une posture utilisable.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L'hypnose classique est moins adaptée en auto-hypnose pure : sans praticien externe, la suggestion impérative sur soi peut manquer de souplesse.</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Pratique (80%) — 3 exercices actifs</w:t>
      </w:r>
    </w:p>
    <w:p>
      <w:pPr>
        <w:pStyle w:val="Heading3"/>
        <w:spacing w:after="80" w:before="200"/>
      </w:pPr>
      <w:r>
        <w:rPr>
          <w:rFonts w:ascii="Times New Roman" w:cs="Times New Roman" w:eastAsia="Times New Roman" w:hAnsi="Times New Roman"/>
          <w:b/>
          <w:bCs/>
          <w:color w:val="1F2937"/>
          <w:sz w:val="26"/>
          <w:szCs w:val="26"/>
        </w:rPr>
        <w:t xml:space="preserve">Exercice 1 — Cartographie personnelle des courants (30 min)</w:t>
      </w:r>
    </w:p>
    <w:p>
      <w:pPr>
        <w:spacing w:after="80" w:before="60"/>
      </w:pPr>
      <w:r>
        <w:rPr>
          <w:rFonts w:ascii="Times New Roman" w:cs="Times New Roman" w:eastAsia="Times New Roman" w:hAnsi="Times New Roman"/>
          <w:b w:val="false"/>
          <w:bCs w:val="false"/>
          <w:i w:val="false"/>
          <w:iCs w:val="false"/>
          <w:color w:val="1F2937"/>
          <w:sz w:val="22"/>
          <w:szCs w:val="22"/>
        </w:rPr>
        <w:t xml:space="preserve">Objectif : ancrer les 4 courants dans ta mémoire par la comparaison active.</w:t>
      </w:r>
    </w:p>
    <w:p>
      <w:pPr>
        <w:spacing w:after="80" w:before="60"/>
      </w:pPr>
      <w:r>
        <w:rPr>
          <w:rFonts w:ascii="Times New Roman" w:cs="Times New Roman" w:eastAsia="Times New Roman" w:hAnsi="Times New Roman"/>
          <w:b/>
          <w:bCs/>
          <w:i w:val="false"/>
          <w:iCs w:val="false"/>
          <w:color w:val="1F2937"/>
          <w:sz w:val="22"/>
          <w:szCs w:val="22"/>
        </w:rPr>
        <w:t xml:space="preserve">Mode opératoire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Prends une feuille ou ouvre un document vide.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Pour chaque courant, note en 3-4 lignes : ses mots clés, son rapport praticien-client, et UNE phrase typique qu'un praticien de ce courant pourrait dire lors d'une induction.</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Compare tes phrases : note ce qui te semble le plus naturel pour toi en tant qu'auto-praticien.</w:t>
      </w:r>
    </w:p>
    <w:p>
      <w:pPr>
        <w:spacing w:after="80" w:before="60"/>
      </w:pPr>
      <w:r>
        <w:rPr>
          <w:rFonts w:ascii="Times New Roman" w:cs="Times New Roman" w:eastAsia="Times New Roman" w:hAnsi="Times New Roman"/>
          <w:b/>
          <w:bCs/>
          <w:i w:val="false"/>
          <w:iCs w:val="false"/>
          <w:color w:val="1F2937"/>
          <w:sz w:val="22"/>
          <w:szCs w:val="22"/>
        </w:rPr>
        <w:t xml:space="preserve">Exemples de phrases d'induction par courant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Classique : « Fermez les yeux. Votre corps se détend. Vous allez entrer dans un profond état de relaxation.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Ericksonienne : « Et peut-être que tu pourrais remarquer comment ta respiration commence à s'installer... d'elle-même... à son rythme...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Nouvelle hypnose : « Tu choisis maintenant de te détendre, et ta participation à ce processus est exactement ce qui le rend possible.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Humaniste : « Tu restes pleinement conscient, observateur de toi-même, et tu vas découvrir un espace intérieur amplifié... »</w:t>
      </w:r>
    </w:p>
    <w:p>
      <w:pPr>
        <w:spacing w:after="80" w:before="60"/>
      </w:pPr>
      <w:r>
        <w:rPr>
          <w:rFonts w:ascii="Times New Roman" w:cs="Times New Roman" w:eastAsia="Times New Roman" w:hAnsi="Times New Roman"/>
          <w:b/>
          <w:bCs/>
          <w:i/>
          <w:iCs/>
          <w:color w:val="1F2937"/>
          <w:sz w:val="22"/>
          <w:szCs w:val="22"/>
        </w:rPr>
        <w:t xml:space="preserve">Journal de pratique :</w:t>
      </w:r>
    </w:p>
    <w:p>
      <w:pPr>
        <w:spacing w:after="80" w:before="60"/>
      </w:pPr>
      <w:r>
        <w:rPr>
          <w:rFonts w:ascii="Times New Roman" w:cs="Times New Roman" w:eastAsia="Times New Roman" w:hAnsi="Times New Roman"/>
          <w:b w:val="false"/>
          <w:bCs w:val="false"/>
          <w:i w:val="false"/>
          <w:iCs w:val="false"/>
          <w:color w:val="1F2937"/>
          <w:sz w:val="22"/>
          <w:szCs w:val="22"/>
        </w:rPr>
        <w:t xml:space="preserve">Note : quelle phrase te semble la plus naturelle à te dire ? Laquelle déclenche le plus de résonance en toi ? Pourquoi à ton avis ?</w:t>
      </w:r>
    </w:p>
    <w:p>
      <w:pPr>
        <w:spacing w:before="80"/>
      </w:pPr>
    </w:p>
    <w:p>
      <w:pPr>
        <w:pStyle w:val="Heading3"/>
        <w:spacing w:after="80" w:before="200"/>
      </w:pPr>
      <w:r>
        <w:rPr>
          <w:rFonts w:ascii="Times New Roman" w:cs="Times New Roman" w:eastAsia="Times New Roman" w:hAnsi="Times New Roman"/>
          <w:b/>
          <w:bCs/>
          <w:color w:val="1F2937"/>
          <w:sz w:val="26"/>
          <w:szCs w:val="26"/>
        </w:rPr>
        <w:t xml:space="preserve">Exercice 2 — Mini-séance d'auto-hypnose : comparer deux styles d'induction (45 min)</w:t>
      </w:r>
    </w:p>
    <w:p>
      <w:pPr>
        <w:spacing w:after="80" w:before="60"/>
      </w:pPr>
      <w:r>
        <w:rPr>
          <w:rFonts w:ascii="Times New Roman" w:cs="Times New Roman" w:eastAsia="Times New Roman" w:hAnsi="Times New Roman"/>
          <w:b w:val="false"/>
          <w:bCs w:val="false"/>
          <w:i w:val="false"/>
          <w:iCs w:val="false"/>
          <w:color w:val="1F2937"/>
          <w:sz w:val="22"/>
          <w:szCs w:val="22"/>
        </w:rPr>
        <w:t xml:space="preserve">Objectif : vivre l'expérience de la différence entre suggestion directe et suggestion indirecte.</w:t>
      </w:r>
    </w:p>
    <w:p>
      <w:pPr>
        <w:spacing w:after="80" w:before="60"/>
      </w:pPr>
      <w:r>
        <w:rPr>
          <w:rFonts w:ascii="Times New Roman" w:cs="Times New Roman" w:eastAsia="Times New Roman" w:hAnsi="Times New Roman"/>
          <w:b/>
          <w:bCs/>
          <w:i w:val="false"/>
          <w:iCs w:val="false"/>
          <w:color w:val="1F2937"/>
          <w:sz w:val="22"/>
          <w:szCs w:val="22"/>
        </w:rPr>
        <w:t xml:space="preserve">Préparation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Installe-toi dans un endroit calme, assis confortablement, pieds à plat sur le sol.</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Détermine un objectif simple pour ta séance : 5 minutes de détente profonde.</w:t>
      </w:r>
    </w:p>
    <w:p>
      <w:pPr>
        <w:spacing w:after="80" w:before="60"/>
      </w:pPr>
      <w:r>
        <w:rPr>
          <w:rFonts w:ascii="Times New Roman" w:cs="Times New Roman" w:eastAsia="Times New Roman" w:hAnsi="Times New Roman"/>
          <w:b/>
          <w:bCs/>
          <w:i w:val="false"/>
          <w:iCs w:val="false"/>
          <w:color w:val="1F2937"/>
          <w:sz w:val="22"/>
          <w:szCs w:val="22"/>
        </w:rPr>
        <w:t xml:space="preserve">Séance A — Style classique (5 min)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Ferme les yeux. Dis-toi intérieurement, d'une voix ferme et confiante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 Je ferme les yeux. Mon corps se détend. Je compte de 10 à 1 et à chaque chiffre je m'enfonce plus profondément dans la détente. 10... 9... 8...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Continue jusqu'à 1. Reste 2 minutes dans cet état. Puis compte de 1 à 5 pour revenir.</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Note comment tu te sens : à l'aise ? Résistance ? Obéissance mécanique ?</w:t>
      </w:r>
    </w:p>
    <w:p>
      <w:pPr>
        <w:spacing w:after="80" w:before="60"/>
      </w:pPr>
      <w:r>
        <w:rPr>
          <w:rFonts w:ascii="Times New Roman" w:cs="Times New Roman" w:eastAsia="Times New Roman" w:hAnsi="Times New Roman"/>
          <w:b/>
          <w:bCs/>
          <w:i w:val="false"/>
          <w:iCs w:val="false"/>
          <w:color w:val="1F2937"/>
          <w:sz w:val="22"/>
          <w:szCs w:val="22"/>
        </w:rPr>
        <w:t xml:space="preserve">Séance B — Style ericksonien (5 min)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Rouvre les yeux, bouge un peu, puis ré-installe-toi.</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Dis-toi intérieurement, d'une voix douce et curieuse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 Et je me demande si mes paupières pourraient commencer à s'alourdir... peut-être... et ma respiration pourrait trouver son propre rythme... comme elle le fait souvent... sans effort...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Continue avec ce registre permissif pendant 5 min. Puis reviens doucement.</w:t>
      </w:r>
    </w:p>
    <w:p>
      <w:pPr>
        <w:spacing w:after="80" w:before="60"/>
      </w:pPr>
      <w:r>
        <w:rPr>
          <w:rFonts w:ascii="Times New Roman" w:cs="Times New Roman" w:eastAsia="Times New Roman" w:hAnsi="Times New Roman"/>
          <w:b/>
          <w:bCs/>
          <w:i w:val="false"/>
          <w:iCs w:val="false"/>
          <w:color w:val="1F2937"/>
          <w:sz w:val="22"/>
          <w:szCs w:val="22"/>
        </w:rPr>
        <w:t xml:space="preserve">Débriefing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Lequel des deux styles t'a semblé plus efficace pour toi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Lequel t'a semblé plus naturel à utiliser seul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Est-ce que tu as ressenti une différence dans la qualité de la transe obtenue ?</w:t>
      </w:r>
    </w:p>
    <w:p>
      <w:pPr>
        <w:spacing w:after="80" w:before="60"/>
      </w:pPr>
      <w:r>
        <w:rPr>
          <w:rFonts w:ascii="Times New Roman" w:cs="Times New Roman" w:eastAsia="Times New Roman" w:hAnsi="Times New Roman"/>
          <w:b w:val="false"/>
          <w:bCs w:val="false"/>
          <w:i w:val="false"/>
          <w:iCs w:val="false"/>
          <w:color w:val="1F2937"/>
          <w:sz w:val="22"/>
          <w:szCs w:val="22"/>
        </w:rPr>
        <w:t xml:space="preserve">Note les résultats dans ton journal de pratique — c'est ta cartographie personnelle, et elle guidera les exercices des leçons suivantes.</w:t>
      </w:r>
    </w:p>
    <w:p>
      <w:pPr>
        <w:spacing w:before="80"/>
      </w:pPr>
    </w:p>
    <w:p>
      <w:pPr>
        <w:pStyle w:val="Heading3"/>
        <w:spacing w:after="80" w:before="200"/>
      </w:pPr>
      <w:r>
        <w:rPr>
          <w:rFonts w:ascii="Times New Roman" w:cs="Times New Roman" w:eastAsia="Times New Roman" w:hAnsi="Times New Roman"/>
          <w:b/>
          <w:bCs/>
          <w:color w:val="1F2937"/>
          <w:sz w:val="26"/>
          <w:szCs w:val="26"/>
        </w:rPr>
        <w:t xml:space="preserve">Exercice 3 — Observation naturaliste de la transe quotidienne (sur 1 semaine)</w:t>
      </w:r>
    </w:p>
    <w:p>
      <w:pPr>
        <w:spacing w:after="80" w:before="60"/>
      </w:pPr>
      <w:r>
        <w:rPr>
          <w:rFonts w:ascii="Times New Roman" w:cs="Times New Roman" w:eastAsia="Times New Roman" w:hAnsi="Times New Roman"/>
          <w:b w:val="false"/>
          <w:bCs w:val="false"/>
          <w:i w:val="false"/>
          <w:iCs w:val="false"/>
          <w:color w:val="1F2937"/>
          <w:sz w:val="22"/>
          <w:szCs w:val="22"/>
        </w:rPr>
        <w:t xml:space="preserve">Objectif : reconnaître les états de transe naturaliste dans ta vie quotidienne, comme Erickson l'enseignait.</w:t>
      </w:r>
    </w:p>
    <w:p>
      <w:pPr>
        <w:spacing w:after="80" w:before="60"/>
      </w:pPr>
      <w:r>
        <w:rPr>
          <w:rFonts w:ascii="Times New Roman" w:cs="Times New Roman" w:eastAsia="Times New Roman" w:hAnsi="Times New Roman"/>
          <w:b/>
          <w:bCs/>
          <w:i w:val="false"/>
          <w:iCs w:val="false"/>
          <w:color w:val="1F2937"/>
          <w:sz w:val="22"/>
          <w:szCs w:val="22"/>
        </w:rPr>
        <w:t xml:space="preserve">Consigne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Cette semaine, repère au moins 3 moments où tu te retrouves dans un état d'absorption spontanée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En conduisant (pilote automatique sans souvenir du trajet)</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En lisant (le temps qui s'efface)</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En faisant une tâche répétitive (nettoyage, marche)</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En écoutant de la musique (absorption totale)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Pour chacun, note dans un carnet : l'activité, la durée approximative, et les sensations corporelles observées (souffle, tonus musculaire, rythme cardiaque, perception du temps).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Identifie les points communs entre ces états et ce que tu as ressenti dans l'exercice 2.</w:t>
      </w:r>
    </w:p>
    <w:p>
      <w:pPr>
        <w:spacing w:after="80" w:before="60"/>
      </w:pPr>
      <w:r>
        <w:rPr>
          <w:rFonts w:ascii="Times New Roman" w:cs="Times New Roman" w:eastAsia="Times New Roman" w:hAnsi="Times New Roman"/>
          <w:b/>
          <w:bCs/>
          <w:i w:val="false"/>
          <w:iCs w:val="false"/>
          <w:color w:val="1F2937"/>
          <w:sz w:val="22"/>
          <w:szCs w:val="22"/>
        </w:rPr>
        <w:t xml:space="preserve">Ce que ça change :</w:t>
      </w:r>
    </w:p>
    <w:p>
      <w:pPr>
        <w:spacing w:after="80" w:before="60"/>
      </w:pPr>
      <w:r>
        <w:rPr>
          <w:rFonts w:ascii="Times New Roman" w:cs="Times New Roman" w:eastAsia="Times New Roman" w:hAnsi="Times New Roman"/>
          <w:b w:val="false"/>
          <w:bCs w:val="false"/>
          <w:i w:val="false"/>
          <w:iCs w:val="false"/>
          <w:color w:val="1F2937"/>
          <w:sz w:val="22"/>
          <w:szCs w:val="22"/>
        </w:rPr>
        <w:t xml:space="preserve">En reconnaissant tes transes naturalistes, tu découvres que tu entres déjà spontanément en auto-hypnose. Les leçons suivantes vont simplement t'apprendre à le faire intentionnellement.</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Challenge de la leçon</w:t>
      </w:r>
    </w:p>
    <w:p>
      <w:pPr>
        <w:spacing w:after="80" w:before="60"/>
      </w:pPr>
      <w:r>
        <w:rPr>
          <w:rFonts w:ascii="Times New Roman" w:cs="Times New Roman" w:eastAsia="Times New Roman" w:hAnsi="Times New Roman"/>
          <w:b w:val="false"/>
          <w:bCs w:val="false"/>
          <w:i w:val="false"/>
          <w:iCs w:val="false"/>
          <w:color w:val="1F2937"/>
          <w:sz w:val="22"/>
          <w:szCs w:val="22"/>
        </w:rPr>
        <w:t xml:space="preserve">Rédige un texte d'induction de 10-15 phrases en combinant les styles : commence par un style classique (3 phrases directives pour ancrer le corps), puis bascule vers un style ericksonien (7-10 phrases permissives pour approfondir la transe).</w:t>
      </w:r>
    </w:p>
    <w:p>
      <w:pPr>
        <w:spacing w:after="80" w:before="60"/>
      </w:pPr>
      <w:r>
        <w:rPr>
          <w:rFonts w:ascii="Times New Roman" w:cs="Times New Roman" w:eastAsia="Times New Roman" w:hAnsi="Times New Roman"/>
          <w:b/>
          <w:bCs/>
          <w:i w:val="false"/>
          <w:iCs w:val="false"/>
          <w:color w:val="1F2937"/>
          <w:sz w:val="22"/>
          <w:szCs w:val="22"/>
        </w:rPr>
        <w:t xml:space="preserve">Critères de réussite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La transition entre les deux styles est fluide, pas abrupte.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Le texte sonne naturel quand tu te le récites à voix basse.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Tu peux l'utiliser comme ton induction personnelle pour les séances des semaines à venir.</w:t>
      </w:r>
    </w:p>
    <w:p>
      <w:pPr>
        <w:spacing w:after="80" w:before="60"/>
      </w:pPr>
      <w:r>
        <w:rPr>
          <w:rFonts w:ascii="Times New Roman" w:cs="Times New Roman" w:eastAsia="Times New Roman" w:hAnsi="Times New Roman"/>
          <w:b w:val="false"/>
          <w:bCs w:val="false"/>
          <w:i w:val="false"/>
          <w:iCs w:val="false"/>
          <w:color w:val="1F2937"/>
          <w:sz w:val="22"/>
          <w:szCs w:val="22"/>
        </w:rPr>
        <w:t xml:space="preserve">Conseil : écris d'abord, puis lis à voix haute. Le corps donne souvent un signal immédiat sur ce qui « fonctionne » (respiration qui ralentit, yeux qui s'alourdissent).</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Pont pro (optionnel)</w:t>
      </w:r>
    </w:p>
    <w:p>
      <w:pPr>
        <w:spacing w:after="80" w:before="60"/>
      </w:pPr>
      <w:r>
        <w:rPr>
          <w:rFonts w:ascii="Times New Roman" w:cs="Times New Roman" w:eastAsia="Times New Roman" w:hAnsi="Times New Roman"/>
          <w:b w:val="false"/>
          <w:bCs w:val="false"/>
          <w:i/>
          <w:iCs/>
          <w:color w:val="1F2937"/>
          <w:sz w:val="22"/>
          <w:szCs w:val="22"/>
        </w:rPr>
        <w:t xml:space="preserve">En tant que chef de service en ESSMS, la distinction entre langage directif et langage permissif est un outil de communication précieux — indépendamment de toute pratique hypnotique. L'approche ericksonienne (suggestion douce, ouverture du possible, respect du rythme de l'autre) peut inspirer la façon de formuler les demandes à son équipe ou d'accompagner les personnes dans les moments de crise ou de résistance.</w:t>
      </w:r>
    </w:p>
    <w:p>
      <w:pPr>
        <w:spacing w:after="80" w:before="60"/>
      </w:pPr>
      <w:r>
        <w:rPr>
          <w:rFonts w:ascii="Times New Roman" w:cs="Times New Roman" w:eastAsia="Times New Roman" w:hAnsi="Times New Roman"/>
          <w:b w:val="false"/>
          <w:bCs w:val="false"/>
          <w:i/>
          <w:iCs/>
          <w:color w:val="1F2937"/>
          <w:sz w:val="22"/>
          <w:szCs w:val="22"/>
        </w:rPr>
        <w:t xml:space="preserve">⚠️ Rappel déontologique impératif : pratiquer l'hypnose sur des personnes accompagnées (adultes en situation de handicap mental et psychique) sans formation qualifiante est à proscrire. Cela relève d'un cadre thérapeutique exigeant des compétences spécialisées, une supervision, et un consentement explicitement éclairé.</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Ressources pour approfondir ce thème</w:t>
      </w:r>
    </w:p>
    <w:p>
      <w:pPr>
        <w:spacing w:after="80" w:before="60"/>
      </w:pPr>
      <w:r>
        <w:rPr>
          <w:rFonts w:ascii="Times New Roman" w:cs="Times New Roman" w:eastAsia="Times New Roman" w:hAnsi="Times New Roman"/>
          <w:b w:val="false"/>
          <w:bCs w:val="false"/>
          <w:i w:val="false"/>
          <w:iCs w:val="false"/>
          <w:color w:val="1F2937"/>
          <w:sz w:val="22"/>
          <w:szCs w:val="22"/>
        </w:rPr>
        <w:t xml:space="preserve">Sources consultées pour cette leçon :</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Harmonesis — </w:t>
      </w:r>
      <w:hyperlink w:history="1" r:id="rId4d1aht-2w_uoi-pxdseq6">
        <w:r>
          <w:rPr>
            <w:rFonts w:ascii="Times New Roman" w:cs="Times New Roman" w:eastAsia="Times New Roman" w:hAnsi="Times New Roman"/>
            <w:color w:val="1155CC"/>
            <w:sz w:val="22"/>
            <w:szCs w:val="22"/>
            <w:u w:val="single"/>
          </w:rPr>
          <w:t xml:space="preserve">Les 4 formes d'hypnose : usages, bienfaits et différences</w:t>
        </w:r>
      </w:hyperlink>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Milton H. Erickson Foundation — </w:t>
      </w:r>
      <w:hyperlink w:history="1" r:id="rIdu6utcctyloc5xpqnp78il">
        <w:r>
          <w:rPr>
            <w:rFonts w:ascii="Times New Roman" w:cs="Times New Roman" w:eastAsia="Times New Roman" w:hAnsi="Times New Roman"/>
            <w:color w:val="1155CC"/>
            <w:sz w:val="22"/>
            <w:szCs w:val="22"/>
            <w:u w:val="single"/>
          </w:rPr>
          <w:t xml:space="preserve">Site officiel de la fondation Erickson</w:t>
        </w:r>
      </w:hyperlink>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Hypnoseetcoach.fr — </w:t>
      </w:r>
      <w:hyperlink w:history="1" r:id="rIdn91zmuaqhxphqlewyzhzu">
        <w:r>
          <w:rPr>
            <w:rFonts w:ascii="Times New Roman" w:cs="Times New Roman" w:eastAsia="Times New Roman" w:hAnsi="Times New Roman"/>
            <w:color w:val="1155CC"/>
            <w:sz w:val="22"/>
            <w:szCs w:val="22"/>
            <w:u w:val="single"/>
          </w:rPr>
          <w:t xml:space="preserve">Hypnose classique, ericksonienne, humaniste : différences</w:t>
        </w:r>
      </w:hyperlink>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IFHE Formations — </w:t>
      </w:r>
      <w:hyperlink w:history="1" r:id="rId2nxfy7kqtbzresrst3wbf">
        <w:r>
          <w:rPr>
            <w:rFonts w:ascii="Times New Roman" w:cs="Times New Roman" w:eastAsia="Times New Roman" w:hAnsi="Times New Roman"/>
            <w:color w:val="1155CC"/>
            <w:sz w:val="22"/>
            <w:szCs w:val="22"/>
            <w:u w:val="single"/>
          </w:rPr>
          <w:t xml:space="preserve">Quelle hypnose choisir ? Classique, Ericksonienne, Humaniste</w:t>
        </w:r>
      </w:hyperlink>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Terapiz — </w:t>
      </w:r>
      <w:hyperlink w:history="1" r:id="rIdkscdxe-swjmcyhrz8fg6z">
        <w:r>
          <w:rPr>
            <w:rFonts w:ascii="Times New Roman" w:cs="Times New Roman" w:eastAsia="Times New Roman" w:hAnsi="Times New Roman"/>
            <w:color w:val="1155CC"/>
            <w:sz w:val="22"/>
            <w:szCs w:val="22"/>
            <w:u w:val="single"/>
          </w:rPr>
          <w:t xml:space="preserve">Hypnose ericksonienne : comprendre cette approche douce</w:t>
        </w:r>
      </w:hyperlink>
    </w:p>
    <w:p>
      <w:pPr>
        <w:spacing w:before="60"/>
      </w:pPr>
    </w:p>
    <w:p>
      <w:pPr>
        <w:spacing w:after="80" w:before="60"/>
      </w:pPr>
      <w:r>
        <w:rPr>
          <w:rFonts w:ascii="Times New Roman" w:cs="Times New Roman" w:eastAsia="Times New Roman" w:hAnsi="Times New Roman"/>
          <w:b w:val="false"/>
          <w:bCs w:val="false"/>
          <w:i w:val="false"/>
          <w:iCs w:val="false"/>
          <w:color w:val="1F2937"/>
          <w:sz w:val="22"/>
          <w:szCs w:val="22"/>
        </w:rPr>
        <w:t xml:space="preserve">Sources non accessibles (mode headless)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apa.org ⛔ (contenu vide)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hypnose.fr ⛔ (JavaScript uniquement, pas de texte extractible)</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Prochaine leçon — n°04</w:t>
      </w:r>
    </w:p>
    <w:p>
      <w:pPr>
        <w:shd w:fill="EEF2F7" w:color="EEF2F7" w:val="solid"/>
        <w:spacing w:after="40" w:before="40"/>
        <w:ind w:left="431" w:right="431"/>
      </w:pPr>
      <w:r>
        <w:rPr>
          <w:rFonts w:ascii="Times New Roman" w:cs="Times New Roman" w:eastAsia="Times New Roman" w:hAnsi="Times New Roman"/>
          <w:color w:val="1F2937"/>
          <w:sz w:val="20"/>
          <w:szCs w:val="20"/>
        </w:rPr>
        <w:t xml:space="preserve">Thème : Le langage hypnotique</w:t>
      </w:r>
    </w:p>
    <w:p>
      <w:pPr>
        <w:shd w:fill="EEF2F7" w:color="EEF2F7" w:val="solid"/>
        <w:spacing w:after="40" w:before="40"/>
        <w:ind w:left="431" w:right="431"/>
      </w:pPr>
      <w:r>
        <w:rPr>
          <w:rFonts w:ascii="Times New Roman" w:cs="Times New Roman" w:eastAsia="Times New Roman" w:hAnsi="Times New Roman"/>
          <w:color w:val="1F2937"/>
          <w:sz w:val="20"/>
          <w:szCs w:val="20"/>
        </w:rPr>
        <w:t xml:space="preserve">Au programme : suggestion, truismes, présupposés, double lien, métaphores, saupoudrage.</w:t>
      </w:r>
    </w:p>
    <w:p>
      <w:pPr>
        <w:shd w:fill="EEF2F7" w:color="EEF2F7" w:val="solid"/>
        <w:spacing w:after="40" w:before="40"/>
        <w:ind w:left="431" w:right="431"/>
      </w:pPr>
      <w:r>
        <w:rPr>
          <w:rFonts w:ascii="Times New Roman" w:cs="Times New Roman" w:eastAsia="Times New Roman" w:hAnsi="Times New Roman"/>
          <w:color w:val="1F2937"/>
          <w:sz w:val="20"/>
          <w:szCs w:val="20"/>
        </w:rPr>
        <w:t xml:space="preserve">Tu passeras de la compréhension des courants à la maîtrise des outils linguistiques qui les rendent opérationnels.</w:t>
      </w:r>
    </w:p>
    <w:p>
      <w:pPr>
        <w:spacing w:before="120"/>
      </w:pPr>
    </w:p>
    <w:p>
      <w:pPr>
        <w:pBdr>
          <w:bottom w:val="single" w:color="1B3A6B" w:sz="4"/>
        </w:pBdr>
        <w:spacing w:after="120" w:before="120"/>
      </w:pP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 Journal des corrections — 11 septembre 2026</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Relue le 11/09/2026 par le test d'attribution des pages. UNE correction.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① Un aphorisme d'Erickson entre guillemets, sur aucune source. « Every person's map of the world is as unique as their thumbprint… » était attribué nommément à Milton H. Erickson. La formule circule largement, mais elle ne figure sur aucune des cinq sources de la leçon. Guillemets et attribution stricte remplacés par « largement attribué à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② Une des cinq ressources ne peut rien confirmer, et c'est écrit. hypnoseetcoach.fr/quelle-difference-y-a-t-il-entre-hypnose-classique-ericksonienne-et-humaniste/ RÉPOND 200 AVEC ZÉRO OCTET — mesuré deux fois le 11/09/2026. Un code de retour 200 sur un corps vide est le cas limite du garde-fou du parcours : le code ne dit rien du contenu. Cette ressource est conservée pour mémoire, mais aucune affirmation ne peut s'y adosser.</w:t>
      </w:r>
    </w:p>
    <w:p>
      <w:pPr>
        <w:spacing w:before="80"/>
        <w:jc w:val="center"/>
      </w:pPr>
      <w:r>
        <w:rPr>
          <w:rFonts w:ascii="Times New Roman" w:cs="Times New Roman" w:eastAsia="Times New Roman" w:hAnsi="Times New Roman"/>
          <w:i/>
          <w:iCs/>
          <w:color w:val="9CA3AF"/>
          <w:sz w:val="16"/>
          <w:szCs w:val="16"/>
        </w:rPr>
        <w:t xml:space="preserve">Parcours Hypnose &amp; auto-hypnose — usage personnel, développement personnel uniquement. Non substitutable à un avis médical ou psychologique.</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d1aht-2w_uoi-pxdseq6" Type="http://schemas.openxmlformats.org/officeDocument/2006/relationships/hyperlink" Target="https://harmonesis.com/blog/4-formes-hypnose/" TargetMode="External"/><Relationship Id="rIdu6utcctyloc5xpqnp78il" Type="http://schemas.openxmlformats.org/officeDocument/2006/relationships/hyperlink" Target="https://www.erickson-foundation.org/" TargetMode="External"/><Relationship Id="rIdn91zmuaqhxphqlewyzhzu" Type="http://schemas.openxmlformats.org/officeDocument/2006/relationships/hyperlink" Target="https://www.hypnoseetcoach.fr/quelle-difference-y-a-t-il-entre-hypnose-classique-ericksonienne-et-humaniste/" TargetMode="External"/><Relationship Id="rId2nxfy7kqtbzresrst3wbf" Type="http://schemas.openxmlformats.org/officeDocument/2006/relationships/hyperlink" Target="https://ifhe-formations.com/choisir-hypnose" TargetMode="External"/><Relationship Id="rIdkscdxe-swjmcyhrz8fg6z" Type="http://schemas.openxmlformats.org/officeDocument/2006/relationships/hyperlink" Target="https://terapiz.com/blog/hypnose-ericksonienne-definition/"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2026-06-28T07:06:39.639Z</dcterms:created>
  <dcterms:modified xsi:type="dcterms:W3CDTF">2026-06-28T07:06:39.640Z</dcterms:modified>
</cp:coreProperties>
</file>

<file path=docProps/custom.xml><?xml version="1.0" encoding="utf-8"?>
<Properties xmlns="http://schemas.openxmlformats.org/officeDocument/2006/custom-properties" xmlns:vt="http://schemas.openxmlformats.org/officeDocument/2006/docPropsVTypes"/>
</file>