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1B3A6B"/>
          <w:sz w:val="40"/>
          <w:szCs w:val="40"/>
        </w:rPr>
        <w:t xml:space="preserve">Veille SERAFIN-PH</w:t>
      </w:r>
    </w:p>
    <w:p>
      <w:pPr>
        <w:spacing w:after="40"/>
        <w:jc w:val="center"/>
      </w:pPr>
      <w:r>
        <w:rPr>
          <w:rFonts w:ascii="Calibri" w:cs="Calibri" w:eastAsia="Calibri" w:hAnsi="Calibri"/>
          <w:color w:val="444444"/>
          <w:sz w:val="24"/>
          <w:szCs w:val="24"/>
        </w:rPr>
        <w:t xml:space="preserve">Synthèse hebdomadaire — 19 août 2026</w:t>
      </w:r>
    </w:p>
    <w:p>
      <w:pPr>
        <w:spacing w:after="200"/>
        <w:jc w:val="center"/>
      </w:pPr>
      <w:r>
        <w:rPr>
          <w:rFonts w:ascii="Calibri" w:cs="Calibri" w:eastAsia="Calibri" w:hAnsi="Calibri"/>
          <w:i/>
          <w:iCs/>
          <w:color w:val="666666"/>
          <w:sz w:val="22"/>
          <w:szCs w:val="22"/>
        </w:rPr>
        <w:t xml:space="preserve">Fenêtre couverte : 12 août 2026 → 19 août 2026</w:t>
      </w:r>
    </w:p>
    <w:p>
      <w:pPr>
        <w:pBdr>
          <w:bottom w:val="single" w:color="1B3A6B" w:sz="6" w:space="4"/>
        </w:pBdr>
        <w:spacing w:after="80" w:before="240"/>
      </w:pPr>
      <w:r>
        <w:rPr>
          <w:rFonts w:ascii="Calibri" w:cs="Calibri" w:eastAsia="Calibri" w:hAnsi="Calibri"/>
          <w:b/>
          <w:bCs/>
          <w:color w:val="1B3A6B"/>
          <w:sz w:val="28"/>
          <w:szCs w:val="28"/>
        </w:rPr>
        <w:t xml:space="preserve">Sources consultées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bottom w:type="dxa" w:w="160"/>
        </w:tblCellMar>
      </w:tblPr>
      <w:tblGrid>
        <w:gridCol w:w="100"/>
        <w:gridCol w:w="100"/>
        <w:gridCol w:w="100"/>
        <w:gridCol w:w="100"/>
      </w:tblGrid>
      <w:tr>
        <w:trPr>
          <w:tblHeader/>
        </w:trPr>
        <w:tc>
          <w:tcPr>
            <w:shd w:fill="1B3A6B" w:val="clear"/>
            <w:tcMar>
              <w:top w:type="dxa" w:w="60"/>
              <w:left w:type="dxa" w:w="80"/>
              <w:bottom w:type="dxa" w:w="60"/>
              <w:right w:type="dxa" w:w="80"/>
            </w:tcMar>
          </w:tcPr>
          <w:p>
            <w:pPr>
              <w:jc w:val="center"/>
            </w:pPr>
            <w:r>
              <w:rPr>
                <w:rFonts w:ascii="Calibri" w:cs="Calibri" w:eastAsia="Calibri" w:hAnsi="Calibri"/>
                <w:b/>
                <w:bCs/>
                <w:color w:val="FFFFFF"/>
                <w:sz w:val="20"/>
                <w:szCs w:val="20"/>
              </w:rPr>
              <w:t xml:space="preserve">Source</w:t>
            </w:r>
          </w:p>
        </w:tc>
        <w:tc>
          <w:tcPr>
            <w:shd w:fill="1B3A6B" w:val="clear"/>
            <w:tcMar>
              <w:top w:type="dxa" w:w="60"/>
              <w:left w:type="dxa" w:w="80"/>
              <w:bottom w:type="dxa" w:w="60"/>
              <w:right w:type="dxa" w:w="80"/>
            </w:tcMar>
          </w:tcPr>
          <w:p>
            <w:pPr>
              <w:jc w:val="center"/>
            </w:pPr>
            <w:r>
              <w:rPr>
                <w:rFonts w:ascii="Calibri" w:cs="Calibri" w:eastAsia="Calibri" w:hAnsi="Calibri"/>
                <w:b/>
                <w:bCs/>
                <w:color w:val="FFFFFF"/>
                <w:sz w:val="20"/>
                <w:szCs w:val="20"/>
              </w:rPr>
              <w:t xml:space="preserve">URL</w:t>
            </w:r>
          </w:p>
        </w:tc>
        <w:tc>
          <w:tcPr>
            <w:shd w:fill="1B3A6B" w:val="clear"/>
            <w:tcMar>
              <w:top w:type="dxa" w:w="60"/>
              <w:left w:type="dxa" w:w="80"/>
              <w:bottom w:type="dxa" w:w="60"/>
              <w:right w:type="dxa" w:w="80"/>
            </w:tcMar>
          </w:tcPr>
          <w:p>
            <w:pPr>
              <w:jc w:val="center"/>
            </w:pPr>
            <w:r>
              <w:rPr>
                <w:rFonts w:ascii="Calibri" w:cs="Calibri" w:eastAsia="Calibri" w:hAnsi="Calibri"/>
                <w:b/>
                <w:bCs/>
                <w:color w:val="FFFFFF"/>
                <w:sz w:val="20"/>
                <w:szCs w:val="20"/>
              </w:rPr>
              <w:t xml:space="preserve">Statut</w:t>
            </w:r>
          </w:p>
        </w:tc>
        <w:tc>
          <w:tcPr>
            <w:shd w:fill="1B3A6B" w:val="clear"/>
            <w:tcMar>
              <w:top w:type="dxa" w:w="60"/>
              <w:left w:type="dxa" w:w="80"/>
              <w:bottom w:type="dxa" w:w="60"/>
              <w:right w:type="dxa" w:w="80"/>
            </w:tcMar>
          </w:tcPr>
          <w:p>
            <w:pPr>
              <w:jc w:val="center"/>
            </w:pPr>
            <w:r>
              <w:rPr>
                <w:rFonts w:ascii="Calibri" w:cs="Calibri" w:eastAsia="Calibri" w:hAnsi="Calibri"/>
                <w:b/>
                <w:bCs/>
                <w:color w:val="FFFFFF"/>
                <w:sz w:val="20"/>
                <w:szCs w:val="20"/>
              </w:rPr>
              <w:t xml:space="preserve">Contribution</w:t>
            </w:r>
          </w:p>
        </w:tc>
      </w:tr>
      <w:tr>
        <w:tc>
          <w:tcPr>
            <w:shd w:fill="FFFFFF" w:val="clear"/>
            <w:tcMar>
              <w:top w:type="dxa" w:w="50"/>
              <w:left w:type="dxa" w:w="80"/>
              <w:bottom w:type="dxa" w:w="50"/>
              <w:right w:type="dxa" w:w="80"/>
            </w:tcMar>
          </w:tcPr>
          <w:p>
            <w:r>
              <w:rPr>
                <w:rFonts w:ascii="Calibri" w:cs="Calibri" w:eastAsia="Calibri" w:hAnsi="Calibri"/>
                <w:color w:val="1F2937"/>
                <w:sz w:val="20"/>
                <w:szCs w:val="20"/>
              </w:rPr>
              <w:t xml:space="preserve">handicap.gouv.fr — Comité stratégique SERAFIN-PH</w:t>
            </w:r>
          </w:p>
        </w:tc>
        <w:tc>
          <w:tcPr>
            <w:shd w:fill="FFFFFF" w:val="clear"/>
            <w:tcMar>
              <w:top w:type="dxa" w:w="50"/>
              <w:left w:type="dxa" w:w="80"/>
              <w:bottom w:type="dxa" w:w="50"/>
              <w:right w:type="dxa" w:w="80"/>
            </w:tcMar>
          </w:tcPr>
          <w:p>
            <w:r>
              <w:rPr>
                <w:rFonts w:ascii="Calibri" w:cs="Calibri" w:eastAsia="Calibri" w:hAnsi="Calibri"/>
                <w:color w:val="1F2937"/>
                <w:sz w:val="20"/>
                <w:szCs w:val="20"/>
              </w:rPr>
              <w:t xml:space="preserve">handicap.gouv.fr</w:t>
            </w:r>
          </w:p>
        </w:tc>
        <w:tc>
          <w:tcPr>
            <w:shd w:fill="FFFFFF" w:val="clear"/>
            <w:tcMar>
              <w:top w:type="dxa" w:w="50"/>
              <w:left w:type="dxa" w:w="80"/>
              <w:bottom w:type="dxa" w:w="50"/>
              <w:right w:type="dxa" w:w="80"/>
            </w:tcMar>
          </w:tcPr>
          <w:p>
            <w:r>
              <w:rPr>
                <w:rFonts w:ascii="Calibri" w:cs="Calibri" w:eastAsia="Calibri" w:hAnsi="Calibri"/>
                <w:color w:val="1F2937"/>
                <w:sz w:val="20"/>
                <w:szCs w:val="20"/>
              </w:rPr>
              <w:t xml:space="preserve">✅ consultée</w:t>
            </w:r>
          </w:p>
        </w:tc>
        <w:tc>
          <w:tcPr>
            <w:shd w:fill="FFFFFF" w:val="clear"/>
            <w:tcMar>
              <w:top w:type="dxa" w:w="50"/>
              <w:left w:type="dxa" w:w="80"/>
              <w:bottom w:type="dxa" w:w="50"/>
              <w:right w:type="dxa" w:w="80"/>
            </w:tcMar>
          </w:tcPr>
          <w:p>
            <w:r>
              <w:rPr>
                <w:rFonts w:ascii="Calibri" w:cs="Calibri" w:eastAsia="Calibri" w:hAnsi="Calibri"/>
                <w:color w:val="1F2937"/>
                <w:sz w:val="20"/>
                <w:szCs w:val="20"/>
              </w:rPr>
              <w:t xml:space="preserve">Consultée, dernière mise à jour : 3 juillet 2025 — aucun élément dans la fenêtre du 12-19/08/2026</w:t>
            </w:r>
          </w:p>
        </w:tc>
      </w:tr>
      <w:tr>
        <w:tc>
          <w:tcPr>
            <w:shd w:fill="EEF2F7" w:val="clear"/>
            <w:tcMar>
              <w:top w:type="dxa" w:w="50"/>
              <w:left w:type="dxa" w:w="80"/>
              <w:bottom w:type="dxa" w:w="50"/>
              <w:right w:type="dxa" w:w="80"/>
            </w:tcMar>
          </w:tcPr>
          <w:p>
            <w:r>
              <w:rPr>
                <w:rFonts w:ascii="Calibri" w:cs="Calibri" w:eastAsia="Calibri" w:hAnsi="Calibri"/>
                <w:color w:val="1F2937"/>
                <w:sz w:val="20"/>
                <w:szCs w:val="20"/>
              </w:rPr>
              <w:t xml:space="preserve">CNSA — Recueil PH 2026</w:t>
            </w:r>
          </w:p>
        </w:tc>
        <w:tc>
          <w:tcPr>
            <w:shd w:fill="EEF2F7" w:val="clear"/>
            <w:tcMar>
              <w:top w:type="dxa" w:w="50"/>
              <w:left w:type="dxa" w:w="80"/>
              <w:bottom w:type="dxa" w:w="50"/>
              <w:right w:type="dxa" w:w="80"/>
            </w:tcMar>
          </w:tcPr>
          <w:p>
            <w:r>
              <w:rPr>
                <w:rFonts w:ascii="Calibri" w:cs="Calibri" w:eastAsia="Calibri" w:hAnsi="Calibri"/>
                <w:color w:val="1F2937"/>
                <w:sz w:val="20"/>
                <w:szCs w:val="20"/>
              </w:rPr>
              <w:t xml:space="preserve">cnsa.fr</w:t>
            </w:r>
          </w:p>
        </w:tc>
        <w:tc>
          <w:tcPr>
            <w:shd w:fill="EEF2F7" w:val="clear"/>
            <w:tcMar>
              <w:top w:type="dxa" w:w="50"/>
              <w:left w:type="dxa" w:w="80"/>
              <w:bottom w:type="dxa" w:w="50"/>
              <w:right w:type="dxa" w:w="80"/>
            </w:tcMar>
          </w:tcPr>
          <w:p>
            <w:r>
              <w:rPr>
                <w:rFonts w:ascii="Calibri" w:cs="Calibri" w:eastAsia="Calibri" w:hAnsi="Calibri"/>
                <w:color w:val="1F2937"/>
                <w:sz w:val="20"/>
                <w:szCs w:val="20"/>
              </w:rPr>
              <w:t xml:space="preserve">✅ consultée</w:t>
            </w:r>
          </w:p>
        </w:tc>
        <w:tc>
          <w:tcPr>
            <w:shd w:fill="EEF2F7" w:val="clear"/>
            <w:tcMar>
              <w:top w:type="dxa" w:w="50"/>
              <w:left w:type="dxa" w:w="80"/>
              <w:bottom w:type="dxa" w:w="50"/>
              <w:right w:type="dxa" w:w="80"/>
            </w:tcMar>
          </w:tcPr>
          <w:p>
            <w:r>
              <w:rPr>
                <w:rFonts w:ascii="Calibri" w:cs="Calibri" w:eastAsia="Calibri" w:hAnsi="Calibri"/>
                <w:color w:val="1F2937"/>
                <w:sz w:val="20"/>
                <w:szCs w:val="20"/>
              </w:rPr>
              <w:t xml:space="preserve">Publication du 17/12/2025 — reprise en section « Rappel / contexte »</w:t>
            </w:r>
          </w:p>
        </w:tc>
      </w:tr>
      <w:tr>
        <w:tc>
          <w:tcPr>
            <w:shd w:fill="FFFFFF" w:val="clear"/>
            <w:tcMar>
              <w:top w:type="dxa" w:w="50"/>
              <w:left w:type="dxa" w:w="80"/>
              <w:bottom w:type="dxa" w:w="50"/>
              <w:right w:type="dxa" w:w="80"/>
            </w:tcMar>
          </w:tcPr>
          <w:p>
            <w:r>
              <w:rPr>
                <w:rFonts w:ascii="Calibri" w:cs="Calibri" w:eastAsia="Calibri" w:hAnsi="Calibri"/>
                <w:color w:val="1F2937"/>
                <w:sz w:val="20"/>
                <w:szCs w:val="20"/>
              </w:rPr>
              <w:t xml:space="preserve">ATIH — Personnes handicapées</w:t>
            </w:r>
          </w:p>
        </w:tc>
        <w:tc>
          <w:tcPr>
            <w:shd w:fill="FFFFFF" w:val="clear"/>
            <w:tcMar>
              <w:top w:type="dxa" w:w="50"/>
              <w:left w:type="dxa" w:w="80"/>
              <w:bottom w:type="dxa" w:w="50"/>
              <w:right w:type="dxa" w:w="80"/>
            </w:tcMar>
          </w:tcPr>
          <w:p>
            <w:r>
              <w:rPr>
                <w:rFonts w:ascii="Calibri" w:cs="Calibri" w:eastAsia="Calibri" w:hAnsi="Calibri"/>
                <w:color w:val="1F2937"/>
                <w:sz w:val="20"/>
                <w:szCs w:val="20"/>
              </w:rPr>
              <w:t xml:space="preserve">atih.sante.fr</w:t>
            </w:r>
          </w:p>
        </w:tc>
        <w:tc>
          <w:tcPr>
            <w:shd w:fill="FFFFFF" w:val="clear"/>
            <w:tcMar>
              <w:top w:type="dxa" w:w="50"/>
              <w:left w:type="dxa" w:w="80"/>
              <w:bottom w:type="dxa" w:w="50"/>
              <w:right w:type="dxa" w:w="80"/>
            </w:tcMar>
          </w:tcPr>
          <w:p>
            <w:r>
              <w:rPr>
                <w:rFonts w:ascii="Calibri" w:cs="Calibri" w:eastAsia="Calibri" w:hAnsi="Calibri"/>
                <w:color w:val="1F2937"/>
                <w:sz w:val="20"/>
                <w:szCs w:val="20"/>
              </w:rPr>
              <w:t xml:space="preserve">⛔ 403</w:t>
            </w:r>
          </w:p>
        </w:tc>
        <w:tc>
          <w:tcPr>
            <w:shd w:fill="FFFFFF" w:val="clear"/>
            <w:tcMar>
              <w:top w:type="dxa" w:w="50"/>
              <w:left w:type="dxa" w:w="80"/>
              <w:bottom w:type="dxa" w:w="50"/>
              <w:right w:type="dxa" w:w="80"/>
            </w:tcMar>
          </w:tcPr>
          <w:p>
            <w:r>
              <w:rPr>
                <w:rFonts w:ascii="Calibri" w:cs="Calibri" w:eastAsia="Calibri" w:hAnsi="Calibri"/>
                <w:color w:val="1F2937"/>
                <w:sz w:val="20"/>
                <w:szCs w:val="20"/>
              </w:rPr>
              <w:t xml:space="preserve">Page bloquée côté serveur (anti-robot). Non exploitable. WebSearch utilisé en relais (résultats partiels)</w:t>
            </w:r>
          </w:p>
        </w:tc>
      </w:tr>
    </w:tbl>
    <w:p>
      <w:pPr>
        <w:spacing w:after="40"/>
      </w:pPr>
      <w:r>
        <w:rPr>
          <w:rFonts w:ascii="Calibri" w:cs="Calibri" w:eastAsia="Calibri" w:hAnsi="Calibri"/>
          <w:i/>
          <w:iCs/>
          <w:color w:val="666666"/>
          <w:sz w:val="20"/>
          <w:szCs w:val="20"/>
        </w:rPr>
        <w:t xml:space="preserve">Décompte : 2/3 sources documentaires réellement consultées (✅). ATIH ⛔ non comptabilisée.</w:t>
      </w:r>
    </w:p>
    <w:p>
      <w:pPr>
        <w:pBdr>
          <w:bottom w:val="single" w:color="CCCCCC" w:sz="4" w:space="6"/>
        </w:pBdr>
        <w:spacing w:after="80" w:before="80"/>
      </w:pPr>
    </w:p>
    <w:p>
      <w:pPr>
        <w:pBdr>
          <w:bottom w:val="single" w:color="1B3A6B" w:sz="6" w:space="4"/>
        </w:pBdr>
        <w:spacing w:after="80" w:before="240"/>
      </w:pPr>
      <w:r>
        <w:rPr>
          <w:rFonts w:ascii="Calibri" w:cs="Calibri" w:eastAsia="Calibri" w:hAnsi="Calibri"/>
          <w:b/>
          <w:bCs/>
          <w:color w:val="1B3A6B"/>
          <w:sz w:val="28"/>
          <w:szCs w:val="28"/>
        </w:rPr>
        <w:t xml:space="preserve">🔵 En bref — Tableau de bord</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bottom w:type="dxa" w:w="120"/>
        </w:tblCellMar>
      </w:tblPr>
      <w:tblGrid>
        <w:gridCol w:w="100"/>
      </w:tblGrid>
      <w:tr>
        <w:tc>
          <w:tcPr>
            <w:tcBorders>
              <w:top w:val="single" w:color="1B3A6B" w:sz="4"/>
              <w:left w:val="single" w:color="1B3A6B" w:sz="4"/>
              <w:bottom w:val="single" w:color="1B3A6B" w:sz="4"/>
              <w:right w:val="single" w:color="1B3A6B" w:sz="4"/>
            </w:tcBorders>
            <w:shd w:fill="FFE0B2" w:val="clear"/>
            <w:tcMar>
              <w:top w:type="dxa" w:w="80"/>
              <w:left w:type="dxa" w:w="100"/>
              <w:bottom w:type="dxa" w:w="80"/>
              <w:right w:type="dxa" w:w="100"/>
            </w:tcMar>
          </w:tcPr>
          <w:p>
            <w:pPr>
              <w:spacing w:after="30"/>
            </w:pPr>
            <w:r>
              <w:rPr>
                <w:rFonts w:ascii="Calibri" w:cs="Calibri" w:eastAsia="Calibri" w:hAnsi="Calibri"/>
                <w:b/>
                <w:bCs/>
                <w:color w:val="1F2937"/>
                <w:sz w:val="22"/>
                <w:szCs w:val="22"/>
              </w:rPr>
              <w:t xml:space="preserve">⚠️ Semaine creuse — aucune nouveauté dans la fenêtre du 12 au 19 août 2026</w:t>
            </w:r>
          </w:p>
          <w:p>
            <w:pPr>
              <w:spacing w:after="0"/>
            </w:pPr>
            <w:r>
              <w:rPr>
                <w:rFonts w:ascii="Calibri" w:cs="Calibri" w:eastAsia="Calibri" w:hAnsi="Calibri"/>
                <w:color w:val="1F2937"/>
                <w:sz w:val="22"/>
                <w:szCs w:val="22"/>
              </w:rPr>
              <w:t xml:space="preserve">Aucune publication officielle (décret, arrêté, communiqué CNSA/DGCS/ATIH) datée entre le 12 et le 19 août 2026 n'a été identifiée dans les sources consultées. Cette absence est documentée sincèrement (cf. garde-fou qualité — semaine creuse assumée). Les éléments de contexte récents sont présentés dans la section « Rappel / contexte » ci-dessous.</w:t>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bottom w:type="dxa" w:w="160"/>
        </w:tblCellMar>
      </w:tblPr>
      <w:tblGrid>
        <w:gridCol w:w="100"/>
        <w:gridCol w:w="100"/>
        <w:gridCol w:w="100"/>
      </w:tblGrid>
      <w:tr>
        <w:trPr>
          <w:tblHeader/>
        </w:trPr>
        <w:tc>
          <w:tcPr>
            <w:shd w:fill="1B3A6B" w:val="clear"/>
            <w:tcMar>
              <w:top w:type="dxa" w:w="60"/>
              <w:left w:type="dxa" w:w="80"/>
              <w:bottom w:type="dxa" w:w="60"/>
              <w:right w:type="dxa" w:w="80"/>
            </w:tcMar>
          </w:tcPr>
          <w:p>
            <w:pPr>
              <w:jc w:val="center"/>
            </w:pPr>
            <w:r>
              <w:rPr>
                <w:rFonts w:ascii="Calibri" w:cs="Calibri" w:eastAsia="Calibri" w:hAnsi="Calibri"/>
                <w:b/>
                <w:bCs/>
                <w:color w:val="FFFFFF"/>
                <w:sz w:val="20"/>
                <w:szCs w:val="20"/>
              </w:rPr>
              <w:t xml:space="preserve">Thème</w:t>
            </w:r>
          </w:p>
        </w:tc>
        <w:tc>
          <w:tcPr>
            <w:shd w:fill="1B3A6B" w:val="clear"/>
            <w:tcMar>
              <w:top w:type="dxa" w:w="60"/>
              <w:left w:type="dxa" w:w="80"/>
              <w:bottom w:type="dxa" w:w="60"/>
              <w:right w:type="dxa" w:w="80"/>
            </w:tcMar>
          </w:tcPr>
          <w:p>
            <w:pPr>
              <w:jc w:val="center"/>
            </w:pPr>
            <w:r>
              <w:rPr>
                <w:rFonts w:ascii="Calibri" w:cs="Calibri" w:eastAsia="Calibri" w:hAnsi="Calibri"/>
                <w:b/>
                <w:bCs/>
                <w:color w:val="FFFFFF"/>
                <w:sz w:val="20"/>
                <w:szCs w:val="20"/>
              </w:rPr>
              <w:t xml:space="preserve">Statut</w:t>
            </w:r>
          </w:p>
        </w:tc>
        <w:tc>
          <w:tcPr>
            <w:shd w:fill="1B3A6B" w:val="clear"/>
            <w:tcMar>
              <w:top w:type="dxa" w:w="60"/>
              <w:left w:type="dxa" w:w="80"/>
              <w:bottom w:type="dxa" w:w="60"/>
              <w:right w:type="dxa" w:w="80"/>
            </w:tcMar>
          </w:tcPr>
          <w:p>
            <w:pPr>
              <w:jc w:val="center"/>
            </w:pPr>
            <w:r>
              <w:rPr>
                <w:rFonts w:ascii="Calibri" w:cs="Calibri" w:eastAsia="Calibri" w:hAnsi="Calibri"/>
                <w:b/>
                <w:bCs/>
                <w:color w:val="FFFFFF"/>
                <w:sz w:val="20"/>
                <w:szCs w:val="20"/>
              </w:rPr>
              <w:t xml:space="preserve">Dernière date connue</w:t>
            </w:r>
          </w:p>
        </w:tc>
      </w:tr>
      <w:tr>
        <w:tc>
          <w:tcPr>
            <w:shd w:fill="FFFFFF" w:val="clear"/>
            <w:tcMar>
              <w:top w:type="dxa" w:w="50"/>
              <w:left w:type="dxa" w:w="80"/>
              <w:bottom w:type="dxa" w:w="50"/>
              <w:right w:type="dxa" w:w="80"/>
            </w:tcMar>
          </w:tcPr>
          <w:p>
            <w:r>
              <w:rPr>
                <w:rFonts w:ascii="Calibri" w:cs="Calibri" w:eastAsia="Calibri" w:hAnsi="Calibri"/>
                <w:color w:val="1F2937"/>
                <w:sz w:val="20"/>
                <w:szCs w:val="20"/>
              </w:rPr>
              <w:t xml:space="preserve">Décret transmission données SERAFIN-PH (ESMS enfants)</w:t>
            </w:r>
          </w:p>
        </w:tc>
        <w:tc>
          <w:tcPr>
            <w:shd w:fill="FFFFFF" w:val="clear"/>
            <w:tcMar>
              <w:top w:type="dxa" w:w="50"/>
              <w:left w:type="dxa" w:w="80"/>
              <w:bottom w:type="dxa" w:w="50"/>
              <w:right w:type="dxa" w:w="80"/>
            </w:tcMar>
          </w:tcPr>
          <w:p>
            <w:r>
              <w:rPr>
                <w:rFonts w:ascii="Calibri" w:cs="Calibri" w:eastAsia="Calibri" w:hAnsi="Calibri"/>
                <w:color w:val="1F2937"/>
                <w:sz w:val="20"/>
                <w:szCs w:val="20"/>
              </w:rPr>
              <w:t xml:space="preserve">✅ Publié — hors fenêtre</w:t>
            </w:r>
          </w:p>
        </w:tc>
        <w:tc>
          <w:tcPr>
            <w:shd w:fill="FFFFFF" w:val="clear"/>
            <w:tcMar>
              <w:top w:type="dxa" w:w="50"/>
              <w:left w:type="dxa" w:w="80"/>
              <w:bottom w:type="dxa" w:w="50"/>
              <w:right w:type="dxa" w:w="80"/>
            </w:tcMar>
          </w:tcPr>
          <w:p>
            <w:r>
              <w:rPr>
                <w:rFonts w:ascii="Calibri" w:cs="Calibri" w:eastAsia="Calibri" w:hAnsi="Calibri"/>
                <w:color w:val="1F2937"/>
                <w:sz w:val="20"/>
                <w:szCs w:val="20"/>
              </w:rPr>
              <w:t xml:space="preserve">JO du 16 mai 2026 (décision du 13 mai 2026)</w:t>
            </w:r>
          </w:p>
        </w:tc>
      </w:tr>
      <w:tr>
        <w:tc>
          <w:tcPr>
            <w:shd w:fill="EEF2F7" w:val="clear"/>
            <w:tcMar>
              <w:top w:type="dxa" w:w="50"/>
              <w:left w:type="dxa" w:w="80"/>
              <w:bottom w:type="dxa" w:w="50"/>
              <w:right w:type="dxa" w:w="80"/>
            </w:tcMar>
          </w:tcPr>
          <w:p>
            <w:r>
              <w:rPr>
                <w:rFonts w:ascii="Calibri" w:cs="Calibri" w:eastAsia="Calibri" w:hAnsi="Calibri"/>
                <w:color w:val="1F2937"/>
                <w:sz w:val="20"/>
                <w:szCs w:val="20"/>
              </w:rPr>
              <w:t xml:space="preserve">Recueil PH 2026 — collecte données ESMS enfants</w:t>
            </w:r>
          </w:p>
        </w:tc>
        <w:tc>
          <w:tcPr>
            <w:shd w:fill="EEF2F7" w:val="clear"/>
            <w:tcMar>
              <w:top w:type="dxa" w:w="50"/>
              <w:left w:type="dxa" w:w="80"/>
              <w:bottom w:type="dxa" w:w="50"/>
              <w:right w:type="dxa" w:w="80"/>
            </w:tcMar>
          </w:tcPr>
          <w:p>
            <w:r>
              <w:rPr>
                <w:rFonts w:ascii="Calibri" w:cs="Calibri" w:eastAsia="Calibri" w:hAnsi="Calibri"/>
                <w:color w:val="1F2937"/>
                <w:sz w:val="20"/>
                <w:szCs w:val="20"/>
              </w:rPr>
              <w:t xml:space="preserve">🔄 Phase export/simulation CNSA</w:t>
            </w:r>
          </w:p>
        </w:tc>
        <w:tc>
          <w:tcPr>
            <w:shd w:fill="EEF2F7" w:val="clear"/>
            <w:tcMar>
              <w:top w:type="dxa" w:w="50"/>
              <w:left w:type="dxa" w:w="80"/>
              <w:bottom w:type="dxa" w:w="50"/>
              <w:right w:type="dxa" w:w="80"/>
            </w:tcMar>
          </w:tcPr>
          <w:p>
            <w:r>
              <w:rPr>
                <w:rFonts w:ascii="Calibri" w:cs="Calibri" w:eastAsia="Calibri" w:hAnsi="Calibri"/>
                <w:color w:val="1F2937"/>
                <w:sz w:val="20"/>
                <w:szCs w:val="20"/>
              </w:rPr>
              <w:t xml:space="preserve">Prévu : juillet → fin 2026</w:t>
            </w:r>
          </w:p>
        </w:tc>
      </w:tr>
      <w:tr>
        <w:tc>
          <w:tcPr>
            <w:shd w:fill="FFFFFF" w:val="clear"/>
            <w:tcMar>
              <w:top w:type="dxa" w:w="50"/>
              <w:left w:type="dxa" w:w="80"/>
              <w:bottom w:type="dxa" w:w="50"/>
              <w:right w:type="dxa" w:w="80"/>
            </w:tcMar>
          </w:tcPr>
          <w:p>
            <w:r>
              <w:rPr>
                <w:rFonts w:ascii="Calibri" w:cs="Calibri" w:eastAsia="Calibri" w:hAnsi="Calibri"/>
                <w:color w:val="1F2937"/>
                <w:sz w:val="20"/>
                <w:szCs w:val="20"/>
              </w:rPr>
              <w:t xml:space="preserve">Déploiement modèle tarifaire</w:t>
            </w:r>
          </w:p>
        </w:tc>
        <w:tc>
          <w:tcPr>
            <w:shd w:fill="FFFFFF" w:val="clear"/>
            <w:tcMar>
              <w:top w:type="dxa" w:w="50"/>
              <w:left w:type="dxa" w:w="80"/>
              <w:bottom w:type="dxa" w:w="50"/>
              <w:right w:type="dxa" w:w="80"/>
            </w:tcMar>
          </w:tcPr>
          <w:p>
            <w:r>
              <w:rPr>
                <w:rFonts w:ascii="Calibri" w:cs="Calibri" w:eastAsia="Calibri" w:hAnsi="Calibri"/>
                <w:color w:val="1F2937"/>
                <w:sz w:val="20"/>
                <w:szCs w:val="20"/>
              </w:rPr>
              <w:t xml:space="preserve">⏳ Convergence progressive</w:t>
            </w:r>
          </w:p>
        </w:tc>
        <w:tc>
          <w:tcPr>
            <w:shd w:fill="FFFFFF" w:val="clear"/>
            <w:tcMar>
              <w:top w:type="dxa" w:w="50"/>
              <w:left w:type="dxa" w:w="80"/>
              <w:bottom w:type="dxa" w:w="50"/>
              <w:right w:type="dxa" w:w="80"/>
            </w:tcMar>
          </w:tcPr>
          <w:p>
            <w:r>
              <w:rPr>
                <w:rFonts w:ascii="Calibri" w:cs="Calibri" w:eastAsia="Calibri" w:hAnsi="Calibri"/>
                <w:color w:val="1F2937"/>
                <w:sz w:val="20"/>
                <w:szCs w:val="20"/>
              </w:rPr>
              <w:t xml:space="preserve">Entrée en vigueur prévue : 1er janvier 2027</w:t>
            </w:r>
          </w:p>
        </w:tc>
      </w:tr>
      <w:tr>
        <w:tc>
          <w:tcPr>
            <w:shd w:fill="EEF2F7" w:val="clear"/>
            <w:tcMar>
              <w:top w:type="dxa" w:w="50"/>
              <w:left w:type="dxa" w:w="80"/>
              <w:bottom w:type="dxa" w:w="50"/>
              <w:right w:type="dxa" w:w="80"/>
            </w:tcMar>
          </w:tcPr>
          <w:p>
            <w:r>
              <w:rPr>
                <w:rFonts w:ascii="Calibri" w:cs="Calibri" w:eastAsia="Calibri" w:hAnsi="Calibri"/>
                <w:color w:val="1F2937"/>
                <w:sz w:val="20"/>
                <w:szCs w:val="20"/>
              </w:rPr>
              <w:t xml:space="preserve">Nouvelles publications août 2026 (fenêtre)</w:t>
            </w:r>
          </w:p>
        </w:tc>
        <w:tc>
          <w:tcPr>
            <w:shd w:fill="EEF2F7" w:val="clear"/>
            <w:tcMar>
              <w:top w:type="dxa" w:w="50"/>
              <w:left w:type="dxa" w:w="80"/>
              <w:bottom w:type="dxa" w:w="50"/>
              <w:right w:type="dxa" w:w="80"/>
            </w:tcMar>
          </w:tcPr>
          <w:p>
            <w:r>
              <w:rPr>
                <w:rFonts w:ascii="Calibri" w:cs="Calibri" w:eastAsia="Calibri" w:hAnsi="Calibri"/>
                <w:color w:val="1F2937"/>
                <w:sz w:val="20"/>
                <w:szCs w:val="20"/>
              </w:rPr>
              <w:t xml:space="preserve">❌ Aucune trouvée</w:t>
            </w:r>
          </w:p>
        </w:tc>
        <w:tc>
          <w:tcPr>
            <w:shd w:fill="EEF2F7" w:val="clear"/>
            <w:tcMar>
              <w:top w:type="dxa" w:w="50"/>
              <w:left w:type="dxa" w:w="80"/>
              <w:bottom w:type="dxa" w:w="50"/>
              <w:right w:type="dxa" w:w="80"/>
            </w:tcMar>
          </w:tcPr>
          <w:p>
            <w:r>
              <w:rPr>
                <w:rFonts w:ascii="Calibri" w:cs="Calibri" w:eastAsia="Calibri" w:hAnsi="Calibri"/>
                <w:color w:val="1F2937"/>
                <w:sz w:val="20"/>
                <w:szCs w:val="20"/>
              </w:rPr>
              <w:t xml:space="preserve">—</w:t>
            </w:r>
          </w:p>
        </w:tc>
      </w:tr>
    </w:tbl>
    <w:p>
      <w:pPr>
        <w:pBdr>
          <w:bottom w:val="single" w:color="CCCCCC" w:sz="4" w:space="6"/>
        </w:pBdr>
        <w:spacing w:after="80" w:before="80"/>
      </w:pPr>
    </w:p>
    <w:p>
      <w:pPr>
        <w:pBdr>
          <w:bottom w:val="single" w:color="1B3A6B" w:sz="6" w:space="4"/>
        </w:pBdr>
        <w:spacing w:after="80" w:before="240"/>
      </w:pPr>
      <w:r>
        <w:rPr>
          <w:rFonts w:ascii="Calibri" w:cs="Calibri" w:eastAsia="Calibri" w:hAnsi="Calibri"/>
          <w:b/>
          <w:bCs/>
          <w:color w:val="1B3A6B"/>
          <w:sz w:val="28"/>
          <w:szCs w:val="28"/>
        </w:rPr>
        <w:t xml:space="preserve">📋 Rappel / Contexte — Éléments hors fenêtre</w:t>
      </w:r>
    </w:p>
    <w:p>
      <w:pPr>
        <w:spacing w:after="40"/>
      </w:pPr>
      <w:r>
        <w:rPr>
          <w:rFonts w:ascii="Calibri" w:cs="Calibri" w:eastAsia="Calibri" w:hAnsi="Calibri"/>
          <w:color w:val="1F2937"/>
          <w:sz w:val="22"/>
          <w:szCs w:val="22"/>
        </w:rPr>
        <w:t xml:space="preserve">Les éléments ci-dessous sont antérieurs au 12 août 2026. Ils sont présentés à titre de contexte stable et non comme actualité de la semaine.</w:t>
      </w:r>
    </w:p>
    <w:p>
      <w:pPr>
        <w:spacing w:after="80"/>
      </w:pPr>
    </w:p>
    <w:p>
      <w:pPr>
        <w:spacing w:after="60" w:before="160"/>
      </w:pPr>
      <w:r>
        <w:rPr>
          <w:rFonts w:ascii="Calibri" w:cs="Calibri" w:eastAsia="Calibri" w:hAnsi="Calibri"/>
          <w:b/>
          <w:bCs/>
          <w:color w:val="1B3A6B"/>
          <w:sz w:val="24"/>
          <w:szCs w:val="24"/>
        </w:rPr>
        <w:t xml:space="preserve">Décret n° 2026-376 du 13 mai 2026 — Transmission des données</w:t>
      </w:r>
    </w:p>
    <w:p>
      <w:pPr>
        <w:spacing w:after="40"/>
      </w:pPr>
      <w:r>
        <w:rPr>
          <w:rFonts w:ascii="Calibri" w:cs="Calibri" w:eastAsia="Calibri" w:hAnsi="Calibri"/>
          <w:i/>
          <w:iCs/>
          <w:color w:val="666666"/>
          <w:sz w:val="20"/>
          <w:szCs w:val="20"/>
        </w:rPr>
        <w:t xml:space="preserve">Date de décision : 13 mai 2026 | Publication JO : 16 mai 2026 | Date de l'article de référence : 19 mai 2026 (qualineo.io)</w:t>
      </w:r>
    </w:p>
    <w:p>
      <w:pPr>
        <w:spacing w:after="30"/>
        <w:ind w:left="360"/>
      </w:pPr>
      <w:r>
        <w:rPr>
          <w:rFonts w:ascii="Calibri" w:cs="Calibri" w:eastAsia="Calibri" w:hAnsi="Calibri"/>
          <w:color w:val="1F2937"/>
          <w:sz w:val="22"/>
          <w:szCs w:val="22"/>
        </w:rPr>
        <w:t xml:space="preserve">• Objet : encadre la transmission des données nécessaires au calcul des dotations globales de financement des ESMS accompagnant des personnes handicapées (mineurs/jeunes adultes, orientés CDAPH)</w:t>
      </w:r>
    </w:p>
    <w:p>
      <w:pPr>
        <w:spacing w:after="30"/>
        <w:ind w:left="360"/>
      </w:pPr>
      <w:r>
        <w:rPr>
          <w:rFonts w:ascii="Calibri" w:cs="Calibri" w:eastAsia="Calibri" w:hAnsi="Calibri"/>
          <w:color w:val="1F2937"/>
          <w:sz w:val="22"/>
          <w:szCs w:val="22"/>
        </w:rPr>
        <w:t xml:space="preserve">• Données concernées : identification de la structure, capacités par modalité d'accueil, données d'activité (files actives, ETP), informations qualité et coordination</w:t>
      </w:r>
    </w:p>
    <w:p>
      <w:pPr>
        <w:spacing w:after="30"/>
        <w:ind w:left="360"/>
      </w:pPr>
      <w:r>
        <w:rPr>
          <w:rFonts w:ascii="Calibri" w:cs="Calibri" w:eastAsia="Calibri" w:hAnsi="Calibri"/>
          <w:color w:val="1F2937"/>
          <w:sz w:val="22"/>
          <w:szCs w:val="22"/>
        </w:rPr>
        <w:t xml:space="preserve">• Mode de transmission : système d'information dédié géré par la CNSA (application SIDOBA)</w:t>
      </w:r>
    </w:p>
    <w:p>
      <w:pPr>
        <w:spacing w:after="30"/>
        <w:ind w:left="360"/>
      </w:pPr>
      <w:r>
        <w:rPr>
          <w:rFonts w:ascii="Calibri" w:cs="Calibri" w:eastAsia="Calibri" w:hAnsi="Calibri"/>
          <w:color w:val="1F2937"/>
          <w:sz w:val="22"/>
          <w:szCs w:val="22"/>
        </w:rPr>
        <w:t xml:space="preserve">• Conservation des données : durée maximale de 10 ans après collecte</w:t>
      </w:r>
    </w:p>
    <w:p>
      <w:pPr>
        <w:spacing w:after="30"/>
        <w:ind w:left="360"/>
      </w:pPr>
      <w:r>
        <w:rPr>
          <w:rFonts w:ascii="Calibri" w:cs="Calibri" w:eastAsia="Calibri" w:hAnsi="Calibri"/>
          <w:color w:val="1F2937"/>
          <w:sz w:val="22"/>
          <w:szCs w:val="22"/>
        </w:rPr>
        <w:t xml:space="preserve">• ⚠️ Note de source : décret cité via qualineo.io et e-solidarites.fr (sources secondaires) — décret non consulté directement sur legifrance.gouv.fr. À vérifier sur legifrance pour une référence juridique formelle.</w:t>
      </w:r>
    </w:p>
    <w:p>
      <w:pPr>
        <w:spacing w:after="80"/>
      </w:pPr>
    </w:p>
    <w:p>
      <w:pPr>
        <w:spacing w:after="60" w:before="160"/>
      </w:pPr>
      <w:r>
        <w:rPr>
          <w:rFonts w:ascii="Calibri" w:cs="Calibri" w:eastAsia="Calibri" w:hAnsi="Calibri"/>
          <w:b/>
          <w:bCs/>
          <w:color w:val="1B3A6B"/>
          <w:sz w:val="24"/>
          <w:szCs w:val="24"/>
        </w:rPr>
        <w:t xml:space="preserve">LFSS 2026 — Article 90 : première pierre tarifaire (ESMS enfants)</w:t>
      </w:r>
    </w:p>
    <w:p>
      <w:pPr>
        <w:spacing w:after="40"/>
      </w:pPr>
      <w:r>
        <w:rPr>
          <w:rFonts w:ascii="Calibri" w:cs="Calibri" w:eastAsia="Calibri" w:hAnsi="Calibri"/>
          <w:i/>
          <w:iCs/>
          <w:color w:val="666666"/>
          <w:sz w:val="20"/>
          <w:szCs w:val="20"/>
        </w:rPr>
        <w:t xml:space="preserve">Date de la loi : 30 décembre 2025 | Date de l'article de référence : 6 janvier 2026 (Le Média Social)</w:t>
      </w:r>
    </w:p>
    <w:p>
      <w:pPr>
        <w:spacing w:after="30"/>
        <w:ind w:left="360"/>
      </w:pPr>
      <w:r>
        <w:rPr>
          <w:rFonts w:ascii="Calibri" w:cs="Calibri" w:eastAsia="Calibri" w:hAnsi="Calibri"/>
          <w:color w:val="1F2937"/>
          <w:sz w:val="22"/>
          <w:szCs w:val="22"/>
        </w:rPr>
        <w:t xml:space="preserve">• Première mise en œuvre effective de SERAFIN-PH pour les ESMS accompagnant des mineurs/jeunes adultes handicapés</w:t>
      </w:r>
    </w:p>
    <w:p>
      <w:pPr>
        <w:spacing w:after="30"/>
        <w:ind w:left="360"/>
      </w:pPr>
      <w:r>
        <w:rPr>
          <w:rFonts w:ascii="Calibri" w:cs="Calibri" w:eastAsia="Calibri" w:hAnsi="Calibri"/>
          <w:color w:val="1F2937"/>
          <w:sz w:val="22"/>
          <w:szCs w:val="22"/>
        </w:rPr>
        <w:t xml:space="preserve">• Objectifs : adapter l'allocation de ressources aux caractéristiques des personnes et des structures ; inciter à la transformation vers une logique de parcours</w:t>
      </w:r>
    </w:p>
    <w:p>
      <w:pPr>
        <w:spacing w:after="30"/>
        <w:ind w:left="360"/>
      </w:pPr>
      <w:r>
        <w:rPr>
          <w:rFonts w:ascii="Calibri" w:cs="Calibri" w:eastAsia="Calibri" w:hAnsi="Calibri"/>
          <w:color w:val="1F2937"/>
          <w:sz w:val="22"/>
          <w:szCs w:val="22"/>
        </w:rPr>
        <w:t xml:space="preserve">• 2026 = « année blanche » : aucun impact budgétaire immédiat pour les structures ; le recueil conditionne les dotations à partir de 2027</w:t>
      </w:r>
    </w:p>
    <w:p>
      <w:pPr>
        <w:spacing w:after="80"/>
      </w:pPr>
    </w:p>
    <w:p>
      <w:pPr>
        <w:spacing w:after="60" w:before="160"/>
      </w:pPr>
      <w:r>
        <w:rPr>
          <w:rFonts w:ascii="Calibri" w:cs="Calibri" w:eastAsia="Calibri" w:hAnsi="Calibri"/>
          <w:b/>
          <w:bCs/>
          <w:color w:val="1B3A6B"/>
          <w:sz w:val="24"/>
          <w:szCs w:val="24"/>
        </w:rPr>
        <w:t xml:space="preserve">Recueil PH 2026 — Calendrier confirmé</w:t>
      </w:r>
    </w:p>
    <w:p>
      <w:pPr>
        <w:spacing w:after="40"/>
      </w:pPr>
      <w:r>
        <w:rPr>
          <w:rFonts w:ascii="Calibri" w:cs="Calibri" w:eastAsia="Calibri" w:hAnsi="Calibri"/>
          <w:i/>
          <w:iCs/>
          <w:color w:val="666666"/>
          <w:sz w:val="20"/>
          <w:szCs w:val="20"/>
        </w:rPr>
        <w:t xml:space="preserve">Source : CNSA, publication du 17 décembre 2025 + synthèse WebSearch (qualineo.io, FHF)</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bottom w:type="dxa" w:w="160"/>
        </w:tblCellMar>
      </w:tblPr>
      <w:tblGrid>
        <w:gridCol w:w="100"/>
        <w:gridCol w:w="100"/>
        <w:gridCol w:w="100"/>
        <w:gridCol w:w="100"/>
      </w:tblGrid>
      <w:tr>
        <w:trPr>
          <w:tblHeader/>
        </w:trPr>
        <w:tc>
          <w:tcPr>
            <w:shd w:fill="1B3A6B" w:val="clear"/>
            <w:tcMar>
              <w:top w:type="dxa" w:w="60"/>
              <w:left w:type="dxa" w:w="80"/>
              <w:bottom w:type="dxa" w:w="60"/>
              <w:right w:type="dxa" w:w="80"/>
            </w:tcMar>
          </w:tcPr>
          <w:p>
            <w:pPr>
              <w:jc w:val="center"/>
            </w:pPr>
            <w:r>
              <w:rPr>
                <w:rFonts w:ascii="Calibri" w:cs="Calibri" w:eastAsia="Calibri" w:hAnsi="Calibri"/>
                <w:b/>
                <w:bCs/>
                <w:color w:val="FFFFFF"/>
                <w:sz w:val="20"/>
                <w:szCs w:val="20"/>
              </w:rPr>
              <w:t xml:space="preserve">Phase</w:t>
            </w:r>
          </w:p>
        </w:tc>
        <w:tc>
          <w:tcPr>
            <w:shd w:fill="1B3A6B" w:val="clear"/>
            <w:tcMar>
              <w:top w:type="dxa" w:w="60"/>
              <w:left w:type="dxa" w:w="80"/>
              <w:bottom w:type="dxa" w:w="60"/>
              <w:right w:type="dxa" w:w="80"/>
            </w:tcMar>
          </w:tcPr>
          <w:p>
            <w:pPr>
              <w:jc w:val="center"/>
            </w:pPr>
            <w:r>
              <w:rPr>
                <w:rFonts w:ascii="Calibri" w:cs="Calibri" w:eastAsia="Calibri" w:hAnsi="Calibri"/>
                <w:b/>
                <w:bCs/>
                <w:color w:val="FFFFFF"/>
                <w:sz w:val="20"/>
                <w:szCs w:val="20"/>
              </w:rPr>
              <w:t xml:space="preserve">Période</w:t>
            </w:r>
          </w:p>
        </w:tc>
        <w:tc>
          <w:tcPr>
            <w:shd w:fill="1B3A6B" w:val="clear"/>
            <w:tcMar>
              <w:top w:type="dxa" w:w="60"/>
              <w:left w:type="dxa" w:w="80"/>
              <w:bottom w:type="dxa" w:w="60"/>
              <w:right w:type="dxa" w:w="80"/>
            </w:tcMar>
          </w:tcPr>
          <w:p>
            <w:pPr>
              <w:jc w:val="center"/>
            </w:pPr>
            <w:r>
              <w:rPr>
                <w:rFonts w:ascii="Calibri" w:cs="Calibri" w:eastAsia="Calibri" w:hAnsi="Calibri"/>
                <w:b/>
                <w:bCs/>
                <w:color w:val="FFFFFF"/>
                <w:sz w:val="20"/>
                <w:szCs w:val="20"/>
              </w:rPr>
              <w:t xml:space="preserve">Contenu</w:t>
            </w:r>
          </w:p>
        </w:tc>
        <w:tc>
          <w:tcPr>
            <w:shd w:fill="1B3A6B" w:val="clear"/>
            <w:tcMar>
              <w:top w:type="dxa" w:w="60"/>
              <w:left w:type="dxa" w:w="80"/>
              <w:bottom w:type="dxa" w:w="60"/>
              <w:right w:type="dxa" w:w="80"/>
            </w:tcMar>
          </w:tcPr>
          <w:p>
            <w:pPr>
              <w:jc w:val="center"/>
            </w:pPr>
            <w:r>
              <w:rPr>
                <w:rFonts w:ascii="Calibri" w:cs="Calibri" w:eastAsia="Calibri" w:hAnsi="Calibri"/>
                <w:b/>
                <w:bCs/>
                <w:color w:val="FFFFFF"/>
                <w:sz w:val="20"/>
                <w:szCs w:val="20"/>
              </w:rPr>
              <w:t xml:space="preserve">Acteur</w:t>
            </w:r>
          </w:p>
        </w:tc>
      </w:tr>
      <w:tr>
        <w:tc>
          <w:tcPr>
            <w:shd w:fill="FFFFFF" w:val="clear"/>
            <w:tcMar>
              <w:top w:type="dxa" w:w="50"/>
              <w:left w:type="dxa" w:w="80"/>
              <w:bottom w:type="dxa" w:w="50"/>
              <w:right w:type="dxa" w:w="80"/>
            </w:tcMar>
          </w:tcPr>
          <w:p>
            <w:r>
              <w:rPr>
                <w:rFonts w:ascii="Calibri" w:cs="Calibri" w:eastAsia="Calibri" w:hAnsi="Calibri"/>
                <w:color w:val="1F2937"/>
                <w:sz w:val="20"/>
                <w:szCs w:val="20"/>
              </w:rPr>
              <w:t xml:space="preserve">Phase 1 — Caractérisation des places</w:t>
            </w:r>
          </w:p>
        </w:tc>
        <w:tc>
          <w:tcPr>
            <w:shd w:fill="FFFFFF" w:val="clear"/>
            <w:tcMar>
              <w:top w:type="dxa" w:w="50"/>
              <w:left w:type="dxa" w:w="80"/>
              <w:bottom w:type="dxa" w:w="50"/>
              <w:right w:type="dxa" w:w="80"/>
            </w:tcMar>
          </w:tcPr>
          <w:p>
            <w:r>
              <w:rPr>
                <w:rFonts w:ascii="Calibri" w:cs="Calibri" w:eastAsia="Calibri" w:hAnsi="Calibri"/>
                <w:color w:val="1F2937"/>
                <w:sz w:val="20"/>
                <w:szCs w:val="20"/>
              </w:rPr>
              <w:t xml:space="preserve">Avril 2026</w:t>
            </w:r>
          </w:p>
        </w:tc>
        <w:tc>
          <w:tcPr>
            <w:shd w:fill="FFFFFF" w:val="clear"/>
            <w:tcMar>
              <w:top w:type="dxa" w:w="50"/>
              <w:left w:type="dxa" w:w="80"/>
              <w:bottom w:type="dxa" w:w="50"/>
              <w:right w:type="dxa" w:w="80"/>
            </w:tcMar>
          </w:tcPr>
          <w:p>
            <w:r>
              <w:rPr>
                <w:rFonts w:ascii="Calibri" w:cs="Calibri" w:eastAsia="Calibri" w:hAnsi="Calibri"/>
                <w:color w:val="1F2937"/>
                <w:sz w:val="20"/>
                <w:szCs w:val="20"/>
              </w:rPr>
              <w:t xml:space="preserve">Identification et caractérisation de l'établissement + capacités par modalité</w:t>
            </w:r>
          </w:p>
        </w:tc>
        <w:tc>
          <w:tcPr>
            <w:shd w:fill="FFFFFF" w:val="clear"/>
            <w:tcMar>
              <w:top w:type="dxa" w:w="50"/>
              <w:left w:type="dxa" w:w="80"/>
              <w:bottom w:type="dxa" w:w="50"/>
              <w:right w:type="dxa" w:w="80"/>
            </w:tcMar>
          </w:tcPr>
          <w:p>
            <w:r>
              <w:rPr>
                <w:rFonts w:ascii="Calibri" w:cs="Calibri" w:eastAsia="Calibri" w:hAnsi="Calibri"/>
                <w:color w:val="1F2937"/>
                <w:sz w:val="20"/>
                <w:szCs w:val="20"/>
              </w:rPr>
              <w:t xml:space="preserve">ESMS via SIDOBA/CNSA</w:t>
            </w:r>
          </w:p>
        </w:tc>
      </w:tr>
      <w:tr>
        <w:tc>
          <w:tcPr>
            <w:shd w:fill="EEF2F7" w:val="clear"/>
            <w:tcMar>
              <w:top w:type="dxa" w:w="50"/>
              <w:left w:type="dxa" w:w="80"/>
              <w:bottom w:type="dxa" w:w="50"/>
              <w:right w:type="dxa" w:w="80"/>
            </w:tcMar>
          </w:tcPr>
          <w:p>
            <w:r>
              <w:rPr>
                <w:rFonts w:ascii="Calibri" w:cs="Calibri" w:eastAsia="Calibri" w:hAnsi="Calibri"/>
                <w:color w:val="1F2937"/>
                <w:sz w:val="20"/>
                <w:szCs w:val="20"/>
              </w:rPr>
              <w:t xml:space="preserve">Phase 2 — Activité et dotations compl.</w:t>
            </w:r>
          </w:p>
        </w:tc>
        <w:tc>
          <w:tcPr>
            <w:shd w:fill="EEF2F7" w:val="clear"/>
            <w:tcMar>
              <w:top w:type="dxa" w:w="50"/>
              <w:left w:type="dxa" w:w="80"/>
              <w:bottom w:type="dxa" w:w="50"/>
              <w:right w:type="dxa" w:w="80"/>
            </w:tcMar>
          </w:tcPr>
          <w:p>
            <w:r>
              <w:rPr>
                <w:rFonts w:ascii="Calibri" w:cs="Calibri" w:eastAsia="Calibri" w:hAnsi="Calibri"/>
                <w:color w:val="1F2937"/>
                <w:sz w:val="20"/>
                <w:szCs w:val="20"/>
              </w:rPr>
              <w:t xml:space="preserve">Mai 2026</w:t>
            </w:r>
          </w:p>
        </w:tc>
        <w:tc>
          <w:tcPr>
            <w:shd w:fill="EEF2F7" w:val="clear"/>
            <w:tcMar>
              <w:top w:type="dxa" w:w="50"/>
              <w:left w:type="dxa" w:w="80"/>
              <w:bottom w:type="dxa" w:w="50"/>
              <w:right w:type="dxa" w:w="80"/>
            </w:tcMar>
          </w:tcPr>
          <w:p>
            <w:r>
              <w:rPr>
                <w:rFonts w:ascii="Calibri" w:cs="Calibri" w:eastAsia="Calibri" w:hAnsi="Calibri"/>
                <w:color w:val="1F2937"/>
                <w:sz w:val="20"/>
                <w:szCs w:val="20"/>
              </w:rPr>
              <w:t xml:space="preserve">Indicateurs d'activité, ETP, accompagnements, informations qualité</w:t>
            </w:r>
          </w:p>
        </w:tc>
        <w:tc>
          <w:tcPr>
            <w:shd w:fill="EEF2F7" w:val="clear"/>
            <w:tcMar>
              <w:top w:type="dxa" w:w="50"/>
              <w:left w:type="dxa" w:w="80"/>
              <w:bottom w:type="dxa" w:w="50"/>
              <w:right w:type="dxa" w:w="80"/>
            </w:tcMar>
          </w:tcPr>
          <w:p>
            <w:r>
              <w:rPr>
                <w:rFonts w:ascii="Calibri" w:cs="Calibri" w:eastAsia="Calibri" w:hAnsi="Calibri"/>
                <w:color w:val="1F2937"/>
                <w:sz w:val="20"/>
                <w:szCs w:val="20"/>
              </w:rPr>
              <w:t xml:space="preserve">ESMS via SIDOBA/CNSA</w:t>
            </w:r>
          </w:p>
        </w:tc>
      </w:tr>
      <w:tr>
        <w:tc>
          <w:tcPr>
            <w:shd w:fill="FFFFFF" w:val="clear"/>
            <w:tcMar>
              <w:top w:type="dxa" w:w="50"/>
              <w:left w:type="dxa" w:w="80"/>
              <w:bottom w:type="dxa" w:w="50"/>
              <w:right w:type="dxa" w:w="80"/>
            </w:tcMar>
          </w:tcPr>
          <w:p>
            <w:r>
              <w:rPr>
                <w:rFonts w:ascii="Calibri" w:cs="Calibri" w:eastAsia="Calibri" w:hAnsi="Calibri"/>
                <w:color w:val="1F2937"/>
                <w:sz w:val="20"/>
                <w:szCs w:val="20"/>
              </w:rPr>
              <w:t xml:space="preserve">Qualification ARS</w:t>
            </w:r>
          </w:p>
        </w:tc>
        <w:tc>
          <w:tcPr>
            <w:shd w:fill="FFFFFF" w:val="clear"/>
            <w:tcMar>
              <w:top w:type="dxa" w:w="50"/>
              <w:left w:type="dxa" w:w="80"/>
              <w:bottom w:type="dxa" w:w="50"/>
              <w:right w:type="dxa" w:w="80"/>
            </w:tcMar>
          </w:tcPr>
          <w:p>
            <w:r>
              <w:rPr>
                <w:rFonts w:ascii="Calibri" w:cs="Calibri" w:eastAsia="Calibri" w:hAnsi="Calibri"/>
                <w:color w:val="1F2937"/>
                <w:sz w:val="20"/>
                <w:szCs w:val="20"/>
              </w:rPr>
              <w:t xml:space="preserve">Mai 2026</w:t>
            </w:r>
          </w:p>
        </w:tc>
        <w:tc>
          <w:tcPr>
            <w:shd w:fill="FFFFFF" w:val="clear"/>
            <w:tcMar>
              <w:top w:type="dxa" w:w="50"/>
              <w:left w:type="dxa" w:w="80"/>
              <w:bottom w:type="dxa" w:w="50"/>
              <w:right w:type="dxa" w:w="80"/>
            </w:tcMar>
          </w:tcPr>
          <w:p>
            <w:r>
              <w:rPr>
                <w:rFonts w:ascii="Calibri" w:cs="Calibri" w:eastAsia="Calibri" w:hAnsi="Calibri"/>
                <w:color w:val="1F2937"/>
                <w:sz w:val="20"/>
                <w:szCs w:val="20"/>
              </w:rPr>
              <w:t xml:space="preserve">Validation des données collectées</w:t>
            </w:r>
          </w:p>
        </w:tc>
        <w:tc>
          <w:tcPr>
            <w:shd w:fill="FFFFFF" w:val="clear"/>
            <w:tcMar>
              <w:top w:type="dxa" w:w="50"/>
              <w:left w:type="dxa" w:w="80"/>
              <w:bottom w:type="dxa" w:w="50"/>
              <w:right w:type="dxa" w:w="80"/>
            </w:tcMar>
          </w:tcPr>
          <w:p>
            <w:r>
              <w:rPr>
                <w:rFonts w:ascii="Calibri" w:cs="Calibri" w:eastAsia="Calibri" w:hAnsi="Calibri"/>
                <w:color w:val="1F2937"/>
                <w:sz w:val="20"/>
                <w:szCs w:val="20"/>
              </w:rPr>
              <w:t xml:space="preserve">ARS</w:t>
            </w:r>
          </w:p>
        </w:tc>
      </w:tr>
      <w:tr>
        <w:tc>
          <w:tcPr>
            <w:shd w:fill="EEF2F7" w:val="clear"/>
            <w:tcMar>
              <w:top w:type="dxa" w:w="50"/>
              <w:left w:type="dxa" w:w="80"/>
              <w:bottom w:type="dxa" w:w="50"/>
              <w:right w:type="dxa" w:w="80"/>
            </w:tcMar>
          </w:tcPr>
          <w:p>
            <w:r>
              <w:rPr>
                <w:rFonts w:ascii="Calibri" w:cs="Calibri" w:eastAsia="Calibri" w:hAnsi="Calibri"/>
                <w:color w:val="1F2937"/>
                <w:sz w:val="20"/>
                <w:szCs w:val="20"/>
              </w:rPr>
              <w:t xml:space="preserve">Export CNSA + simulation dotations</w:t>
            </w:r>
          </w:p>
        </w:tc>
        <w:tc>
          <w:tcPr>
            <w:shd w:fill="EEF2F7" w:val="clear"/>
            <w:tcMar>
              <w:top w:type="dxa" w:w="50"/>
              <w:left w:type="dxa" w:w="80"/>
              <w:bottom w:type="dxa" w:w="50"/>
              <w:right w:type="dxa" w:w="80"/>
            </w:tcMar>
          </w:tcPr>
          <w:p>
            <w:r>
              <w:rPr>
                <w:rFonts w:ascii="Calibri" w:cs="Calibri" w:eastAsia="Calibri" w:hAnsi="Calibri"/>
                <w:color w:val="1F2937"/>
                <w:sz w:val="20"/>
                <w:szCs w:val="20"/>
              </w:rPr>
              <w:t xml:space="preserve">À partir de juillet 2026</w:t>
            </w:r>
          </w:p>
        </w:tc>
        <w:tc>
          <w:tcPr>
            <w:shd w:fill="EEF2F7" w:val="clear"/>
            <w:tcMar>
              <w:top w:type="dxa" w:w="50"/>
              <w:left w:type="dxa" w:w="80"/>
              <w:bottom w:type="dxa" w:w="50"/>
              <w:right w:type="dxa" w:w="80"/>
            </w:tcMar>
          </w:tcPr>
          <w:p>
            <w:r>
              <w:rPr>
                <w:rFonts w:ascii="Calibri" w:cs="Calibri" w:eastAsia="Calibri" w:hAnsi="Calibri"/>
                <w:color w:val="1F2937"/>
                <w:sz w:val="20"/>
                <w:szCs w:val="20"/>
              </w:rPr>
              <w:t xml:space="preserve">Calcul des dotations prévisionnelles</w:t>
            </w:r>
          </w:p>
        </w:tc>
        <w:tc>
          <w:tcPr>
            <w:shd w:fill="EEF2F7" w:val="clear"/>
            <w:tcMar>
              <w:top w:type="dxa" w:w="50"/>
              <w:left w:type="dxa" w:w="80"/>
              <w:bottom w:type="dxa" w:w="50"/>
              <w:right w:type="dxa" w:w="80"/>
            </w:tcMar>
          </w:tcPr>
          <w:p>
            <w:r>
              <w:rPr>
                <w:rFonts w:ascii="Calibri" w:cs="Calibri" w:eastAsia="Calibri" w:hAnsi="Calibri"/>
                <w:color w:val="1F2937"/>
                <w:sz w:val="20"/>
                <w:szCs w:val="20"/>
              </w:rPr>
              <w:t xml:space="preserve">CNSA/DGCS/ATIH</w:t>
            </w:r>
          </w:p>
        </w:tc>
      </w:tr>
      <w:tr>
        <w:tc>
          <w:tcPr>
            <w:shd w:fill="FFFFFF" w:val="clear"/>
            <w:tcMar>
              <w:top w:type="dxa" w:w="50"/>
              <w:left w:type="dxa" w:w="80"/>
              <w:bottom w:type="dxa" w:w="50"/>
              <w:right w:type="dxa" w:w="80"/>
            </w:tcMar>
          </w:tcPr>
          <w:p>
            <w:r>
              <w:rPr>
                <w:rFonts w:ascii="Calibri" w:cs="Calibri" w:eastAsia="Calibri" w:hAnsi="Calibri"/>
                <w:color w:val="1F2937"/>
                <w:sz w:val="20"/>
                <w:szCs w:val="20"/>
              </w:rPr>
              <w:t xml:space="preserve">Transmission aux ARS</w:t>
            </w:r>
          </w:p>
        </w:tc>
        <w:tc>
          <w:tcPr>
            <w:shd w:fill="FFFFFF" w:val="clear"/>
            <w:tcMar>
              <w:top w:type="dxa" w:w="50"/>
              <w:left w:type="dxa" w:w="80"/>
              <w:bottom w:type="dxa" w:w="50"/>
              <w:right w:type="dxa" w:w="80"/>
            </w:tcMar>
          </w:tcPr>
          <w:p>
            <w:r>
              <w:rPr>
                <w:rFonts w:ascii="Calibri" w:cs="Calibri" w:eastAsia="Calibri" w:hAnsi="Calibri"/>
                <w:color w:val="1F2937"/>
                <w:sz w:val="20"/>
                <w:szCs w:val="20"/>
              </w:rPr>
              <w:t xml:space="preserve">Fin 2026</w:t>
            </w:r>
          </w:p>
        </w:tc>
        <w:tc>
          <w:tcPr>
            <w:shd w:fill="FFFFFF" w:val="clear"/>
            <w:tcMar>
              <w:top w:type="dxa" w:w="50"/>
              <w:left w:type="dxa" w:w="80"/>
              <w:bottom w:type="dxa" w:w="50"/>
              <w:right w:type="dxa" w:w="80"/>
            </w:tcMar>
          </w:tcPr>
          <w:p>
            <w:r>
              <w:rPr>
                <w:rFonts w:ascii="Calibri" w:cs="Calibri" w:eastAsia="Calibri" w:hAnsi="Calibri"/>
                <w:color w:val="1F2937"/>
                <w:sz w:val="20"/>
                <w:szCs w:val="20"/>
              </w:rPr>
              <w:t xml:space="preserve">Dotations simulées communiquées aux ARS</w:t>
            </w:r>
          </w:p>
        </w:tc>
        <w:tc>
          <w:tcPr>
            <w:shd w:fill="FFFFFF" w:val="clear"/>
            <w:tcMar>
              <w:top w:type="dxa" w:w="50"/>
              <w:left w:type="dxa" w:w="80"/>
              <w:bottom w:type="dxa" w:w="50"/>
              <w:right w:type="dxa" w:w="80"/>
            </w:tcMar>
          </w:tcPr>
          <w:p>
            <w:r>
              <w:rPr>
                <w:rFonts w:ascii="Calibri" w:cs="Calibri" w:eastAsia="Calibri" w:hAnsi="Calibri"/>
                <w:color w:val="1F2937"/>
                <w:sz w:val="20"/>
                <w:szCs w:val="20"/>
              </w:rPr>
              <w:t xml:space="preserve">CNSA</w:t>
            </w:r>
          </w:p>
        </w:tc>
      </w:tr>
      <w:tr>
        <w:tc>
          <w:tcPr>
            <w:shd w:fill="EEF2F7" w:val="clear"/>
            <w:tcMar>
              <w:top w:type="dxa" w:w="50"/>
              <w:left w:type="dxa" w:w="80"/>
              <w:bottom w:type="dxa" w:w="50"/>
              <w:right w:type="dxa" w:w="80"/>
            </w:tcMar>
          </w:tcPr>
          <w:p>
            <w:r>
              <w:rPr>
                <w:rFonts w:ascii="Calibri" w:cs="Calibri" w:eastAsia="Calibri" w:hAnsi="Calibri"/>
                <w:color w:val="1F2937"/>
                <w:sz w:val="20"/>
                <w:szCs w:val="20"/>
              </w:rPr>
              <w:t xml:space="preserve">Déploiement effectif</w:t>
            </w:r>
          </w:p>
        </w:tc>
        <w:tc>
          <w:tcPr>
            <w:shd w:fill="EEF2F7" w:val="clear"/>
            <w:tcMar>
              <w:top w:type="dxa" w:w="50"/>
              <w:left w:type="dxa" w:w="80"/>
              <w:bottom w:type="dxa" w:w="50"/>
              <w:right w:type="dxa" w:w="80"/>
            </w:tcMar>
          </w:tcPr>
          <w:p>
            <w:r>
              <w:rPr>
                <w:rFonts w:ascii="Calibri" w:cs="Calibri" w:eastAsia="Calibri" w:hAnsi="Calibri"/>
                <w:color w:val="1F2937"/>
                <w:sz w:val="20"/>
                <w:szCs w:val="20"/>
              </w:rPr>
              <w:t xml:space="preserve">1er janvier 2027</w:t>
            </w:r>
          </w:p>
        </w:tc>
        <w:tc>
          <w:tcPr>
            <w:shd w:fill="EEF2F7" w:val="clear"/>
            <w:tcMar>
              <w:top w:type="dxa" w:w="50"/>
              <w:left w:type="dxa" w:w="80"/>
              <w:bottom w:type="dxa" w:w="50"/>
              <w:right w:type="dxa" w:w="80"/>
            </w:tcMar>
          </w:tcPr>
          <w:p>
            <w:r>
              <w:rPr>
                <w:rFonts w:ascii="Calibri" w:cs="Calibri" w:eastAsia="Calibri" w:hAnsi="Calibri"/>
                <w:color w:val="1F2937"/>
                <w:sz w:val="20"/>
                <w:szCs w:val="20"/>
              </w:rPr>
              <w:t xml:space="preserve">Convergence progressive sur 8 ans</w:t>
            </w:r>
          </w:p>
        </w:tc>
        <w:tc>
          <w:tcPr>
            <w:shd w:fill="EEF2F7" w:val="clear"/>
            <w:tcMar>
              <w:top w:type="dxa" w:w="50"/>
              <w:left w:type="dxa" w:w="80"/>
              <w:bottom w:type="dxa" w:w="50"/>
              <w:right w:type="dxa" w:w="80"/>
            </w:tcMar>
          </w:tcPr>
          <w:p>
            <w:r>
              <w:rPr>
                <w:rFonts w:ascii="Calibri" w:cs="Calibri" w:eastAsia="Calibri" w:hAnsi="Calibri"/>
                <w:color w:val="1F2937"/>
                <w:sz w:val="20"/>
                <w:szCs w:val="20"/>
              </w:rPr>
              <w:t xml:space="preserve">Ensemble du système</w:t>
            </w:r>
          </w:p>
        </w:tc>
      </w:tr>
    </w:tbl>
    <w:p>
      <w:pPr>
        <w:pBdr>
          <w:bottom w:val="single" w:color="CCCCCC" w:sz="4" w:space="6"/>
        </w:pBdr>
        <w:spacing w:after="80" w:before="80"/>
      </w:pPr>
    </w:p>
    <w:p>
      <w:pPr>
        <w:pBdr>
          <w:bottom w:val="single" w:color="1B3A6B" w:sz="6" w:space="4"/>
        </w:pBdr>
        <w:spacing w:after="80" w:before="240"/>
      </w:pPr>
      <w:r>
        <w:rPr>
          <w:rFonts w:ascii="Calibri" w:cs="Calibri" w:eastAsia="Calibri" w:hAnsi="Calibri"/>
          <w:b/>
          <w:bCs/>
          <w:color w:val="1B3A6B"/>
          <w:sz w:val="28"/>
          <w:szCs w:val="28"/>
        </w:rPr>
        <w:t xml:space="preserve">⚠️ Points de vigilance pour les directions d'ESSMS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bottom w:type="dxa" w:w="160"/>
        </w:tblCellMar>
      </w:tblPr>
      <w:tblGrid>
        <w:gridCol w:w="100"/>
        <w:gridCol w:w="100"/>
      </w:tblGrid>
      <w:tr>
        <w:trPr>
          <w:tblHeader/>
        </w:trPr>
        <w:tc>
          <w:tcPr>
            <w:shd w:fill="1B3A6B" w:val="clear"/>
            <w:tcMar>
              <w:top w:type="dxa" w:w="60"/>
              <w:left w:type="dxa" w:w="80"/>
              <w:bottom w:type="dxa" w:w="60"/>
              <w:right w:type="dxa" w:w="80"/>
            </w:tcMar>
          </w:tcPr>
          <w:p>
            <w:pPr>
              <w:jc w:val="center"/>
            </w:pPr>
            <w:r>
              <w:rPr>
                <w:rFonts w:ascii="Calibri" w:cs="Calibri" w:eastAsia="Calibri" w:hAnsi="Calibri"/>
                <w:b/>
                <w:bCs/>
                <w:color w:val="FFFFFF"/>
                <w:sz w:val="20"/>
                <w:szCs w:val="20"/>
              </w:rPr>
              <w:t xml:space="preserve">Point de vigilance</w:t>
            </w:r>
          </w:p>
        </w:tc>
        <w:tc>
          <w:tcPr>
            <w:shd w:fill="1B3A6B" w:val="clear"/>
            <w:tcMar>
              <w:top w:type="dxa" w:w="60"/>
              <w:left w:type="dxa" w:w="80"/>
              <w:bottom w:type="dxa" w:w="60"/>
              <w:right w:type="dxa" w:w="80"/>
            </w:tcMar>
          </w:tcPr>
          <w:p>
            <w:pPr>
              <w:jc w:val="center"/>
            </w:pPr>
            <w:r>
              <w:rPr>
                <w:rFonts w:ascii="Calibri" w:cs="Calibri" w:eastAsia="Calibri" w:hAnsi="Calibri"/>
                <w:b/>
                <w:bCs/>
                <w:color w:val="FFFFFF"/>
                <w:sz w:val="20"/>
                <w:szCs w:val="20"/>
              </w:rPr>
              <w:t xml:space="preserve">Détail pratique</w:t>
            </w:r>
          </w:p>
        </w:tc>
      </w:tr>
      <w:tr>
        <w:tc>
          <w:tcPr>
            <w:shd w:fill="FFFFFF" w:val="clear"/>
            <w:tcMar>
              <w:top w:type="dxa" w:w="50"/>
              <w:left w:type="dxa" w:w="80"/>
              <w:bottom w:type="dxa" w:w="50"/>
              <w:right w:type="dxa" w:w="80"/>
            </w:tcMar>
          </w:tcPr>
          <w:p>
            <w:r>
              <w:rPr>
                <w:rFonts w:ascii="Calibri" w:cs="Calibri" w:eastAsia="Calibri" w:hAnsi="Calibri"/>
                <w:color w:val="1F2937"/>
                <w:sz w:val="20"/>
                <w:szCs w:val="20"/>
              </w:rPr>
              <w:t xml:space="preserve">Fiabilité des données transmises</w:t>
            </w:r>
          </w:p>
        </w:tc>
        <w:tc>
          <w:tcPr>
            <w:shd w:fill="FFFFFF" w:val="clear"/>
            <w:tcMar>
              <w:top w:type="dxa" w:w="50"/>
              <w:left w:type="dxa" w:w="80"/>
              <w:bottom w:type="dxa" w:w="50"/>
              <w:right w:type="dxa" w:w="80"/>
            </w:tcMar>
          </w:tcPr>
          <w:p>
            <w:r>
              <w:rPr>
                <w:rFonts w:ascii="Calibri" w:cs="Calibri" w:eastAsia="Calibri" w:hAnsi="Calibri"/>
                <w:color w:val="1F2937"/>
                <w:sz w:val="20"/>
                <w:szCs w:val="20"/>
              </w:rPr>
              <w:t xml:space="preserve">Les données collectées via SIDOBA conditionnent directement le calcul des futures dotations 2027. Toute erreur de saisie (capacités, ETP, modalités d'accueil) risque de fausser les simulations et d'aboutir à une dotation sous-estimée. Vérifier la cohérence avec les données DUI (Imago) avant transmission.</w:t>
            </w:r>
          </w:p>
        </w:tc>
      </w:tr>
      <w:tr>
        <w:tc>
          <w:tcPr>
            <w:shd w:fill="EEF2F7" w:val="clear"/>
            <w:tcMar>
              <w:top w:type="dxa" w:w="50"/>
              <w:left w:type="dxa" w:w="80"/>
              <w:bottom w:type="dxa" w:w="50"/>
              <w:right w:type="dxa" w:w="80"/>
            </w:tcMar>
          </w:tcPr>
          <w:p>
            <w:r>
              <w:rPr>
                <w:rFonts w:ascii="Calibri" w:cs="Calibri" w:eastAsia="Calibri" w:hAnsi="Calibri"/>
                <w:color w:val="1F2937"/>
                <w:sz w:val="20"/>
                <w:szCs w:val="20"/>
              </w:rPr>
              <w:t xml:space="preserve">Périmètre initial : ESMS enfants</w:t>
            </w:r>
          </w:p>
        </w:tc>
        <w:tc>
          <w:tcPr>
            <w:shd w:fill="EEF2F7" w:val="clear"/>
            <w:tcMar>
              <w:top w:type="dxa" w:w="50"/>
              <w:left w:type="dxa" w:w="80"/>
              <w:bottom w:type="dxa" w:w="50"/>
              <w:right w:type="dxa" w:w="80"/>
            </w:tcMar>
          </w:tcPr>
          <w:p>
            <w:r>
              <w:rPr>
                <w:rFonts w:ascii="Calibri" w:cs="Calibri" w:eastAsia="Calibri" w:hAnsi="Calibri"/>
                <w:color w:val="1F2937"/>
                <w:sz w:val="20"/>
                <w:szCs w:val="20"/>
              </w:rPr>
              <w:t xml:space="preserve">La première phase SERAFIN-PH cible exclusivement les ESMS accueillant des mineurs et jeunes adultes (CDAPH). Les structures adultes (foyers d'hébergement, FAM, MAS) ne sont pas encore concernées par ce premier déploiement, mais doivent anticiper leur intégration future.</w:t>
            </w:r>
          </w:p>
        </w:tc>
      </w:tr>
      <w:tr>
        <w:tc>
          <w:tcPr>
            <w:shd w:fill="FFFFFF" w:val="clear"/>
            <w:tcMar>
              <w:top w:type="dxa" w:w="50"/>
              <w:left w:type="dxa" w:w="80"/>
              <w:bottom w:type="dxa" w:w="50"/>
              <w:right w:type="dxa" w:w="80"/>
            </w:tcMar>
          </w:tcPr>
          <w:p>
            <w:r>
              <w:rPr>
                <w:rFonts w:ascii="Calibri" w:cs="Calibri" w:eastAsia="Calibri" w:hAnsi="Calibri"/>
                <w:color w:val="1F2937"/>
                <w:sz w:val="20"/>
                <w:szCs w:val="20"/>
              </w:rPr>
              <w:t xml:space="preserve">Conservation des données : 10 ans</w:t>
            </w:r>
          </w:p>
        </w:tc>
        <w:tc>
          <w:tcPr>
            <w:shd w:fill="FFFFFF" w:val="clear"/>
            <w:tcMar>
              <w:top w:type="dxa" w:w="50"/>
              <w:left w:type="dxa" w:w="80"/>
              <w:bottom w:type="dxa" w:w="50"/>
              <w:right w:type="dxa" w:w="80"/>
            </w:tcMar>
          </w:tcPr>
          <w:p>
            <w:r>
              <w:rPr>
                <w:rFonts w:ascii="Calibri" w:cs="Calibri" w:eastAsia="Calibri" w:hAnsi="Calibri"/>
                <w:color w:val="1F2937"/>
                <w:sz w:val="20"/>
                <w:szCs w:val="20"/>
              </w:rPr>
              <w:t xml:space="preserve">Le décret du 13 mai 2026 prévoit une conservation maximale de 10 ans. À articuler avec la politique RGPD de la structure : informer les personnes accompagnées / représentants légaux de l'existence et de la finalité de ce traitement.</w:t>
            </w:r>
          </w:p>
        </w:tc>
      </w:tr>
      <w:tr>
        <w:tc>
          <w:tcPr>
            <w:shd w:fill="EEF2F7" w:val="clear"/>
            <w:tcMar>
              <w:top w:type="dxa" w:w="50"/>
              <w:left w:type="dxa" w:w="80"/>
              <w:bottom w:type="dxa" w:w="50"/>
              <w:right w:type="dxa" w:w="80"/>
            </w:tcMar>
          </w:tcPr>
          <w:p>
            <w:r>
              <w:rPr>
                <w:rFonts w:ascii="Calibri" w:cs="Calibri" w:eastAsia="Calibri" w:hAnsi="Calibri"/>
                <w:color w:val="1F2937"/>
                <w:sz w:val="20"/>
                <w:szCs w:val="20"/>
              </w:rPr>
              <w:t xml:space="preserve">Période de convergence 8 ans</w:t>
            </w:r>
          </w:p>
        </w:tc>
        <w:tc>
          <w:tcPr>
            <w:shd w:fill="EEF2F7" w:val="clear"/>
            <w:tcMar>
              <w:top w:type="dxa" w:w="50"/>
              <w:left w:type="dxa" w:w="80"/>
              <w:bottom w:type="dxa" w:w="50"/>
              <w:right w:type="dxa" w:w="80"/>
            </w:tcMar>
          </w:tcPr>
          <w:p>
            <w:r>
              <w:rPr>
                <w:rFonts w:ascii="Calibri" w:cs="Calibri" w:eastAsia="Calibri" w:hAnsi="Calibri"/>
                <w:color w:val="1F2937"/>
                <w:sz w:val="20"/>
                <w:szCs w:val="20"/>
              </w:rPr>
              <w:t xml:space="preserve">L'entrée en vigueur au 1er janvier 2027 ne génère pas de rupture brutale : la convergence est progressive sur 8 ans. Néanmoins, les structures actuellement sur-dotées ou sous-dotées par rapport au modèle devront anticiper les ajustements.</w:t>
            </w:r>
          </w:p>
        </w:tc>
      </w:tr>
      <w:tr>
        <w:tc>
          <w:tcPr>
            <w:shd w:fill="FFFFFF" w:val="clear"/>
            <w:tcMar>
              <w:top w:type="dxa" w:w="50"/>
              <w:left w:type="dxa" w:w="80"/>
              <w:bottom w:type="dxa" w:w="50"/>
              <w:right w:type="dxa" w:w="80"/>
            </w:tcMar>
          </w:tcPr>
          <w:p>
            <w:r>
              <w:rPr>
                <w:rFonts w:ascii="Calibri" w:cs="Calibri" w:eastAsia="Calibri" w:hAnsi="Calibri"/>
                <w:color w:val="1F2937"/>
                <w:sz w:val="20"/>
                <w:szCs w:val="20"/>
              </w:rPr>
              <w:t xml:space="preserve">Absence de publication cette semaine</w:t>
            </w:r>
          </w:p>
        </w:tc>
        <w:tc>
          <w:tcPr>
            <w:shd w:fill="FFFFFF" w:val="clear"/>
            <w:tcMar>
              <w:top w:type="dxa" w:w="50"/>
              <w:left w:type="dxa" w:w="80"/>
              <w:bottom w:type="dxa" w:w="50"/>
              <w:right w:type="dxa" w:w="80"/>
            </w:tcMar>
          </w:tcPr>
          <w:p>
            <w:r>
              <w:rPr>
                <w:rFonts w:ascii="Calibri" w:cs="Calibri" w:eastAsia="Calibri" w:hAnsi="Calibri"/>
                <w:color w:val="1F2937"/>
                <w:sz w:val="20"/>
                <w:szCs w:val="20"/>
              </w:rPr>
              <w:t xml:space="preserve">Aucune nouveauté dans la fenêtre 12-19/08/2026 : pas de décret, arrêté, instruction ou publication CNSA/DGCS/ATIH. La prochaine veille sera à surveiller de près à la reprise de septembre, période traditionnelle de publications réglementaires.</w:t>
            </w:r>
          </w:p>
        </w:tc>
      </w:tr>
    </w:tbl>
    <w:p>
      <w:pPr>
        <w:pBdr>
          <w:bottom w:val="single" w:color="CCCCCC" w:sz="4" w:space="6"/>
        </w:pBdr>
        <w:spacing w:after="80" w:before="80"/>
      </w:pPr>
    </w:p>
    <w:p>
      <w:pPr>
        <w:pBdr>
          <w:bottom w:val="single" w:color="1B3A6B" w:sz="6" w:space="4"/>
        </w:pBdr>
        <w:spacing w:after="80" w:before="240"/>
      </w:pPr>
      <w:r>
        <w:rPr>
          <w:rFonts w:ascii="Calibri" w:cs="Calibri" w:eastAsia="Calibri" w:hAnsi="Calibri"/>
          <w:b/>
          <w:bCs/>
          <w:color w:val="1B3A6B"/>
          <w:sz w:val="28"/>
          <w:szCs w:val="28"/>
        </w:rPr>
        <w:t xml:space="preserve">📅 Agenda — Prochains rendez-vous</w:t>
      </w:r>
    </w:p>
    <w:p>
      <w:pPr>
        <w:spacing w:after="40"/>
      </w:pPr>
      <w:r>
        <w:rPr>
          <w:rFonts w:ascii="Calibri" w:cs="Calibri" w:eastAsia="Calibri" w:hAnsi="Calibri"/>
          <w:color w:val="1F2937"/>
          <w:sz w:val="22"/>
          <w:szCs w:val="22"/>
        </w:rPr>
        <w:t xml:space="preserve">Éléments calendaires issus des sources consultées — dates à confirmer sur les sites officiels.</w:t>
      </w:r>
    </w:p>
    <w:p>
      <w:pPr>
        <w:spacing w:after="60"/>
      </w:pPr>
    </w:p>
    <w:p>
      <w:pPr>
        <w:spacing w:after="30"/>
        <w:ind w:left="360"/>
      </w:pPr>
      <w:r>
        <w:rPr>
          <w:rFonts w:ascii="Calibri" w:cs="Calibri" w:eastAsia="Calibri" w:hAnsi="Calibri"/>
          <w:color w:val="1F2937"/>
          <w:sz w:val="22"/>
          <w:szCs w:val="22"/>
        </w:rPr>
        <w:t xml:space="preserve">• [ ] Fin 2026 : transmission par la CNSA aux ARS des simulations de dotations (source : CNSA)</w:t>
      </w:r>
    </w:p>
    <w:p>
      <w:pPr>
        <w:spacing w:after="30"/>
        <w:ind w:left="360"/>
      </w:pPr>
      <w:r>
        <w:rPr>
          <w:rFonts w:ascii="Calibri" w:cs="Calibri" w:eastAsia="Calibri" w:hAnsi="Calibri"/>
          <w:color w:val="1F2937"/>
          <w:sz w:val="22"/>
          <w:szCs w:val="22"/>
        </w:rPr>
        <w:t xml:space="preserve">• [ ] 1er janvier 2027 : entrée en vigueur du modèle SERAFIN-PH (ESMS enfants) — convergence progressive 8 ans (source : LFSS 2026, Art. 90)</w:t>
      </w:r>
    </w:p>
    <w:p>
      <w:pPr>
        <w:spacing w:after="30"/>
        <w:ind w:left="360"/>
      </w:pPr>
      <w:r>
        <w:rPr>
          <w:rFonts w:ascii="Calibri" w:cs="Calibri" w:eastAsia="Calibri" w:hAnsi="Calibri"/>
          <w:color w:val="1F2937"/>
          <w:sz w:val="22"/>
          <w:szCs w:val="22"/>
        </w:rPr>
        <w:t xml:space="preserve">• [ ] Septembre 2026 (à surveiller) : reprise probable de publications réglementaires — veiller à la parution d'éventuelles instructions techniques CNSA/DGCS sur la phase export</w:t>
      </w:r>
    </w:p>
    <w:p>
      <w:pPr>
        <w:spacing w:after="30"/>
        <w:ind w:left="360"/>
      </w:pPr>
      <w:r>
        <w:rPr>
          <w:rFonts w:ascii="Calibri" w:cs="Calibri" w:eastAsia="Calibri" w:hAnsi="Calibri"/>
          <w:color w:val="1F2937"/>
          <w:sz w:val="22"/>
          <w:szCs w:val="22"/>
        </w:rPr>
        <w:t xml:space="preserve">• [ ] CNSA / ATIH : publication attendue des résultats de simulation des dotations prévisionnelles (calendrier non confirmé dans les sources consultées)</w:t>
      </w:r>
    </w:p>
    <w:p>
      <w:pPr>
        <w:pBdr>
          <w:bottom w:val="single" w:color="CCCCCC" w:sz="4" w:space="6"/>
        </w:pBdr>
        <w:spacing w:after="80" w:before="80"/>
      </w:pPr>
    </w:p>
    <w:p>
      <w:pPr>
        <w:pBdr>
          <w:bottom w:val="single" w:color="1B3A6B" w:sz="6" w:space="4"/>
        </w:pBdr>
        <w:spacing w:after="80" w:before="240"/>
      </w:pPr>
      <w:r>
        <w:rPr>
          <w:rFonts w:ascii="Calibri" w:cs="Calibri" w:eastAsia="Calibri" w:hAnsi="Calibri"/>
          <w:b/>
          <w:bCs/>
          <w:color w:val="1B3A6B"/>
          <w:sz w:val="28"/>
          <w:szCs w:val="28"/>
        </w:rPr>
        <w:t xml:space="preserve">🏛️ Rappel — Rôle des acteurs SERAFIN-PH</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bottom w:type="dxa" w:w="160"/>
        </w:tblCellMar>
      </w:tblPr>
      <w:tblGrid>
        <w:gridCol w:w="100"/>
        <w:gridCol w:w="100"/>
      </w:tblGrid>
      <w:tr>
        <w:trPr>
          <w:tblHeader/>
        </w:trPr>
        <w:tc>
          <w:tcPr>
            <w:shd w:fill="1B3A6B" w:val="clear"/>
            <w:tcMar>
              <w:top w:type="dxa" w:w="60"/>
              <w:left w:type="dxa" w:w="80"/>
              <w:bottom w:type="dxa" w:w="60"/>
              <w:right w:type="dxa" w:w="80"/>
            </w:tcMar>
          </w:tcPr>
          <w:p>
            <w:pPr>
              <w:jc w:val="center"/>
            </w:pPr>
            <w:r>
              <w:rPr>
                <w:rFonts w:ascii="Calibri" w:cs="Calibri" w:eastAsia="Calibri" w:hAnsi="Calibri"/>
                <w:b/>
                <w:bCs/>
                <w:color w:val="FFFFFF"/>
                <w:sz w:val="20"/>
                <w:szCs w:val="20"/>
              </w:rPr>
              <w:t xml:space="preserve">Acteur</w:t>
            </w:r>
          </w:p>
        </w:tc>
        <w:tc>
          <w:tcPr>
            <w:shd w:fill="1B3A6B" w:val="clear"/>
            <w:tcMar>
              <w:top w:type="dxa" w:w="60"/>
              <w:left w:type="dxa" w:w="80"/>
              <w:bottom w:type="dxa" w:w="60"/>
              <w:right w:type="dxa" w:w="80"/>
            </w:tcMar>
          </w:tcPr>
          <w:p>
            <w:pPr>
              <w:jc w:val="center"/>
            </w:pPr>
            <w:r>
              <w:rPr>
                <w:rFonts w:ascii="Calibri" w:cs="Calibri" w:eastAsia="Calibri" w:hAnsi="Calibri"/>
                <w:b/>
                <w:bCs/>
                <w:color w:val="FFFFFF"/>
                <w:sz w:val="20"/>
                <w:szCs w:val="20"/>
              </w:rPr>
              <w:t xml:space="preserve">Rôle dans SERAFIN-PH</w:t>
            </w:r>
          </w:p>
        </w:tc>
      </w:tr>
      <w:tr>
        <w:tc>
          <w:tcPr>
            <w:shd w:fill="FFFFFF" w:val="clear"/>
            <w:tcMar>
              <w:top w:type="dxa" w:w="50"/>
              <w:left w:type="dxa" w:w="80"/>
              <w:bottom w:type="dxa" w:w="50"/>
              <w:right w:type="dxa" w:w="80"/>
            </w:tcMar>
          </w:tcPr>
          <w:p>
            <w:r>
              <w:rPr>
                <w:rFonts w:ascii="Calibri" w:cs="Calibri" w:eastAsia="Calibri" w:hAnsi="Calibri"/>
                <w:color w:val="1F2937"/>
                <w:sz w:val="20"/>
                <w:szCs w:val="20"/>
              </w:rPr>
              <w:t xml:space="preserve">DGCS (Direction générale de la cohésion sociale)</w:t>
            </w:r>
          </w:p>
        </w:tc>
        <w:tc>
          <w:tcPr>
            <w:shd w:fill="FFFFFF" w:val="clear"/>
            <w:tcMar>
              <w:top w:type="dxa" w:w="50"/>
              <w:left w:type="dxa" w:w="80"/>
              <w:bottom w:type="dxa" w:w="50"/>
              <w:right w:type="dxa" w:w="80"/>
            </w:tcMar>
          </w:tcPr>
          <w:p>
            <w:r>
              <w:rPr>
                <w:rFonts w:ascii="Calibri" w:cs="Calibri" w:eastAsia="Calibri" w:hAnsi="Calibri"/>
                <w:color w:val="1F2937"/>
                <w:sz w:val="20"/>
                <w:szCs w:val="20"/>
              </w:rPr>
              <w:t xml:space="preserve">Pilotage politique et réglementaire de la réforme ; co-concepteur du modèle avec la CNSA</w:t>
            </w:r>
          </w:p>
        </w:tc>
      </w:tr>
      <w:tr>
        <w:tc>
          <w:tcPr>
            <w:shd w:fill="EEF2F7" w:val="clear"/>
            <w:tcMar>
              <w:top w:type="dxa" w:w="50"/>
              <w:left w:type="dxa" w:w="80"/>
              <w:bottom w:type="dxa" w:w="50"/>
              <w:right w:type="dxa" w:w="80"/>
            </w:tcMar>
          </w:tcPr>
          <w:p>
            <w:r>
              <w:rPr>
                <w:rFonts w:ascii="Calibri" w:cs="Calibri" w:eastAsia="Calibri" w:hAnsi="Calibri"/>
                <w:color w:val="1F2937"/>
                <w:sz w:val="20"/>
                <w:szCs w:val="20"/>
              </w:rPr>
              <w:t xml:space="preserve">CNSA (Caisse nationale de solidarité pour l'autonomie)</w:t>
            </w:r>
          </w:p>
        </w:tc>
        <w:tc>
          <w:tcPr>
            <w:shd w:fill="EEF2F7" w:val="clear"/>
            <w:tcMar>
              <w:top w:type="dxa" w:w="50"/>
              <w:left w:type="dxa" w:w="80"/>
              <w:bottom w:type="dxa" w:w="50"/>
              <w:right w:type="dxa" w:w="80"/>
            </w:tcMar>
          </w:tcPr>
          <w:p>
            <w:r>
              <w:rPr>
                <w:rFonts w:ascii="Calibri" w:cs="Calibri" w:eastAsia="Calibri" w:hAnsi="Calibri"/>
                <w:color w:val="1F2937"/>
                <w:sz w:val="20"/>
                <w:szCs w:val="20"/>
              </w:rPr>
              <w:t xml:space="preserve">Maîtrise d'ouvrage du système d'information (SIDOBA) ; coordination du recueil ; simulation des dotations ; interlocuteur des ARS</w:t>
            </w:r>
          </w:p>
        </w:tc>
      </w:tr>
      <w:tr>
        <w:tc>
          <w:tcPr>
            <w:shd w:fill="FFFFFF" w:val="clear"/>
            <w:tcMar>
              <w:top w:type="dxa" w:w="50"/>
              <w:left w:type="dxa" w:w="80"/>
              <w:bottom w:type="dxa" w:w="50"/>
              <w:right w:type="dxa" w:w="80"/>
            </w:tcMar>
          </w:tcPr>
          <w:p>
            <w:r>
              <w:rPr>
                <w:rFonts w:ascii="Calibri" w:cs="Calibri" w:eastAsia="Calibri" w:hAnsi="Calibri"/>
                <w:color w:val="1F2937"/>
                <w:sz w:val="20"/>
                <w:szCs w:val="20"/>
              </w:rPr>
              <w:t xml:space="preserve">ATIH (Agence technique de l'information sur l'hospitalisation)</w:t>
            </w:r>
          </w:p>
        </w:tc>
        <w:tc>
          <w:tcPr>
            <w:shd w:fill="FFFFFF" w:val="clear"/>
            <w:tcMar>
              <w:top w:type="dxa" w:w="50"/>
              <w:left w:type="dxa" w:w="80"/>
              <w:bottom w:type="dxa" w:w="50"/>
              <w:right w:type="dxa" w:w="80"/>
            </w:tcMar>
          </w:tcPr>
          <w:p>
            <w:r>
              <w:rPr>
                <w:rFonts w:ascii="Calibri" w:cs="Calibri" w:eastAsia="Calibri" w:hAnsi="Calibri"/>
                <w:color w:val="1F2937"/>
                <w:sz w:val="20"/>
                <w:szCs w:val="20"/>
              </w:rPr>
              <w:t xml:space="preserve">Support technique pour le recueil national PH ; gestion des outils de collecte (RAMSECE-PH)</w:t>
            </w:r>
          </w:p>
        </w:tc>
      </w:tr>
      <w:tr>
        <w:tc>
          <w:tcPr>
            <w:shd w:fill="EEF2F7" w:val="clear"/>
            <w:tcMar>
              <w:top w:type="dxa" w:w="50"/>
              <w:left w:type="dxa" w:w="80"/>
              <w:bottom w:type="dxa" w:w="50"/>
              <w:right w:type="dxa" w:w="80"/>
            </w:tcMar>
          </w:tcPr>
          <w:p>
            <w:r>
              <w:rPr>
                <w:rFonts w:ascii="Calibri" w:cs="Calibri" w:eastAsia="Calibri" w:hAnsi="Calibri"/>
                <w:color w:val="1F2937"/>
                <w:sz w:val="20"/>
                <w:szCs w:val="20"/>
              </w:rPr>
              <w:t xml:space="preserve">ARS (Agences régionales de santé)</w:t>
            </w:r>
          </w:p>
        </w:tc>
        <w:tc>
          <w:tcPr>
            <w:shd w:fill="EEF2F7" w:val="clear"/>
            <w:tcMar>
              <w:top w:type="dxa" w:w="50"/>
              <w:left w:type="dxa" w:w="80"/>
              <w:bottom w:type="dxa" w:w="50"/>
              <w:right w:type="dxa" w:w="80"/>
            </w:tcMar>
          </w:tcPr>
          <w:p>
            <w:r>
              <w:rPr>
                <w:rFonts w:ascii="Calibri" w:cs="Calibri" w:eastAsia="Calibri" w:hAnsi="Calibri"/>
                <w:color w:val="1F2937"/>
                <w:sz w:val="20"/>
                <w:szCs w:val="20"/>
              </w:rPr>
              <w:t xml:space="preserve">Qualification des données collectées ; réceptrices des simulations de dotations en fin d'année ; interlocutrices de terrain pour les ESMS</w:t>
            </w:r>
          </w:p>
        </w:tc>
      </w:tr>
      <w:tr>
        <w:tc>
          <w:tcPr>
            <w:shd w:fill="FFFFFF" w:val="clear"/>
            <w:tcMar>
              <w:top w:type="dxa" w:w="50"/>
              <w:left w:type="dxa" w:w="80"/>
              <w:bottom w:type="dxa" w:w="50"/>
              <w:right w:type="dxa" w:w="80"/>
            </w:tcMar>
          </w:tcPr>
          <w:p>
            <w:r>
              <w:rPr>
                <w:rFonts w:ascii="Calibri" w:cs="Calibri" w:eastAsia="Calibri" w:hAnsi="Calibri"/>
                <w:color w:val="1F2937"/>
                <w:sz w:val="20"/>
                <w:szCs w:val="20"/>
              </w:rPr>
              <w:t xml:space="preserve">ESMS</w:t>
            </w:r>
          </w:p>
        </w:tc>
        <w:tc>
          <w:tcPr>
            <w:shd w:fill="FFFFFF" w:val="clear"/>
            <w:tcMar>
              <w:top w:type="dxa" w:w="50"/>
              <w:left w:type="dxa" w:w="80"/>
              <w:bottom w:type="dxa" w:w="50"/>
              <w:right w:type="dxa" w:w="80"/>
            </w:tcMar>
          </w:tcPr>
          <w:p>
            <w:r>
              <w:rPr>
                <w:rFonts w:ascii="Calibri" w:cs="Calibri" w:eastAsia="Calibri" w:hAnsi="Calibri"/>
                <w:color w:val="1F2937"/>
                <w:sz w:val="20"/>
                <w:szCs w:val="20"/>
              </w:rPr>
              <w:t xml:space="preserve">Producteurs de données via SIDOBA ; leurs données conditionnent directement le calcul de leur future dotation</w:t>
            </w:r>
          </w:p>
        </w:tc>
      </w:tr>
    </w:tbl>
    <w:p>
      <w:pPr>
        <w:pBdr>
          <w:bottom w:val="single" w:color="CCCCCC" w:sz="4" w:space="6"/>
        </w:pBdr>
        <w:spacing w:after="80" w:before="80"/>
      </w:pPr>
    </w:p>
    <w:p>
      <w:pPr>
        <w:spacing w:after="40"/>
      </w:pPr>
      <w:r>
        <w:rPr>
          <w:rFonts w:ascii="Calibri" w:cs="Calibri" w:eastAsia="Calibri" w:hAnsi="Calibri"/>
          <w:i/>
          <w:iCs/>
          <w:color w:val="888888"/>
          <w:sz w:val="18"/>
          <w:szCs w:val="18"/>
        </w:rPr>
        <w:t xml:space="preserve">Note de production : veille réalisée le 19/08/2026. Sources : handicap.gouv.fr ✅, cnsa.fr ✅, atih.sante.fr ⛔ (403). Décompte : 2/3 sources consultées. Semaine creuse : aucune publication officielle dans la fenêtre 12-19/08/2026. Les éléments de contexte sont antérieurs à cette fenêtre et clairement signalés comme tels.</w:t>
      </w:r>
    </w:p>
    <w:p>
      <w:pPr>
        <w:spacing w:after="40"/>
      </w:pPr>
      <w:r>
        <w:rPr>
          <w:rFonts w:ascii="Calibri" w:cs="Calibri" w:eastAsia="Calibri" w:hAnsi="Calibri"/>
          <w:i/>
          <w:iCs/>
          <w:color w:val="884400"/>
          <w:sz w:val="18"/>
          <w:szCs w:val="18"/>
        </w:rPr>
        <w:t xml:space="preserve">⚠️ Affirmations sans source primaire directe : décret n° 2026-376 cité via sources secondaires (qualineo.io, e-solidarites.fr) — à vérifier sur legifrance.gouv.fr pour usage formel.</w:t>
      </w:r>
    </w:p>
    <w:sectPr>
      <w:headerReference w:type="default" r:id="rId7"/>
      <w:footerReference w:type="default" r:id="rId8"/>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8"/>
        <w:szCs w:val="18"/>
      </w:rPr>
      <w:t xml:space="preserve">Produit le 19/08/2026 — Sources : </w:t>
    </w:r>
    <w:r>
      <w:rPr>
        <w:rFonts w:ascii="Calibri" w:cs="Calibri" w:eastAsia="Calibri" w:hAnsi="Calibri"/>
        <w:color w:val="666666"/>
        <w:sz w:val="18"/>
        <w:szCs w:val="18"/>
      </w:rPr>
      <w:t xml:space="preserve">✅ handicap.gouv.fr  ✅ cnsa.fr  ⛔ atih.sante.fr (403)</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6B" w:sz="4" w:space="6"/>
      </w:pBdr>
    </w:pPr>
    <w:r>
      <w:rPr>
        <w:rFonts w:ascii="Calibri" w:cs="Calibri" w:eastAsia="Calibri" w:hAnsi="Calibri"/>
        <w:b/>
        <w:bCs/>
        <w:color w:val="1B3A6B"/>
        <w:sz w:val="20"/>
        <w:szCs w:val="20"/>
      </w:rPr>
      <w:t xml:space="preserve">Veille SERAFIN-PH — Synthèse hebdomadaire</w:t>
    </w:r>
    <w:r>
      <w:rPr>
        <w:rFonts w:ascii="Calibri" w:cs="Calibri" w:eastAsia="Calibri" w:hAnsi="Calibri"/>
        <w:color w:val="666666"/>
        <w:sz w:val="20"/>
        <w:szCs w:val="20"/>
      </w:rPr>
      <w:t xml:space="preserve">        •        19 août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2026-08-19T06:06:47.448Z</dcterms:created>
  <dcterms:modified xsi:type="dcterms:W3CDTF">2026-08-19T06:06:47.449Z</dcterms:modified>
</cp:coreProperties>
</file>

<file path=docProps/custom.xml><?xml version="1.0" encoding="utf-8"?>
<Properties xmlns="http://schemas.openxmlformats.org/officeDocument/2006/custom-properties" xmlns:vt="http://schemas.openxmlformats.org/officeDocument/2006/docPropsVTypes"/>
</file>