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color w:val="1B3A6B"/>
          <w:sz w:val="56"/>
          <w:szCs w:val="56"/>
        </w:rPr>
        <w:t xml:space="preserve">Veille AI Act — Compte-rendu</w:t>
      </w:r>
    </w:p>
    <w:p>
      <w:pPr>
        <w:spacing w:after="120"/>
        <w:jc w:val="center"/>
      </w:pPr>
      <w:r>
        <w:rPr>
          <w:rFonts w:ascii="Calibri" w:cs="Calibri" w:eastAsia="Calibri" w:hAnsi="Calibri"/>
          <w:color w:val="4A5568"/>
          <w:sz w:val="28"/>
          <w:szCs w:val="28"/>
        </w:rPr>
        <w:t xml:space="preserve">24 octobre 2026</w:t>
      </w:r>
    </w:p>
    <w:p>
      <w:pPr>
        <w:spacing w:after="120"/>
        <w:jc w:val="center"/>
      </w:pPr>
      <w:r>
        <w:rPr>
          <w:rFonts w:ascii="Calibri" w:cs="Calibri" w:eastAsia="Calibri" w:hAnsi="Calibri"/>
          <w:b/>
          <w:bCs/>
          <w:color w:val="D97706"/>
          <w:sz w:val="26"/>
          <w:szCs w:val="26"/>
        </w:rPr>
        <w:t xml:space="preserve">🟡 Niveau d'alerte : ORANGE — 2 faits marquants dans la fenêtre</w:t>
      </w:r>
    </w:p>
    <w:p>
      <w:pPr>
        <w:spacing w:after="80"/>
      </w:pPr>
      <w:r>
        <w:rPr>
          <w:rFonts w:ascii="Calibri" w:cs="Calibri" w:eastAsia="Calibri" w:hAnsi="Calibri"/>
          <w:b/>
          <w:bCs/>
          <w:color w:val="1F2937"/>
          <w:sz w:val="22"/>
          <w:szCs w:val="22"/>
        </w:rPr>
        <w:t xml:space="preserve">Fenêtre couverte : 17 → 24 octobre 2026</w:t>
      </w:r>
    </w:p>
    <w:p>
      <w:pPr>
        <w:spacing w:after="80"/>
      </w:pPr>
      <w:r>
        <w:rPr>
          <w:rFonts w:ascii="Calibri" w:cs="Calibri" w:eastAsia="Calibri" w:hAnsi="Calibri"/>
          <w:color w:val="1F2937"/>
          <w:sz w:val="22"/>
          <w:szCs w:val="22"/>
        </w:rPr>
        <w:t xml:space="preserve">Sources : 12 tentées — 3 ✅ exploitées · 9 ⚠️ consultées · 0 ⛔ inaccessibles</w:t>
      </w:r>
    </w:p>
    <w:p>
      <w:pPr>
        <w:spacing w:after="80"/>
      </w:pPr>
      <w:r>
        <w:rPr>
          <w:rFonts w:ascii="Calibri" w:cs="Calibri" w:eastAsia="Calibri" w:hAnsi="Calibri"/>
          <w:color w:val="1F2937"/>
          <w:sz w:val="22"/>
          <w:szCs w:val="22"/>
        </w:rPr>
        <w:t xml:space="preserve">Faits marquants : 2</w:t>
      </w:r>
    </w:p>
    <w:p>
      <w:pPr>
        <w:spacing w:after="60"/>
      </w:pPr>
      <w:r>
        <w:rPr>
          <w:rFonts w:ascii="Calibri" w:cs="Calibri" w:eastAsia="Calibri" w:hAnsi="Calibri"/>
          <w:color w:val="CBD5E0"/>
          <w:sz w:val="16"/>
          <w:szCs w:val="16"/>
        </w:rPr>
        <w:t xml:space="preserve">─────────────────────────────────────────────────────────</w:t>
      </w:r>
    </w:p>
    <w:p>
      <w:pPr>
        <w:spacing w:after="120" w:before="300"/>
      </w:pPr>
      <w:r>
        <w:rPr>
          <w:rFonts w:ascii="Calibri" w:cs="Calibri" w:eastAsia="Calibri" w:hAnsi="Calibri"/>
          <w:b/>
          <w:bCs/>
          <w:color w:val="1B3A6B"/>
          <w:sz w:val="28"/>
          <w:szCs w:val="28"/>
        </w:rPr>
        <w:t xml:space="preserve">🔵 En bref</w:t>
      </w:r>
    </w:p>
    <w:p>
      <w:pPr>
        <w:pStyle w:val="ListParagraph"/>
        <w:numPr>
          <w:ilvl w:val="0"/>
          <w:numId w:val="1"/>
        </w:numPr>
        <w:spacing w:after="60"/>
      </w:pPr>
      <w:r>
        <w:rPr>
          <w:rFonts w:ascii="Calibri" w:cs="Calibri" w:eastAsia="Calibri" w:hAnsi="Calibri"/>
          <w:color w:val="1F2937"/>
          <w:sz w:val="22"/>
          <w:szCs w:val="22"/>
        </w:rPr>
        <w:t xml:space="preserve">🆕 Premier standard harmonisé AI Act publié au Journal officiel de l'UE le 19 octobre 2026 : EN 18286:2026 (QMS pour systèmes d'IA à haut risque) — présomption de conformité à l'art. 17 du règlement.</w:t>
      </w:r>
    </w:p>
    <w:p>
      <w:pPr>
        <w:pStyle w:val="ListParagraph"/>
        <w:numPr>
          <w:ilvl w:val="0"/>
          <w:numId w:val="1"/>
        </w:numPr>
        <w:spacing w:after="60"/>
      </w:pPr>
      <w:r>
        <w:rPr>
          <w:rFonts w:ascii="Calibri" w:cs="Calibri" w:eastAsia="Calibri" w:hAnsi="Calibri"/>
          <w:color w:val="1F2937"/>
          <w:sz w:val="22"/>
          <w:szCs w:val="22"/>
        </w:rPr>
        <w:t xml:space="preserve">🆕 Le Conseil de l'UE a adopté son mandat de négociation sur l'Omnibus numérique le 21 octobre 2026 : simplifications RGPD (maintien de la définition des données personnelles), directive ePrivacy (cookies), signalement d'incidents cybersécurité.</w:t>
      </w:r>
    </w:p>
    <w:p>
      <w:pPr>
        <w:pStyle w:val="ListParagraph"/>
        <w:numPr>
          <w:ilvl w:val="0"/>
          <w:numId w:val="1"/>
        </w:numPr>
        <w:spacing w:after="60"/>
      </w:pPr>
      <w:r>
        <w:rPr>
          <w:rFonts w:ascii="Calibri" w:cs="Calibri" w:eastAsia="Calibri" w:hAnsi="Calibri"/>
          <w:color w:val="1F2937"/>
          <w:sz w:val="22"/>
          <w:szCs w:val="22"/>
        </w:rPr>
        <w:t xml:space="preserve">📅 Prochain jalon critique : 2 décembre 2026 — fin de la période transitoire de l'art. 50 §2 pour les systèmes génératifs (dont GPAI) mis sur le marché avant le 2 août 2026.</w:t>
      </w:r>
    </w:p>
    <w:p>
      <w:pPr>
        <w:spacing w:after="60"/>
      </w:pPr>
      <w:r>
        <w:rPr>
          <w:rFonts w:ascii="Calibri" w:cs="Calibri" w:eastAsia="Calibri" w:hAnsi="Calibri"/>
          <w:color w:val="CBD5E0"/>
          <w:sz w:val="16"/>
          <w:szCs w:val="16"/>
        </w:rPr>
        <w:t xml:space="preserve">─────────────────────────────────────────────────────────</w:t>
      </w:r>
    </w:p>
    <w:p>
      <w:pPr>
        <w:spacing w:after="120" w:before="300"/>
      </w:pPr>
      <w:r>
        <w:rPr>
          <w:rFonts w:ascii="Calibri" w:cs="Calibri" w:eastAsia="Calibri" w:hAnsi="Calibri"/>
          <w:b/>
          <w:bCs/>
          <w:color w:val="1B3A6B"/>
          <w:sz w:val="28"/>
          <w:szCs w:val="28"/>
        </w:rPr>
        <w:t xml:space="preserve">📅 Échéances réglementaires à venir</w:t>
      </w:r>
    </w:p>
    <w:p>
      <w:pPr>
        <w:spacing w:after="80"/>
      </w:pPr>
      <w:r>
        <w:rPr>
          <w:rFonts w:ascii="Calibri" w:cs="Calibri" w:eastAsia="Calibri" w:hAnsi="Calibri"/>
          <w:color w:val="1F2937"/>
          <w:sz w:val="22"/>
          <w:szCs w:val="22"/>
        </w:rPr>
        <w:t xml:space="preserve">Dates vérifiées sur le </w:t>
      </w:r>
      <w:hyperlink w:history="1" r:id="rId3mlpanuopha8ythjtas3n">
        <w:r>
          <w:rPr>
            <w:rFonts w:ascii="Calibri" w:cs="Calibri" w:eastAsia="Calibri" w:hAnsi="Calibri"/>
            <w:color w:val="1155CC"/>
            <w:sz w:val="22"/>
            <w:szCs w:val="22"/>
            <w:u w:val="single"/>
          </w:rPr>
          <w:t xml:space="preserve">calendrier officiel AI Act Service Desk</w:t>
        </w:r>
      </w:hyperlink>
      <w:r>
        <w:rPr>
          <w:rFonts w:ascii="Calibri" w:cs="Calibri" w:eastAsia="Calibri" w:hAnsi="Calibri"/>
          <w:color w:val="1F2937"/>
          <w:sz w:val="22"/>
          <w:szCs w:val="22"/>
        </w:rPr>
        <w:t xml:space="preserve"> lors de cette exécution.</w:t>
      </w:r>
    </w:p>
    <w:p>
      <w:pPr>
        <w:pStyle w:val="ListParagraph"/>
        <w:numPr>
          <w:ilvl w:val="0"/>
          <w:numId w:val="1"/>
        </w:numPr>
        <w:spacing w:after="60"/>
      </w:pPr>
      <w:r>
        <w:rPr>
          <w:rFonts w:ascii="Calibri" w:cs="Calibri" w:eastAsia="Calibri" w:hAnsi="Calibri"/>
          <w:b w:val="false"/>
          <w:bCs w:val="false"/>
          <w:color w:val="1F2937"/>
          <w:sz w:val="22"/>
          <w:szCs w:val="22"/>
        </w:rPr>
        <w:t xml:space="preserve">2 décembre 2026 — Fin période transitoire art. 50 §2 (transparence pour les systèmes génératifs mis sur le marché avant le 2 août 2026). Entrée en application des interdictions de deepfakes sexuels non consentis et de CSAM par IA.</w:t>
      </w:r>
    </w:p>
    <w:p>
      <w:pPr>
        <w:pStyle w:val="ListParagraph"/>
        <w:numPr>
          <w:ilvl w:val="0"/>
          <w:numId w:val="1"/>
        </w:numPr>
        <w:spacing w:after="60"/>
      </w:pPr>
      <w:r>
        <w:rPr>
          <w:rFonts w:ascii="Calibri" w:cs="Calibri" w:eastAsia="Calibri" w:hAnsi="Calibri"/>
          <w:color w:val="1F2937"/>
          <w:sz w:val="22"/>
          <w:szCs w:val="22"/>
        </w:rPr>
        <w:t xml:space="preserve">2 août 2027 — Chaque État membre doit disposer d'au moins un bac à sable réglementaire opérationnel.</w:t>
      </w:r>
    </w:p>
    <w:p>
      <w:pPr>
        <w:pStyle w:val="ListParagraph"/>
        <w:numPr>
          <w:ilvl w:val="0"/>
          <w:numId w:val="1"/>
        </w:numPr>
        <w:spacing w:after="60"/>
      </w:pPr>
      <w:r>
        <w:rPr>
          <w:rFonts w:ascii="Calibri" w:cs="Calibri" w:eastAsia="Calibri" w:hAnsi="Calibri"/>
          <w:color w:val="1F2937"/>
          <w:sz w:val="22"/>
          <w:szCs w:val="22"/>
        </w:rPr>
        <w:t xml:space="preserve">2 décembre 2027 — Application des règles pour les systèmes d'IA à haut risque (annexe III, dont les systèmes d'aide à la décision dans le secteur médico-social).</w:t>
      </w:r>
    </w:p>
    <w:p>
      <w:pPr>
        <w:pStyle w:val="ListParagraph"/>
        <w:numPr>
          <w:ilvl w:val="0"/>
          <w:numId w:val="1"/>
        </w:numPr>
        <w:spacing w:after="60"/>
      </w:pPr>
      <w:r>
        <w:rPr>
          <w:rFonts w:ascii="Calibri" w:cs="Calibri" w:eastAsia="Calibri" w:hAnsi="Calibri"/>
          <w:color w:val="1F2937"/>
          <w:sz w:val="22"/>
          <w:szCs w:val="22"/>
        </w:rPr>
        <w:t xml:space="preserve">2 août 2028 — Application des règles pour les systèmes d'IA intégrés dans des produits réglementés (annexe I).</w:t>
      </w:r>
    </w:p>
    <w:p>
      <w:pPr>
        <w:spacing w:after="60"/>
      </w:pPr>
      <w:r>
        <w:rPr>
          <w:rFonts w:ascii="Calibri" w:cs="Calibri" w:eastAsia="Calibri" w:hAnsi="Calibri"/>
          <w:color w:val="CBD5E0"/>
          <w:sz w:val="16"/>
          <w:szCs w:val="16"/>
        </w:rPr>
        <w:t xml:space="preserve">─────────────────────────────────────────────────────────</w:t>
      </w:r>
    </w:p>
    <w:p>
      <w:pPr>
        <w:spacing w:after="120" w:before="300"/>
      </w:pPr>
      <w:r>
        <w:rPr>
          <w:rFonts w:ascii="Calibri" w:cs="Calibri" w:eastAsia="Calibri" w:hAnsi="Calibri"/>
          <w:b/>
          <w:bCs/>
          <w:color w:val="1B3A6B"/>
          <w:sz w:val="28"/>
          <w:szCs w:val="28"/>
        </w:rPr>
        <w:t xml:space="preserve">🏛️ Actualité officielle UE</w:t>
      </w:r>
    </w:p>
    <w:p>
      <w:pPr>
        <w:spacing w:after="80"/>
      </w:pPr>
      <w:r>
        <w:rPr>
          <w:rFonts w:ascii="Calibri" w:cs="Calibri" w:eastAsia="Calibri" w:hAnsi="Calibri"/>
          <w:b/>
          <w:bCs/>
          <w:color w:val="1F2937"/>
          <w:sz w:val="22"/>
          <w:szCs w:val="22"/>
        </w:rPr>
        <w:t xml:space="preserve">— Article 1 — Lu en entier</w:t>
      </w:r>
    </w:p>
    <w:p>
      <w:pPr>
        <w:spacing w:after="80"/>
      </w:pPr>
      <w:r>
        <w:rPr>
          <w:rFonts w:ascii="Calibri" w:cs="Calibri" w:eastAsia="Calibri" w:hAnsi="Calibri"/>
          <w:color w:val="1F2937"/>
          <w:sz w:val="22"/>
          <w:szCs w:val="22"/>
        </w:rPr>
        <w:t xml:space="preserve">Commission européenne — Publication du premier standard harmonisé AI Act (19 octobre 2026) : </w:t>
      </w:r>
      <w:hyperlink w:history="1" r:id="rIdl1ikqg8xlpbyqfqcd3a-q">
        <w:r>
          <w:rPr>
            <w:rFonts w:ascii="Calibri" w:cs="Calibri" w:eastAsia="Calibri" w:hAnsi="Calibri"/>
            <w:color w:val="1155CC"/>
            <w:sz w:val="22"/>
            <w:szCs w:val="22"/>
            <w:u w:val="single"/>
          </w:rPr>
          <w:t xml:space="preserve">First harmonised standard supporting the AI Act published in the Official Journal</w:t>
        </w:r>
      </w:hyperlink>
    </w:p>
    <w:p>
      <w:pPr>
        <w:spacing w:after="80"/>
      </w:pPr>
      <w:r>
        <w:rPr>
          <w:rFonts w:ascii="Calibri" w:cs="Calibri" w:eastAsia="Calibri" w:hAnsi="Calibri"/>
          <w:color w:val="1F2937"/>
          <w:sz w:val="22"/>
          <w:szCs w:val="22"/>
        </w:rPr>
        <w:t xml:space="preserve">La Commission européenne a publié au JOUE la référence du premier standard harmonisé soutenant la mise en œuvre de l'AI Act. Le standard EN 18286:2026 — Artificial intelligence — Quality management system for EU AI Act regulatory purposes, développé par CEN et CENELEC, fournit une voie de conformité claire pour les fournisseurs de systèmes d'IA à haut risque visant à respecter les exigences du système de gestion de la qualité (QMS) de l'article 17 du règlement.</w:t>
      </w:r>
    </w:p>
    <w:p>
      <w:pPr>
        <w:spacing w:after="80"/>
      </w:pPr>
      <w:r>
        <w:rPr>
          <w:rFonts w:ascii="Calibri" w:cs="Calibri" w:eastAsia="Calibri" w:hAnsi="Calibri"/>
          <w:color w:val="1F2937"/>
          <w:sz w:val="22"/>
          <w:szCs w:val="22"/>
        </w:rPr>
        <w:t xml:space="preserve">Sa publication par la décision d'exécution de la Commission (UE) 2026/2274 signifie que les fournisseurs qui mettront en œuvre ce standard bénéficieront d'une présomption de conformité aux exigences de l'art. 17 couvertes par le standard. EN 18286 est le seul standard QMS pour l'IA à disposer de cette présomption de conformité.</w:t>
      </w:r>
    </w:p>
    <w:p>
      <w:pPr>
        <w:spacing w:after="80"/>
      </w:pPr>
      <w:r>
        <w:rPr>
          <w:rFonts w:ascii="Calibri" w:cs="Calibri" w:eastAsia="Calibri" w:hAnsi="Calibri"/>
          <w:color w:val="1F2937"/>
          <w:sz w:val="22"/>
          <w:szCs w:val="22"/>
        </w:rPr>
        <w:t xml:space="preserve">Le standard est conçu pour s'articuler avec les standards internationaux existants (ISO/IEC 42001, ISO 9001 ou un QMS sectoriel comme ISO 13485) plutôt que de les remplacer. EN 18286 permet explicitement aux fournisseurs dans les secteurs réglementés d'intégrer leurs systèmes de gestion plutôt que d'en créer de parallèles.</w:t>
      </w:r>
    </w:p>
    <w:p>
      <w:pPr>
        <w:spacing w:after="80"/>
      </w:pPr>
      <w:r>
        <w:rPr>
          <w:rFonts w:ascii="Calibri" w:cs="Calibri" w:eastAsia="Calibri" w:hAnsi="Calibri"/>
          <w:color w:val="1F2937"/>
          <w:sz w:val="22"/>
          <w:szCs w:val="22"/>
        </w:rPr>
        <w:t xml:space="preserve">Date de publication de la page Commission : 19 octobre 2026. La page était mise à jour en dernier le 21 octobre 2026.</w:t>
      </w:r>
    </w:p>
    <w:p>
      <w:pPr>
        <w:spacing w:after="80"/>
      </w:pPr>
      <w:r>
        <w:rPr>
          <w:rFonts w:ascii="Calibri" w:cs="Calibri" w:eastAsia="Calibri" w:hAnsi="Calibri"/>
          <w:color w:val="1F2937"/>
          <w:sz w:val="22"/>
          <w:szCs w:val="22"/>
        </w:rPr>
        <w:t xml:space="preserve"/>
      </w:r>
    </w:p>
    <w:p>
      <w:pPr>
        <w:spacing w:after="80"/>
      </w:pPr>
      <w:r>
        <w:rPr>
          <w:rFonts w:ascii="Calibri" w:cs="Calibri" w:eastAsia="Calibri" w:hAnsi="Calibri"/>
          <w:b/>
          <w:bCs/>
          <w:color w:val="1F2937"/>
          <w:sz w:val="22"/>
          <w:szCs w:val="22"/>
        </w:rPr>
        <w:t xml:space="preserve">— Article 2 — Non lu directement (403 anti-robot)</w:t>
      </w:r>
    </w:p>
    <w:p>
      <w:pPr>
        <w:spacing w:after="80"/>
      </w:pPr>
      <w:r>
        <w:rPr>
          <w:rFonts w:ascii="Calibri" w:cs="Calibri" w:eastAsia="Calibri" w:hAnsi="Calibri"/>
          <w:color w:val="1F2937"/>
          <w:sz w:val="22"/>
          <w:szCs w:val="22"/>
        </w:rPr>
        <w:t xml:space="preserve">Conseil de l'UE — Mandat de négociation Digital Omnibus (21 octobre 2026) : </w:t>
      </w:r>
      <w:hyperlink w:history="1" r:id="rIdda7z4snrz14s7wukjlrh4">
        <w:r>
          <w:rPr>
            <w:rFonts w:ascii="Calibri" w:cs="Calibri" w:eastAsia="Calibri" w:hAnsi="Calibri"/>
            <w:color w:val="1155CC"/>
            <w:sz w:val="22"/>
            <w:szCs w:val="22"/>
            <w:u w:val="single"/>
          </w:rPr>
          <w:t xml:space="preserve">Digital rulebook: Council agrees position to simplify data protection, privacy and cyber reporting rules</w:t>
        </w:r>
      </w:hyperlink>
    </w:p>
    <w:p>
      <w:pPr>
        <w:spacing w:after="80"/>
      </w:pPr>
      <w:r>
        <w:rPr>
          <w:rFonts w:ascii="Calibri" w:cs="Calibri" w:eastAsia="Calibri" w:hAnsi="Calibri"/>
          <w:color w:val="1F2937"/>
          <w:sz w:val="22"/>
          <w:szCs w:val="22"/>
        </w:rPr>
        <w:t xml:space="preserve">⚠️ Communiqué de presse du Conseil de l'UE — 403 anti-robot lors de cette exécution. Contenu repris depuis l'article IAPP (lu en entier, voir section Analyses). Le communiqué annonce l'adoption du mandat de négociation de la Présidence irlandaise du Conseil sur l'Omnibus numérique.</w:t>
      </w:r>
    </w:p>
    <w:p>
      <w:pPr>
        <w:spacing w:after="60"/>
      </w:pPr>
      <w:r>
        <w:rPr>
          <w:rFonts w:ascii="Calibri" w:cs="Calibri" w:eastAsia="Calibri" w:hAnsi="Calibri"/>
          <w:color w:val="CBD5E0"/>
          <w:sz w:val="16"/>
          <w:szCs w:val="16"/>
        </w:rPr>
        <w:t xml:space="preserve">─────────────────────────────────────────────────────────</w:t>
      </w:r>
    </w:p>
    <w:p>
      <w:pPr>
        <w:spacing w:after="120" w:before="300"/>
      </w:pPr>
      <w:r>
        <w:rPr>
          <w:rFonts w:ascii="Calibri" w:cs="Calibri" w:eastAsia="Calibri" w:hAnsi="Calibri"/>
          <w:b/>
          <w:bCs/>
          <w:color w:val="1B3A6B"/>
          <w:sz w:val="28"/>
          <w:szCs w:val="28"/>
        </w:rPr>
        <w:t xml:space="preserve">📰 Analyses &amp; gouvernance</w:t>
      </w:r>
    </w:p>
    <w:p>
      <w:pPr>
        <w:spacing w:after="80"/>
      </w:pPr>
      <w:r>
        <w:rPr>
          <w:rFonts w:ascii="Calibri" w:cs="Calibri" w:eastAsia="Calibri" w:hAnsi="Calibri"/>
          <w:b/>
          <w:bCs/>
          <w:color w:val="1F2937"/>
          <w:sz w:val="22"/>
          <w:szCs w:val="22"/>
        </w:rPr>
        <w:t xml:space="preserve">— IAPP — Article lu en entier</w:t>
      </w:r>
    </w:p>
    <w:p>
      <w:pPr>
        <w:spacing w:after="80"/>
      </w:pPr>
      <w:hyperlink w:history="1" r:id="rId87ialm_cd81gddq-trnpm">
        <w:r>
          <w:rPr>
            <w:rFonts w:ascii="Calibri" w:cs="Calibri" w:eastAsia="Calibri" w:hAnsi="Calibri"/>
            <w:color w:val="1155CC"/>
            <w:sz w:val="22"/>
            <w:szCs w:val="22"/>
            <w:u w:val="single"/>
          </w:rPr>
          <w:t xml:space="preserve">EU member states finalize Digital Omnibus negotiating stance</w:t>
        </w:r>
      </w:hyperlink>
      <w:r>
        <w:rPr>
          <w:rFonts w:ascii="Calibri" w:cs="Calibri" w:eastAsia="Calibri" w:hAnsi="Calibri"/>
          <w:color w:val="1F2937"/>
          <w:sz w:val="22"/>
          <w:szCs w:val="22"/>
        </w:rPr>
        <w:t xml:space="preserve"> — Lexie White, IAPP · 22 octobre 2026</w:t>
      </w:r>
    </w:p>
    <w:p>
      <w:pPr>
        <w:spacing w:after="80"/>
      </w:pPr>
      <w:r>
        <w:rPr>
          <w:rFonts w:ascii="Calibri" w:cs="Calibri" w:eastAsia="Calibri" w:hAnsi="Calibri"/>
          <w:color w:val="1F2937"/>
          <w:sz w:val="22"/>
          <w:szCs w:val="22"/>
        </w:rPr>
        <w:t xml:space="preserve">La Présidence irlandaise du Conseil de l'UE a annoncé un accord sur la position de négociation des États membres pour l'Omnibus numérique proposé, qui vise à amender et simplifier le cadre réglementaire numérique de l'UE, incluant le RGPD, la directive ePrivacy, et d'autres textes.</w:t>
      </w:r>
    </w:p>
    <w:p>
      <w:pPr>
        <w:pStyle w:val="ListParagraph"/>
        <w:numPr>
          <w:ilvl w:val="0"/>
          <w:numId w:val="1"/>
        </w:numPr>
        <w:spacing w:after="60"/>
      </w:pPr>
      <w:r>
        <w:rPr>
          <w:rFonts w:ascii="Calibri" w:cs="Calibri" w:eastAsia="Calibri" w:hAnsi="Calibri"/>
          <w:color w:val="1F2937"/>
          <w:sz w:val="22"/>
          <w:szCs w:val="22"/>
        </w:rPr>
        <w:t xml:space="preserve">RGPD — Définition des données personnelles : le Conseil a accepté de maintenir la définition existante du RGPD et a introduit un amendement précisant les standards de pseudonymisation pour assurer la conformité lors du traitement de données.</w:t>
      </w:r>
    </w:p>
    <w:p>
      <w:pPr>
        <w:pStyle w:val="ListParagraph"/>
        <w:numPr>
          <w:ilvl w:val="0"/>
          <w:numId w:val="1"/>
        </w:numPr>
        <w:spacing w:after="60"/>
      </w:pPr>
      <w:r>
        <w:rPr>
          <w:rFonts w:ascii="Calibri" w:cs="Calibri" w:eastAsia="Calibri" w:hAnsi="Calibri"/>
          <w:color w:val="1F2937"/>
          <w:sz w:val="22"/>
          <w:szCs w:val="22"/>
        </w:rPr>
        <w:t xml:space="preserve">ePrivacy — Cookies : l'Omnibus cherche à limiter les bannières de cookies en mettant à jour les dispositions de la directive ePrivacy sur les cas où les notifications de placement de cookies ne sont pas requises.</w:t>
      </w:r>
    </w:p>
    <w:p>
      <w:pPr>
        <w:pStyle w:val="ListParagraph"/>
        <w:numPr>
          <w:ilvl w:val="0"/>
          <w:numId w:val="1"/>
        </w:numPr>
        <w:spacing w:after="60"/>
      </w:pPr>
      <w:r>
        <w:rPr>
          <w:rFonts w:ascii="Calibri" w:cs="Calibri" w:eastAsia="Calibri" w:hAnsi="Calibri"/>
          <w:color w:val="1F2937"/>
          <w:sz w:val="22"/>
          <w:szCs w:val="22"/>
        </w:rPr>
        <w:t xml:space="preserve">Cybersécurité — Signalement d'incidents : le Conseil s'est opposé à un portail de signalement au niveau UE en faveur de portails nationaux respectant les spécificités du droit de chaque État membre, tout en visant un cadre harmonisé pour les notifications transfrontalières.</w:t>
      </w:r>
    </w:p>
    <w:p>
      <w:pPr>
        <w:spacing w:after="80"/>
      </w:pPr>
      <w:r>
        <w:rPr>
          <w:rFonts w:ascii="Calibri" w:cs="Calibri" w:eastAsia="Calibri" w:hAnsi="Calibri"/>
          <w:color w:val="1F2937"/>
          <w:sz w:val="22"/>
          <w:szCs w:val="22"/>
        </w:rPr>
        <w:t xml:space="preserve">Prochaine étape : le Parlement européen doit adopter sa propre position de négociation pour que le trilogue puisse commencer.</w:t>
      </w:r>
    </w:p>
    <w:p>
      <w:pPr>
        <w:spacing w:after="80"/>
      </w:pPr>
      <w:r>
        <w:rPr>
          <w:rFonts w:ascii="Calibri" w:cs="Calibri" w:eastAsia="Calibri" w:hAnsi="Calibri"/>
          <w:color w:val="1F2937"/>
          <w:sz w:val="22"/>
          <w:szCs w:val="22"/>
        </w:rPr>
        <w:t xml:space="preserve"/>
      </w:r>
    </w:p>
    <w:p>
      <w:pPr>
        <w:spacing w:after="80"/>
      </w:pPr>
      <w:r>
        <w:rPr>
          <w:rFonts w:ascii="Calibri" w:cs="Calibri" w:eastAsia="Calibri" w:hAnsi="Calibri"/>
          <w:b/>
          <w:bCs/>
          <w:color w:val="1F2937"/>
          <w:sz w:val="22"/>
          <w:szCs w:val="22"/>
        </w:rPr>
        <w:t xml:space="preserve">— artificialintelligenceact.eu (Future of Life Institute) — Consultée</w:t>
      </w:r>
    </w:p>
    <w:p>
      <w:pPr>
        <w:spacing w:after="80"/>
      </w:pPr>
      <w:hyperlink w:history="1" r:id="rIdb8uxs6uylxbbu6ngwt8uc">
        <w:r>
          <w:rPr>
            <w:rFonts w:ascii="Calibri" w:cs="Calibri" w:eastAsia="Calibri" w:hAnsi="Calibri"/>
            <w:color w:val="1155CC"/>
            <w:sz w:val="22"/>
            <w:szCs w:val="22"/>
            <w:u w:val="single"/>
          </w:rPr>
          <w:t xml:space="preserve">artificialintelligenceact.eu</w:t>
        </w:r>
      </w:hyperlink>
      <w:r>
        <w:rPr>
          <w:rFonts w:ascii="Calibri" w:cs="Calibri" w:eastAsia="Calibri" w:hAnsi="Calibri"/>
          <w:color w:val="1F2937"/>
          <w:sz w:val="22"/>
          <w:szCs w:val="22"/>
        </w:rPr>
        <w:t xml:space="preserve"> — 16 208 caractères de texte, consultée lors de cette exécution</w:t>
      </w:r>
    </w:p>
    <w:p>
      <w:pPr>
        <w:spacing w:after="80"/>
      </w:pPr>
      <w:r>
        <w:rPr>
          <w:rFonts w:ascii="Calibri" w:cs="Calibri" w:eastAsia="Calibri" w:hAnsi="Calibri"/>
          <w:color w:val="1F2937"/>
          <w:sz w:val="22"/>
          <w:szCs w:val="22"/>
        </w:rPr>
        <w:t xml:space="preserve">Consultée lors de cette exécution (16 208 caractères de texte utile). La page principale ne présente pas de contenu daté dans la fenêtre du 17 au 24 octobre 2026. Pas d'élément nouveau à signaler.</w:t>
      </w:r>
    </w:p>
    <w:p>
      <w:pPr>
        <w:spacing w:after="60"/>
      </w:pPr>
      <w:r>
        <w:rPr>
          <w:rFonts w:ascii="Calibri" w:cs="Calibri" w:eastAsia="Calibri" w:hAnsi="Calibri"/>
          <w:color w:val="CBD5E0"/>
          <w:sz w:val="16"/>
          <w:szCs w:val="16"/>
        </w:rPr>
        <w:t xml:space="preserve">─────────────────────────────────────────────────────────</w:t>
      </w:r>
    </w:p>
    <w:p>
      <w:pPr>
        <w:spacing w:after="120" w:before="300"/>
      </w:pPr>
      <w:r>
        <w:rPr>
          <w:rFonts w:ascii="Calibri" w:cs="Calibri" w:eastAsia="Calibri" w:hAnsi="Calibri"/>
          <w:b/>
          <w:bCs/>
          <w:color w:val="1B3A6B"/>
          <w:sz w:val="28"/>
          <w:szCs w:val="28"/>
        </w:rPr>
        <w:t xml:space="preserve">🇫🇷 Perspective française (CNIL / RGPD)</w:t>
      </w:r>
    </w:p>
    <w:p>
      <w:pPr>
        <w:spacing w:after="80"/>
      </w:pPr>
      <w:r>
        <w:rPr>
          <w:rFonts w:ascii="Calibri" w:cs="Calibri" w:eastAsia="Calibri" w:hAnsi="Calibri"/>
          <w:b/>
          <w:bCs/>
          <w:color w:val="1F2937"/>
          <w:sz w:val="22"/>
          <w:szCs w:val="22"/>
        </w:rPr>
        <w:t xml:space="preserve">— CNIL — Journée RGPD à Poitiers (annonce du 20 octobre 2026)</w:t>
      </w:r>
    </w:p>
    <w:p>
      <w:pPr>
        <w:spacing w:after="80"/>
      </w:pPr>
      <w:hyperlink w:history="1" r:id="rIdtmsmidnbra6hag_zsqxwd">
        <w:r>
          <w:rPr>
            <w:rFonts w:ascii="Calibri" w:cs="Calibri" w:eastAsia="Calibri" w:hAnsi="Calibri"/>
            <w:color w:val="1155CC"/>
            <w:sz w:val="22"/>
            <w:szCs w:val="22"/>
            <w:u w:val="single"/>
          </w:rPr>
          <w:t xml:space="preserve">Journée RGPD à Poitiers : cybersécurité, IA et conformité au cœur des enjeux de protection des données</w:t>
        </w:r>
      </w:hyperlink>
      <w:r>
        <w:rPr>
          <w:rFonts w:ascii="Calibri" w:cs="Calibri" w:eastAsia="Calibri" w:hAnsi="Calibri"/>
          <w:color w:val="1F2937"/>
          <w:sz w:val="22"/>
          <w:szCs w:val="22"/>
        </w:rPr>
        <w:t xml:space="preserve"> · Annoncé le 20 octobre 2026</w:t>
      </w:r>
    </w:p>
    <w:p>
      <w:pPr>
        <w:spacing w:after="80"/>
      </w:pPr>
      <w:r>
        <w:rPr>
          <w:rFonts w:ascii="Calibri" w:cs="Calibri" w:eastAsia="Calibri" w:hAnsi="Calibri"/>
          <w:color w:val="1F2937"/>
          <w:sz w:val="22"/>
          <w:szCs w:val="22"/>
        </w:rPr>
        <w:t xml:space="preserve">La CNIL organise une nouvelle Journée RGPD à Poitiers le 1er décembre 2026 (9h, Salons de Blossac). L'événement est gratuit, sur inscription. Au programme : nouvelles compétences de la CNIL dans le cadre du RIA, articulation RGPD/RIA, contrôles CNIL, cybersécurité, évolution du métier de DPO. Organisé en collaboration avec l'AFCDP, la Ville de Poitiers et Poitiers Métropole. Entrée gratuite, inscription obligatoire.</w:t>
      </w:r>
    </w:p>
    <w:p>
      <w:pPr>
        <w:spacing w:after="80"/>
      </w:pPr>
      <w:r>
        <w:rPr>
          <w:rFonts w:ascii="Calibri" w:cs="Calibri" w:eastAsia="Calibri" w:hAnsi="Calibri"/>
          <w:color w:val="1F2937"/>
          <w:sz w:val="22"/>
          <w:szCs w:val="22"/>
        </w:rPr>
        <w:t xml:space="preserve"/>
      </w:r>
    </w:p>
    <w:p>
      <w:pPr>
        <w:spacing w:after="80"/>
      </w:pPr>
      <w:r>
        <w:rPr>
          <w:rFonts w:ascii="Calibri" w:cs="Calibri" w:eastAsia="Calibri" w:hAnsi="Calibri"/>
          <w:b/>
          <w:bCs/>
          <w:color w:val="1F2937"/>
          <w:sz w:val="22"/>
          <w:szCs w:val="22"/>
        </w:rPr>
        <w:t xml:space="preserve">— France / Désignation des autorités compétentes RIA (DDADUE) — Non vérifié</w:t>
      </w:r>
    </w:p>
    <w:p>
      <w:pPr>
        <w:spacing w:after="80"/>
      </w:pPr>
      <w:r>
        <w:rPr>
          <w:rFonts w:ascii="Calibri" w:cs="Calibri" w:eastAsia="Calibri" w:hAnsi="Calibri"/>
          <w:color w:val="1F2937"/>
          <w:sz w:val="22"/>
          <w:szCs w:val="22"/>
        </w:rPr>
        <w:t xml:space="preserve">⚠️ Non vérifié lors de cette exécution (Légifrance HTTP 403, sites parlementaires inaccessibles). Repris du cadrage du 30/08/2026 : les autorités françaises compétentes au sens du RIA ne sont pas encore désignées, faute d'adoption du volet numérique du DDADUE (décret/loi d'adaptation au droit de l'UE). Cette absence ne suspend aucune obligation ; l'interlocuteur de fait d'un ESSMS demeure la CNIL via son DPO.</w:t>
      </w:r>
    </w:p>
    <w:p>
      <w:pPr>
        <w:spacing w:after="60"/>
      </w:pPr>
      <w:r>
        <w:rPr>
          <w:rFonts w:ascii="Calibri" w:cs="Calibri" w:eastAsia="Calibri" w:hAnsi="Calibri"/>
          <w:color w:val="CBD5E0"/>
          <w:sz w:val="16"/>
          <w:szCs w:val="16"/>
        </w:rPr>
        <w:t xml:space="preserve">─────────────────────────────────────────────────────────</w:t>
      </w:r>
    </w:p>
    <w:p>
      <w:pPr>
        <w:spacing w:after="120" w:before="300"/>
      </w:pPr>
      <w:r>
        <w:rPr>
          <w:rFonts w:ascii="Calibri" w:cs="Calibri" w:eastAsia="Calibri" w:hAnsi="Calibri"/>
          <w:b/>
          <w:bCs/>
          <w:color w:val="1B3A6B"/>
          <w:sz w:val="28"/>
          <w:szCs w:val="28"/>
        </w:rPr>
        <w:t xml:space="preserve">⚠️ Impacts pour les ESSMS</w:t>
      </w:r>
    </w:p>
    <w:p>
      <w:pPr>
        <w:spacing w:after="80"/>
      </w:pPr>
      <w:r>
        <w:rPr>
          <w:rFonts w:ascii="Calibri" w:cs="Calibri" w:eastAsia="Calibri" w:hAnsi="Calibri"/>
          <w:color w:val="1F2937"/>
          <w:sz w:val="22"/>
          <w:szCs w:val="22"/>
        </w:rPr>
        <w:t xml:space="preserve">Points de vigilance pour un foyer d'hébergement accueillant des adultes en situation de handicap :</w:t>
      </w:r>
    </w:p>
    <w:p>
      <w:pPr>
        <w:pStyle w:val="ListParagraph"/>
        <w:numPr>
          <w:ilvl w:val="0"/>
          <w:numId w:val="1"/>
        </w:numPr>
        <w:spacing w:after="60"/>
      </w:pPr>
      <w:r>
        <w:rPr>
          <w:rFonts w:ascii="Calibri" w:cs="Calibri" w:eastAsia="Calibri" w:hAnsi="Calibri"/>
          <w:color w:val="1F2937"/>
          <w:sz w:val="22"/>
          <w:szCs w:val="22"/>
        </w:rPr>
        <w:t xml:space="preserve">Standard EN 18286:2026 (art. 17 QMS) : premier standard harmonisé avec présomption de conformité — les ESSMS utilisant des systèmes d'IA classés à haut risque (outils d'aide à la décision, analyse de données de santé, profilage des usagers) pourront s'appuyer sur ce standard pour structurer leur démarche qualité IA. Il est compatible avec l'ISO 13485 (dispositifs médicaux) — applicable si l'établissement utilise des DM intégrant de l'IA.</w:t>
      </w:r>
    </w:p>
    <w:p>
      <w:pPr>
        <w:pStyle w:val="ListParagraph"/>
        <w:numPr>
          <w:ilvl w:val="0"/>
          <w:numId w:val="1"/>
        </w:numPr>
        <w:spacing w:after="60"/>
      </w:pPr>
      <w:r>
        <w:rPr>
          <w:rFonts w:ascii="Calibri" w:cs="Calibri" w:eastAsia="Calibri" w:hAnsi="Calibri"/>
          <w:color w:val="1F2937"/>
          <w:sz w:val="22"/>
          <w:szCs w:val="22"/>
        </w:rPr>
        <w:t xml:space="preserve">Omnibus numérique — RGPD simplifié : la simplification RGPD envisagée (pseudonymisation, cookies) pourra alléger la charge de conformité pour le traitement des DUI (Dossiers Usagers Informatisés). À suivre lors du trilogue Parlement/Conseil.</w:t>
      </w:r>
    </w:p>
    <w:p>
      <w:pPr>
        <w:pStyle w:val="ListParagraph"/>
        <w:numPr>
          <w:ilvl w:val="0"/>
          <w:numId w:val="1"/>
        </w:numPr>
        <w:spacing w:after="60"/>
      </w:pPr>
      <w:r>
        <w:rPr>
          <w:rFonts w:ascii="Calibri" w:cs="Calibri" w:eastAsia="Calibri" w:hAnsi="Calibri"/>
          <w:color w:val="1F2937"/>
          <w:sz w:val="22"/>
          <w:szCs w:val="22"/>
        </w:rPr>
        <w:t xml:space="preserve">Échéance 2 décembre 2026 : vérifier si des outils IA de génération de contenu (aide à la rédaction, synthèse vocale) ont été mis en service avant le 2 août 2026 — ils bénéficient d'une période transitoire jusqu'au 2 décembre pour se conformer aux obligations de transparence de l'art. 50 §2.</w:t>
      </w:r>
    </w:p>
    <w:p>
      <w:pPr>
        <w:pStyle w:val="ListParagraph"/>
        <w:numPr>
          <w:ilvl w:val="0"/>
          <w:numId w:val="1"/>
        </w:numPr>
        <w:spacing w:after="60"/>
      </w:pPr>
      <w:r>
        <w:rPr>
          <w:rFonts w:ascii="Calibri" w:cs="Calibri" w:eastAsia="Calibri" w:hAnsi="Calibri"/>
          <w:color w:val="1F2937"/>
          <w:sz w:val="22"/>
          <w:szCs w:val="22"/>
        </w:rPr>
        <w:t xml:space="preserve">Niveau d'alerte DPO : signal 🟡 — informer la direction de la publication du premier standard harmonisé AI Act comme jalon d'implémentation concret, et préparer l'audit des systèmes classifiables à haut risque avant décembre 2027.</w:t>
      </w:r>
    </w:p>
    <w:p>
      <w:pPr>
        <w:spacing w:after="60"/>
      </w:pPr>
      <w:r>
        <w:rPr>
          <w:rFonts w:ascii="Calibri" w:cs="Calibri" w:eastAsia="Calibri" w:hAnsi="Calibri"/>
          <w:color w:val="CBD5E0"/>
          <w:sz w:val="16"/>
          <w:szCs w:val="16"/>
        </w:rPr>
        <w:t xml:space="preserve">─────────────────────────────────────────────────────────</w:t>
      </w:r>
    </w:p>
    <w:p>
      <w:pPr>
        <w:spacing w:after="120" w:before="300"/>
      </w:pPr>
      <w:r>
        <w:rPr>
          <w:rFonts w:ascii="Calibri" w:cs="Calibri" w:eastAsia="Calibri" w:hAnsi="Calibri"/>
          <w:b/>
          <w:bCs/>
          <w:color w:val="1B3A6B"/>
          <w:sz w:val="28"/>
          <w:szCs w:val="28"/>
        </w:rPr>
        <w:t xml:space="preserve">📚 Sources du jour</w:t>
      </w:r>
    </w:p>
    <w:p>
      <w:pPr>
        <w:spacing w:after="80"/>
      </w:pPr>
      <w:r>
        <w:rPr>
          <w:rFonts w:ascii="Calibri" w:cs="Calibri" w:eastAsia="Calibri" w:hAnsi="Calibri"/>
          <w:color w:val="1F2937"/>
          <w:sz w:val="22"/>
          <w:szCs w:val="22"/>
        </w:rPr>
        <w:t xml:space="preserve">12 tentées — 3 ✅ exploitées · 9 ⚠️ consultées · 0 ⛔ inaccessibles</w:t>
      </w:r>
    </w:p>
    <w:p>
      <w:pPr>
        <w:spacing w:after="80"/>
      </w:pPr>
      <w:r>
        <w:rPr>
          <w:rFonts w:ascii="Calibri" w:cs="Calibri" w:eastAsia="Calibri" w:hAnsi="Calibri"/>
          <w:color w:val="1F2937"/>
          <w:sz w:val="22"/>
          <w:szCs w:val="22"/>
        </w:rPr>
        <w:t xml:space="preserve"/>
      </w:r>
    </w:p>
    <w:p>
      <w:pPr>
        <w:spacing w:after="80"/>
      </w:pPr>
      <w:r>
        <w:rPr>
          <w:rFonts w:ascii="Calibri" w:cs="Calibri" w:eastAsia="Calibri" w:hAnsi="Calibri"/>
          <w:color w:val="1F2937"/>
          <w:sz w:val="22"/>
          <w:szCs w:val="22"/>
        </w:rPr>
        <w:t xml:space="preserve">✅ </w:t>
      </w:r>
      <w:hyperlink w:history="1" r:id="rIdkuz_aql-u_bn4r3wt3kam">
        <w:r>
          <w:rPr>
            <w:rFonts w:ascii="Calibri" w:cs="Calibri" w:eastAsia="Calibri" w:hAnsi="Calibri"/>
            <w:color w:val="1155CC"/>
            <w:sz w:val="22"/>
            <w:szCs w:val="22"/>
            <w:u w:val="single"/>
          </w:rPr>
          <w:t xml:space="preserve">Commission — Premier standard harmonisé AI Act (19 oct. 2026)</w:t>
        </w:r>
      </w:hyperlink>
      <w:r>
        <w:rPr>
          <w:rFonts w:ascii="Calibri" w:cs="Calibri" w:eastAsia="Calibri" w:hAnsi="Calibri"/>
          <w:color w:val="1F2937"/>
          <w:sz w:val="22"/>
          <w:szCs w:val="22"/>
        </w:rPr>
        <w:t xml:space="preserve"> — Lu en entier</w:t>
      </w:r>
    </w:p>
    <w:p>
      <w:pPr>
        <w:spacing w:after="80"/>
      </w:pPr>
      <w:r>
        <w:rPr>
          <w:rFonts w:ascii="Calibri" w:cs="Calibri" w:eastAsia="Calibri" w:hAnsi="Calibri"/>
          <w:color w:val="1F2937"/>
          <w:sz w:val="22"/>
          <w:szCs w:val="22"/>
        </w:rPr>
        <w:t xml:space="preserve">⚠️ </w:t>
      </w:r>
      <w:hyperlink w:history="1" r:id="rIdbz9rhm3vjzx0pmivcitnz">
        <w:r>
          <w:rPr>
            <w:rFonts w:ascii="Calibri" w:cs="Calibri" w:eastAsia="Calibri" w:hAnsi="Calibri"/>
            <w:color w:val="1155CC"/>
            <w:sz w:val="22"/>
            <w:szCs w:val="22"/>
            <w:u w:val="single"/>
          </w:rPr>
          <w:t xml:space="preserve">Commission — Cadre réglementaire IA (page principale)</w:t>
        </w:r>
      </w:hyperlink>
      <w:r>
        <w:rPr>
          <w:rFonts w:ascii="Calibri" w:cs="Calibri" w:eastAsia="Calibri" w:hAnsi="Calibri"/>
          <w:color w:val="1F2937"/>
          <w:sz w:val="22"/>
          <w:szCs w:val="22"/>
        </w:rPr>
        <w:t xml:space="preserve"> — Consultée (18 079 car.), sans élément nouveau dans la fenêtre (dernière entrée de news : 14 oct.)</w:t>
      </w:r>
    </w:p>
    <w:p>
      <w:pPr>
        <w:spacing w:after="80"/>
      </w:pPr>
      <w:r>
        <w:rPr>
          <w:rFonts w:ascii="Calibri" w:cs="Calibri" w:eastAsia="Calibri" w:hAnsi="Calibri"/>
          <w:color w:val="1F2937"/>
          <w:sz w:val="22"/>
          <w:szCs w:val="22"/>
        </w:rPr>
        <w:t xml:space="preserve">⚠️ </w:t>
      </w:r>
      <w:hyperlink w:history="1" r:id="rId06nplcvabgzydthlqi2cq">
        <w:r>
          <w:rPr>
            <w:rFonts w:ascii="Calibri" w:cs="Calibri" w:eastAsia="Calibri" w:hAnsi="Calibri"/>
            <w:color w:val="1155CC"/>
            <w:sz w:val="22"/>
            <w:szCs w:val="22"/>
            <w:u w:val="single"/>
          </w:rPr>
          <w:t xml:space="preserve">AI Act Service Desk — Calendrier d'implémentation</w:t>
        </w:r>
      </w:hyperlink>
      <w:r>
        <w:rPr>
          <w:rFonts w:ascii="Calibri" w:cs="Calibri" w:eastAsia="Calibri" w:hAnsi="Calibri"/>
          <w:color w:val="1F2937"/>
          <w:sz w:val="22"/>
          <w:szCs w:val="22"/>
        </w:rPr>
        <w:t xml:space="preserve"> — Consultée (2 760 car.), dates d'échéances vérifiées</w:t>
      </w:r>
    </w:p>
    <w:p>
      <w:pPr>
        <w:spacing w:after="80"/>
      </w:pPr>
      <w:r>
        <w:rPr>
          <w:rFonts w:ascii="Calibri" w:cs="Calibri" w:eastAsia="Calibri" w:hAnsi="Calibri"/>
          <w:color w:val="1F2937"/>
          <w:sz w:val="22"/>
          <w:szCs w:val="22"/>
        </w:rPr>
        <w:t xml:space="preserve">⚠️ </w:t>
      </w:r>
      <w:hyperlink w:history="1" r:id="rId_fmsgarxfyf1wjeramsdz">
        <w:r>
          <w:rPr>
            <w:rFonts w:ascii="Calibri" w:cs="Calibri" w:eastAsia="Calibri" w:hAnsi="Calibri"/>
            <w:color w:val="1155CC"/>
            <w:sz w:val="22"/>
            <w:szCs w:val="22"/>
            <w:u w:val="single"/>
          </w:rPr>
          <w:t xml:space="preserve">Conseil UE — Communiqué Omnibus numérique (21 oct. 2026)</w:t>
        </w:r>
      </w:hyperlink>
      <w:r>
        <w:rPr>
          <w:rFonts w:ascii="Calibri" w:cs="Calibri" w:eastAsia="Calibri" w:hAnsi="Calibri"/>
          <w:color w:val="1F2937"/>
          <w:sz w:val="22"/>
          <w:szCs w:val="22"/>
        </w:rPr>
        <w:t xml:space="preserve"> — 403 anti-robot, repris via IAPP</w:t>
      </w:r>
    </w:p>
    <w:p>
      <w:pPr>
        <w:spacing w:after="80"/>
      </w:pPr>
      <w:r>
        <w:rPr>
          <w:rFonts w:ascii="Calibri" w:cs="Calibri" w:eastAsia="Calibri" w:hAnsi="Calibri"/>
          <w:color w:val="1F2937"/>
          <w:sz w:val="22"/>
          <w:szCs w:val="22"/>
        </w:rPr>
        <w:t xml:space="preserve">⚠️ EUR-Lex — Règl. (UE) 2024/1689 — HTTP 202 (anti-bot, non lu directement) → </w:t>
      </w:r>
      <w:hyperlink w:history="1" r:id="rIde8jdkogfhhfr7rxfchfnf">
        <w:r>
          <w:rPr>
            <w:rFonts w:ascii="Calibri" w:cs="Calibri" w:eastAsia="Calibri" w:hAnsi="Calibri"/>
            <w:color w:val="1155CC"/>
            <w:sz w:val="22"/>
            <w:szCs w:val="22"/>
            <w:u w:val="single"/>
          </w:rPr>
          <w:t xml:space="preserve">Règl. 2024/1689 (ELI)</w:t>
        </w:r>
      </w:hyperlink>
      <w:r>
        <w:rPr>
          <w:rFonts w:ascii="Calibri" w:cs="Calibri" w:eastAsia="Calibri" w:hAnsi="Calibri"/>
          <w:color w:val="1F2937"/>
          <w:sz w:val="22"/>
          <w:szCs w:val="22"/>
        </w:rPr>
        <w:t xml:space="preserve"> — Identifiant vérifié dans les hrefs de la Q/R CNIL et de la page Commission</w:t>
      </w:r>
    </w:p>
    <w:p>
      <w:pPr>
        <w:spacing w:after="80"/>
      </w:pPr>
      <w:r>
        <w:rPr>
          <w:rFonts w:ascii="Calibri" w:cs="Calibri" w:eastAsia="Calibri" w:hAnsi="Calibri"/>
          <w:color w:val="1F2937"/>
          <w:sz w:val="22"/>
          <w:szCs w:val="22"/>
        </w:rPr>
        <w:t xml:space="preserve">⚠️ EUR-Lex — Règl. (UE) 2026/1744 — HTTP 202 (anti-bot, non lu directement) → </w:t>
      </w:r>
      <w:hyperlink w:history="1" r:id="rIdoxorqxcgcz29gmqyswds3">
        <w:r>
          <w:rPr>
            <w:rFonts w:ascii="Calibri" w:cs="Calibri" w:eastAsia="Calibri" w:hAnsi="Calibri"/>
            <w:color w:val="1155CC"/>
            <w:sz w:val="22"/>
            <w:szCs w:val="22"/>
            <w:u w:val="single"/>
          </w:rPr>
          <w:t xml:space="preserve">Règl. 2026/1744 (OJ:L_202601744)</w:t>
        </w:r>
      </w:hyperlink>
      <w:r>
        <w:rPr>
          <w:rFonts w:ascii="Calibri" w:cs="Calibri" w:eastAsia="Calibri" w:hAnsi="Calibri"/>
          <w:color w:val="1F2937"/>
          <w:sz w:val="22"/>
          <w:szCs w:val="22"/>
        </w:rPr>
        <w:t xml:space="preserve"> — Identifiant OJ:L_202601744 vérifié dans les hrefs de la Q/R CNIL</w:t>
      </w:r>
    </w:p>
    <w:p>
      <w:pPr>
        <w:spacing w:after="80"/>
      </w:pPr>
      <w:r>
        <w:rPr>
          <w:rFonts w:ascii="Calibri" w:cs="Calibri" w:eastAsia="Calibri" w:hAnsi="Calibri"/>
          <w:color w:val="1F2937"/>
          <w:sz w:val="22"/>
          <w:szCs w:val="22"/>
        </w:rPr>
        <w:t xml:space="preserve">✅ </w:t>
      </w:r>
      <w:hyperlink w:history="1" r:id="rIdy5ioau_ctm8k1qi1h3kuy">
        <w:r>
          <w:rPr>
            <w:rFonts w:ascii="Calibri" w:cs="Calibri" w:eastAsia="Calibri" w:hAnsi="Calibri"/>
            <w:color w:val="1155CC"/>
            <w:sz w:val="22"/>
            <w:szCs w:val="22"/>
            <w:u w:val="single"/>
          </w:rPr>
          <w:t xml:space="preserve">IAPP — EU member states finalize Digital Omnibus negotiating stance (22 oct. 2026)</w:t>
        </w:r>
      </w:hyperlink>
      <w:r>
        <w:rPr>
          <w:rFonts w:ascii="Calibri" w:cs="Calibri" w:eastAsia="Calibri" w:hAnsi="Calibri"/>
          <w:color w:val="1F2937"/>
          <w:sz w:val="22"/>
          <w:szCs w:val="22"/>
        </w:rPr>
        <w:t xml:space="preserve"> — Lu en entier (7 433 car.)</w:t>
      </w:r>
    </w:p>
    <w:p>
      <w:pPr>
        <w:spacing w:after="80"/>
      </w:pPr>
      <w:r>
        <w:rPr>
          <w:rFonts w:ascii="Calibri" w:cs="Calibri" w:eastAsia="Calibri" w:hAnsi="Calibri"/>
          <w:color w:val="1F2937"/>
          <w:sz w:val="22"/>
          <w:szCs w:val="22"/>
        </w:rPr>
        <w:t xml:space="preserve">⚠️ artificialintelligenceact.eu — </w:t>
      </w:r>
      <w:hyperlink w:history="1" r:id="rIdp2dof2fztbhhmdcfqwirg">
        <w:r>
          <w:rPr>
            <w:rFonts w:ascii="Calibri" w:cs="Calibri" w:eastAsia="Calibri" w:hAnsi="Calibri"/>
            <w:color w:val="1155CC"/>
            <w:sz w:val="22"/>
            <w:szCs w:val="22"/>
            <w:u w:val="single"/>
          </w:rPr>
          <w:t xml:space="preserve">artificialintelligenceact.eu</w:t>
        </w:r>
      </w:hyperlink>
      <w:r>
        <w:rPr>
          <w:rFonts w:ascii="Calibri" w:cs="Calibri" w:eastAsia="Calibri" w:hAnsi="Calibri"/>
          <w:color w:val="1F2937"/>
          <w:sz w:val="22"/>
          <w:szCs w:val="22"/>
        </w:rPr>
        <w:t xml:space="preserve"> — Consultée (16 208 car.), sans élément nouveau dans la fenêtre</w:t>
      </w:r>
    </w:p>
    <w:p>
      <w:pPr>
        <w:spacing w:after="80"/>
      </w:pPr>
      <w:r>
        <w:rPr>
          <w:rFonts w:ascii="Calibri" w:cs="Calibri" w:eastAsia="Calibri" w:hAnsi="Calibri"/>
          <w:color w:val="1F2937"/>
          <w:sz w:val="22"/>
          <w:szCs w:val="22"/>
        </w:rPr>
        <w:t xml:space="preserve">⚠️ </w:t>
      </w:r>
      <w:hyperlink w:history="1" r:id="rIdagb43tdxttv1btyb2gbxy">
        <w:r>
          <w:rPr>
            <w:rFonts w:ascii="Calibri" w:cs="Calibri" w:eastAsia="Calibri" w:hAnsi="Calibri"/>
            <w:color w:val="1155CC"/>
            <w:sz w:val="22"/>
            <w:szCs w:val="22"/>
            <w:u w:val="single"/>
          </w:rPr>
          <w:t xml:space="preserve">CNIL — Intelligence artificielle (page thématique)</w:t>
        </w:r>
      </w:hyperlink>
      <w:r>
        <w:rPr>
          <w:rFonts w:ascii="Calibri" w:cs="Calibri" w:eastAsia="Calibri" w:hAnsi="Calibri"/>
          <w:color w:val="1F2937"/>
          <w:sz w:val="22"/>
          <w:szCs w:val="22"/>
        </w:rPr>
        <w:t xml:space="preserve"> — Consultée (8 270 car.), derniers items datés : août 2026</w:t>
      </w:r>
    </w:p>
    <w:p>
      <w:pPr>
        <w:spacing w:after="80"/>
      </w:pPr>
      <w:r>
        <w:rPr>
          <w:rFonts w:ascii="Calibri" w:cs="Calibri" w:eastAsia="Calibri" w:hAnsi="Calibri"/>
          <w:color w:val="1F2937"/>
          <w:sz w:val="22"/>
          <w:szCs w:val="22"/>
        </w:rPr>
        <w:t xml:space="preserve">⚠️ </w:t>
      </w:r>
      <w:hyperlink w:history="1" r:id="rIdbjx2ukwsedijsqp8lgg5u">
        <w:r>
          <w:rPr>
            <w:rFonts w:ascii="Calibri" w:cs="Calibri" w:eastAsia="Calibri" w:hAnsi="Calibri"/>
            <w:color w:val="1155CC"/>
            <w:sz w:val="22"/>
            <w:szCs w:val="22"/>
            <w:u w:val="single"/>
          </w:rPr>
          <w:t xml:space="preserve">CNIL — Q/R sur le règlement européen IA</w:t>
        </w:r>
      </w:hyperlink>
      <w:r>
        <w:rPr>
          <w:rFonts w:ascii="Calibri" w:cs="Calibri" w:eastAsia="Calibri" w:hAnsi="Calibri"/>
          <w:color w:val="1F2937"/>
          <w:sz w:val="22"/>
          <w:szCs w:val="22"/>
        </w:rPr>
        <w:t xml:space="preserve"> — Consultée (26 014 car.), références réglementaires vérifiées</w:t>
      </w:r>
    </w:p>
    <w:p>
      <w:pPr>
        <w:spacing w:after="80"/>
      </w:pPr>
      <w:r>
        <w:rPr>
          <w:rFonts w:ascii="Calibri" w:cs="Calibri" w:eastAsia="Calibri" w:hAnsi="Calibri"/>
          <w:color w:val="1F2937"/>
          <w:sz w:val="22"/>
          <w:szCs w:val="22"/>
        </w:rPr>
        <w:t xml:space="preserve">⚠️ </w:t>
      </w:r>
      <w:hyperlink w:history="1" r:id="rIdfqrwmixlguwff6b8rkzjg">
        <w:r>
          <w:rPr>
            <w:rFonts w:ascii="Calibri" w:cs="Calibri" w:eastAsia="Calibri" w:hAnsi="Calibri"/>
            <w:color w:val="1155CC"/>
            <w:sz w:val="22"/>
            <w:szCs w:val="22"/>
            <w:u w:val="single"/>
          </w:rPr>
          <w:t xml:space="preserve">CNIL — Lignes directrices GPAI</w:t>
        </w:r>
      </w:hyperlink>
      <w:r>
        <w:rPr>
          <w:rFonts w:ascii="Calibri" w:cs="Calibri" w:eastAsia="Calibri" w:hAnsi="Calibri"/>
          <w:color w:val="1F2937"/>
          <w:sz w:val="22"/>
          <w:szCs w:val="22"/>
        </w:rPr>
        <w:t xml:space="preserve"> — Consultée (6 046 car.), pas d'élément nouveau dans la fenêtre</w:t>
      </w:r>
    </w:p>
    <w:p>
      <w:pPr>
        <w:spacing w:after="80"/>
      </w:pPr>
      <w:r>
        <w:rPr>
          <w:rFonts w:ascii="Calibri" w:cs="Calibri" w:eastAsia="Calibri" w:hAnsi="Calibri"/>
          <w:color w:val="1F2937"/>
          <w:sz w:val="22"/>
          <w:szCs w:val="22"/>
        </w:rPr>
        <w:t xml:space="preserve">✅ </w:t>
      </w:r>
      <w:hyperlink w:history="1" r:id="rIdlvcixcrbkpizvwhjc3r2f">
        <w:r>
          <w:rPr>
            <w:rFonts w:ascii="Calibri" w:cs="Calibri" w:eastAsia="Calibri" w:hAnsi="Calibri"/>
            <w:color w:val="1155CC"/>
            <w:sz w:val="22"/>
            <w:szCs w:val="22"/>
            <w:u w:val="single"/>
          </w:rPr>
          <w:t xml:space="preserve">CNIL — Journée RGPD à Poitiers (20 oct. 2026)</w:t>
        </w:r>
      </w:hyperlink>
      <w:r>
        <w:rPr>
          <w:rFonts w:ascii="Calibri" w:cs="Calibri" w:eastAsia="Calibri" w:hAnsi="Calibri"/>
          <w:color w:val="1F2937"/>
          <w:sz w:val="22"/>
          <w:szCs w:val="22"/>
        </w:rPr>
        <w:t xml:space="preserve"> — Lu, repris dans la note</w:t>
      </w:r>
    </w:p>
    <w:p>
      <w:pPr>
        <w:spacing w:after="60"/>
      </w:pPr>
      <w:r>
        <w:rPr>
          <w:rFonts w:ascii="Calibri" w:cs="Calibri" w:eastAsia="Calibri" w:hAnsi="Calibri"/>
          <w:color w:val="CBD5E0"/>
          <w:sz w:val="16"/>
          <w:szCs w:val="16"/>
        </w:rPr>
        <w:t xml:space="preserve">─────────────────────────────────────────────────────────</w:t>
      </w:r>
    </w:p>
    <w:p>
      <w:pPr>
        <w:spacing w:after="120" w:before="300"/>
      </w:pPr>
      <w:r>
        <w:rPr>
          <w:rFonts w:ascii="Calibri" w:cs="Calibri" w:eastAsia="Calibri" w:hAnsi="Calibri"/>
          <w:b/>
          <w:bCs/>
          <w:color w:val="1B3A6B"/>
          <w:sz w:val="28"/>
          <w:szCs w:val="28"/>
        </w:rPr>
        <w:t xml:space="preserve">🔜 À surveiller</w:t>
      </w:r>
    </w:p>
    <w:p>
      <w:pPr>
        <w:pStyle w:val="ListParagraph"/>
        <w:numPr>
          <w:ilvl w:val="0"/>
          <w:numId w:val="1"/>
        </w:numPr>
        <w:spacing w:after="60"/>
      </w:pPr>
      <w:r>
        <w:rPr>
          <w:rFonts w:ascii="Calibri" w:cs="Calibri" w:eastAsia="Calibri" w:hAnsi="Calibri"/>
          <w:color w:val="1F2937"/>
          <w:sz w:val="22"/>
          <w:szCs w:val="22"/>
        </w:rPr>
        <w:t xml:space="preserve">Publication des prochains standards harmonisés AI Act (articles 9 — gestion des risques, 13-14 — transparence et information, etc.) — à anticiper pour la certification des systèmes à haut risque.</w:t>
      </w:r>
    </w:p>
    <w:p>
      <w:pPr>
        <w:pStyle w:val="ListParagraph"/>
        <w:numPr>
          <w:ilvl w:val="0"/>
          <w:numId w:val="1"/>
        </w:numPr>
        <w:spacing w:after="60"/>
      </w:pPr>
      <w:r>
        <w:rPr>
          <w:rFonts w:ascii="Calibri" w:cs="Calibri" w:eastAsia="Calibri" w:hAnsi="Calibri"/>
          <w:color w:val="1F2937"/>
          <w:sz w:val="22"/>
          <w:szCs w:val="22"/>
        </w:rPr>
        <w:t xml:space="preserve">Adoption de la position du Parlement européen sur l'Omnibus numérique → ouverture du trilogue → impact sur RGPD et bases légales de traitement en ESSMS.</w:t>
      </w:r>
    </w:p>
    <w:p>
      <w:pPr>
        <w:pStyle w:val="ListParagraph"/>
        <w:numPr>
          <w:ilvl w:val="0"/>
          <w:numId w:val="1"/>
        </w:numPr>
        <w:spacing w:after="60"/>
      </w:pPr>
      <w:r>
        <w:rPr>
          <w:rFonts w:ascii="Calibri" w:cs="Calibri" w:eastAsia="Calibri" w:hAnsi="Calibri"/>
          <w:color w:val="1F2937"/>
          <w:sz w:val="22"/>
          <w:szCs w:val="22"/>
        </w:rPr>
        <w:t xml:space="preserve">Désignation des autorités françaises compétentes RIA (DDADUE) — non vérifiée lors de cette exécution (Légifrance et sites parlementaires HTTP 403). À surveiller sur Légifrance pour l'adoption du volet numérique du DDADUE.</w:t>
      </w:r>
    </w:p>
    <w:p>
      <w:pPr>
        <w:pStyle w:val="ListParagraph"/>
        <w:numPr>
          <w:ilvl w:val="0"/>
          <w:numId w:val="1"/>
        </w:numPr>
        <w:spacing w:after="60"/>
      </w:pPr>
      <w:r>
        <w:rPr>
          <w:rFonts w:ascii="Calibri" w:cs="Calibri" w:eastAsia="Calibri" w:hAnsi="Calibri"/>
          <w:color w:val="1F2937"/>
          <w:sz w:val="22"/>
          <w:szCs w:val="22"/>
        </w:rPr>
        <w:t xml:space="preserve">2 décembre 2026 — Fin période transitoire art. 50 §2 : vérifier la conformité des systèmes de génération de contenu IA en usage dans l'établissement.</w:t>
      </w:r>
    </w:p>
    <w:p>
      <w:pPr>
        <w:pStyle w:val="ListParagraph"/>
        <w:numPr>
          <w:ilvl w:val="0"/>
          <w:numId w:val="1"/>
        </w:numPr>
        <w:spacing w:after="60"/>
      </w:pPr>
      <w:r>
        <w:rPr>
          <w:rFonts w:ascii="Calibri" w:cs="Calibri" w:eastAsia="Calibri" w:hAnsi="Calibri"/>
          <w:color w:val="1F2937"/>
          <w:sz w:val="22"/>
          <w:szCs w:val="22"/>
        </w:rPr>
        <w:t xml:space="preserve">Bac à sable réglementaire IA en France : l'échéance du 2 août 2027 pour au moins un bac à sable par État membre se rapproche — surveiller les annonces de la CNIL / ARCOM.</w:t>
      </w:r>
    </w:p>
    <w:p>
      <w:pPr>
        <w:spacing w:after="60"/>
      </w:pPr>
      <w:r>
        <w:rPr>
          <w:rFonts w:ascii="Calibri" w:cs="Calibri" w:eastAsia="Calibri" w:hAnsi="Calibri"/>
          <w:color w:val="CBD5E0"/>
          <w:sz w:val="16"/>
          <w:szCs w:val="16"/>
        </w:rPr>
        <w:t xml:space="preserve">─────────────────────────────────────────────────────────</w:t>
      </w:r>
    </w:p>
    <w:p>
      <w:pPr>
        <w:spacing w:after="80"/>
      </w:pPr>
      <w:r>
        <w:rPr>
          <w:rFonts w:ascii="Calibri" w:cs="Calibri" w:eastAsia="Calibri" w:hAnsi="Calibri"/>
          <w:i/>
          <w:iCs/>
          <w:color w:val="6B7280"/>
          <w:sz w:val="22"/>
          <w:szCs w:val="22"/>
        </w:rPr>
        <w:t xml:space="preserve">📝 Journal des corrections : aucune correction apportée à cette édition.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3mlpanuopha8ythjtas3n" Type="http://schemas.openxmlformats.org/officeDocument/2006/relationships/hyperlink" Target="https://ai-act-service-desk.ec.europa.eu/en/ai-act/timeline/timeline-implementation-eu-ai-act" TargetMode="External"/><Relationship Id="rIdl1ikqg8xlpbyqfqcd3a-q" Type="http://schemas.openxmlformats.org/officeDocument/2006/relationships/hyperlink" Target="https://digital-strategy.ec.europa.eu/en/library/first-harmonised-standard-supporting-ai-act-published-official-journal" TargetMode="External"/><Relationship Id="rIdda7z4snrz14s7wukjlrh4" Type="http://schemas.openxmlformats.org/officeDocument/2006/relationships/hyperlink" Target="https://www.consilium.europa.eu/en/press/press-releases/2026/10/21/digital-rulebook-council-agrees-position-to-simplify-data-protection-privacy-and-cyber-reporting-rules/" TargetMode="External"/><Relationship Id="rId87ialm_cd81gddq-trnpm" Type="http://schemas.openxmlformats.org/officeDocument/2006/relationships/hyperlink" Target="https://iapp.org/news/a/eu-member-states-finalize-digital-omnibus-negotiating-stance" TargetMode="External"/><Relationship Id="rIdb8uxs6uylxbbu6ngwt8uc" Type="http://schemas.openxmlformats.org/officeDocument/2006/relationships/hyperlink" Target="https://artificialintelligenceact.eu" TargetMode="External"/><Relationship Id="rIdtmsmidnbra6hag_zsqxwd" Type="http://schemas.openxmlformats.org/officeDocument/2006/relationships/hyperlink" Target="https://www.cnil.fr/fr/journee-rgpd-2026-poitiers" TargetMode="External"/><Relationship Id="rIdkuz_aql-u_bn4r3wt3kam" Type="http://schemas.openxmlformats.org/officeDocument/2006/relationships/hyperlink" Target="https://digital-strategy.ec.europa.eu/en/library/first-harmonised-standard-supporting-ai-act-published-official-journal" TargetMode="External"/><Relationship Id="rIdbz9rhm3vjzx0pmivcitnz" Type="http://schemas.openxmlformats.org/officeDocument/2006/relationships/hyperlink" Target="https://digital-strategy.ec.europa.eu/en/policies/regulatory-framework-ai" TargetMode="External"/><Relationship Id="rId06nplcvabgzydthlqi2cq" Type="http://schemas.openxmlformats.org/officeDocument/2006/relationships/hyperlink" Target="https://ai-act-service-desk.ec.europa.eu/en/ai-act/timeline/timeline-implementation-eu-ai-act" TargetMode="External"/><Relationship Id="rId_fmsgarxfyf1wjeramsdz" Type="http://schemas.openxmlformats.org/officeDocument/2006/relationships/hyperlink" Target="https://www.consilium.europa.eu/en/press/press-releases/2026/10/21/digital-rulebook-council-agrees-position-to-simplify-data-protection-privacy-and-cyber-reporting-rules/" TargetMode="External"/><Relationship Id="rIde8jdkogfhhfr7rxfchfnf" Type="http://schemas.openxmlformats.org/officeDocument/2006/relationships/hyperlink" Target="https://eur-lex.europa.eu/eli/reg/2024/1689/oj" TargetMode="External"/><Relationship Id="rIdoxorqxcgcz29gmqyswds3" Type="http://schemas.openxmlformats.org/officeDocument/2006/relationships/hyperlink" Target="https://eur-lex.europa.eu/legal-content/FR/TXT/HTML/?uri=OJ:L_202601744" TargetMode="External"/><Relationship Id="rIdy5ioau_ctm8k1qi1h3kuy" Type="http://schemas.openxmlformats.org/officeDocument/2006/relationships/hyperlink" Target="https://iapp.org/news/a/eu-member-states-finalize-digital-omnibus-negotiating-stance" TargetMode="External"/><Relationship Id="rIdp2dof2fztbhhmdcfqwirg" Type="http://schemas.openxmlformats.org/officeDocument/2006/relationships/hyperlink" Target="https://artificialintelligenceact.eu" TargetMode="External"/><Relationship Id="rIdagb43tdxttv1btyb2gbxy" Type="http://schemas.openxmlformats.org/officeDocument/2006/relationships/hyperlink" Target="https://www.cnil.fr/fr/intelligence-artificielle" TargetMode="External"/><Relationship Id="rIdbjx2ukwsedijsqp8lgg5u" Type="http://schemas.openxmlformats.org/officeDocument/2006/relationships/hyperlink" Target="https://www.cnil.fr/fr/entree-en-vigueur-du-reglement-europeen-sur-lia-les-premieres-questions-reponses-de-la-cnil" TargetMode="External"/><Relationship Id="rIdfqrwmixlguwff6b8rkzjg" Type="http://schemas.openxmlformats.org/officeDocument/2006/relationships/hyperlink" Target="https://digital-strategy.ec.europa.eu/en/policies/guidelines-gpai-providers" TargetMode="External"/><Relationship Id="rIdlvcixcrbkpizvwhjc3r2f" Type="http://schemas.openxmlformats.org/officeDocument/2006/relationships/hyperlink" Target="https://www.cnil.fr/fr/journee-rgpd-2026-poitiers"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2026-10-24T14:03:31.853Z</dcterms:created>
  <dcterms:modified xsi:type="dcterms:W3CDTF">2026-10-24T14:03:31.855Z</dcterms:modified>
</cp:coreProperties>
</file>

<file path=docProps/custom.xml><?xml version="1.0" encoding="utf-8"?>
<Properties xmlns="http://schemas.openxmlformats.org/officeDocument/2006/custom-properties" xmlns:vt="http://schemas.openxmlformats.org/officeDocument/2006/docPropsVTypes"/>
</file>