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
        <w:jc w:val="center"/>
      </w:pPr>
      <w:r>
        <w:rPr>
          <w:rFonts w:ascii="Times New Roman" w:cs="Times New Roman" w:eastAsia="Times New Roman" w:hAnsi="Times New Roman"/>
          <w:b/>
          <w:bCs/>
          <w:color w:val="1B3A6B"/>
          <w:sz w:val="52"/>
          <w:szCs w:val="52"/>
        </w:rPr>
        <w:t xml:space="preserve">Leçon Dzogchen n°07</w:t>
      </w:r>
    </w:p>
    <w:p>
      <w:pPr>
        <w:spacing w:after="300" w:before="200"/>
        <w:jc w:val="center"/>
      </w:pPr>
      <w:r>
        <w:rPr>
          <w:rFonts w:ascii="Times New Roman" w:cs="Times New Roman" w:eastAsia="Times New Roman" w:hAnsi="Times New Roman"/>
          <w:b/>
          <w:bCs/>
          <w:color w:val="1B3A6B"/>
          <w:sz w:val="52"/>
          <w:szCs w:val="52"/>
        </w:rPr>
        <w:t xml:space="preserve">Tögal — Le franchissement direct</w:t>
      </w:r>
    </w:p>
    <w:p>
      <w:pPr>
        <w:spacing w:after="400"/>
        <w:jc w:val="center"/>
      </w:pPr>
      <w:r>
        <w:rPr>
          <w:rFonts w:ascii="Times New Roman" w:cs="Times New Roman" w:eastAsia="Times New Roman" w:hAnsi="Times New Roman"/>
          <w:i/>
          <w:iCs/>
          <w:color w:val="888888"/>
          <w:sz w:val="20"/>
          <w:szCs w:val="20"/>
        </w:rPr>
        <w:t xml:space="preserve">21 juillet 2026  |  Module Avancé — leçon 07 / 12</w:t>
      </w:r>
    </w:p>
    <w:p>
      <w:pPr>
        <w:spacing w:after="200" w:before="200"/>
        <w:jc w:val="center"/>
      </w:pPr>
      <w:r>
        <w:rPr>
          <w:color w:val="CCCCCC"/>
          <w:sz w:val="16"/>
          <w:szCs w:val="16"/>
        </w:rPr>
        <w:t xml:space="preserve">─────────────────────────────────────────</w:t>
      </w:r>
    </w:p>
    <w:p>
      <w:pPr>
        <w:spacing w:after="160" w:before="400"/>
      </w:pPr>
      <w:r>
        <w:rPr>
          <w:rFonts w:ascii="Times New Roman" w:cs="Times New Roman" w:eastAsia="Times New Roman" w:hAnsi="Times New Roman"/>
          <w:b/>
          <w:bCs/>
          <w:color w:val="1B3A6B"/>
          <w:sz w:val="30"/>
          <w:szCs w:val="30"/>
        </w:rPr>
        <w:t xml:space="preserve">🎯 Objectif &amp; continuité</w:t>
      </w:r>
    </w:p>
    <w:p>
      <w:pPr>
        <w:spacing w:after="120"/>
      </w:pPr>
      <w:r>
        <w:rPr>
          <w:rFonts w:ascii="Times New Roman" w:cs="Times New Roman" w:eastAsia="Times New Roman" w:hAnsi="Times New Roman"/>
          <w:color w:val="1F2937"/>
          <w:sz w:val="22"/>
          <w:szCs w:val="22"/>
        </w:rPr>
        <w:t xml:space="preserve">À la fin de cette leçon, tu seras capable de :</w:t>
      </w:r>
    </w:p>
    <w:p>
      <w:pPr>
        <w:pStyle w:val="ListParagraph"/>
        <w:numPr>
          <w:ilvl w:val="0"/>
          <w:numId w:val="1"/>
        </w:numPr>
        <w:spacing w:after="80"/>
      </w:pPr>
      <w:r>
        <w:rPr>
          <w:rFonts w:ascii="Times New Roman" w:cs="Times New Roman" w:eastAsia="Times New Roman" w:hAnsi="Times New Roman"/>
          <w:color w:val="1F2937"/>
          <w:sz w:val="22"/>
          <w:szCs w:val="22"/>
        </w:rPr>
        <w:t xml:space="preserve">définir Tögal et le distinguer clairement de Trekchö (leçon 06) ;</w:t>
      </w:r>
    </w:p>
    <w:p>
      <w:pPr>
        <w:pStyle w:val="ListParagraph"/>
        <w:numPr>
          <w:ilvl w:val="0"/>
          <w:numId w:val="1"/>
        </w:numPr>
        <w:spacing w:after="80"/>
      </w:pPr>
      <w:r>
        <w:rPr>
          <w:rFonts w:ascii="Times New Roman" w:cs="Times New Roman" w:eastAsia="Times New Roman" w:hAnsi="Times New Roman"/>
          <w:color w:val="1F2937"/>
          <w:sz w:val="22"/>
          <w:szCs w:val="22"/>
        </w:rPr>
        <w:t xml:space="preserve">nommer et décrire les quatre visions (snang ba bzhi) dans leur progression ;</w:t>
      </w:r>
    </w:p>
    <w:p>
      <w:pPr>
        <w:pStyle w:val="ListParagraph"/>
        <w:numPr>
          <w:ilvl w:val="0"/>
          <w:numId w:val="1"/>
        </w:numPr>
        <w:spacing w:after="80"/>
      </w:pPr>
      <w:r>
        <w:rPr>
          <w:rFonts w:ascii="Times New Roman" w:cs="Times New Roman" w:eastAsia="Times New Roman" w:hAnsi="Times New Roman"/>
          <w:color w:val="1F2937"/>
          <w:sz w:val="22"/>
          <w:szCs w:val="22"/>
        </w:rPr>
        <w:t xml:space="preserve">comprendre les conditions d'émergence des visions (obscurité, ciel, postures) ;</w:t>
      </w:r>
    </w:p>
    <w:p>
      <w:pPr>
        <w:pStyle w:val="ListParagraph"/>
        <w:numPr>
          <w:ilvl w:val="0"/>
          <w:numId w:val="1"/>
        </w:numPr>
        <w:spacing w:after="80"/>
      </w:pPr>
      <w:r>
        <w:rPr>
          <w:rFonts w:ascii="Times New Roman" w:cs="Times New Roman" w:eastAsia="Times New Roman" w:hAnsi="Times New Roman"/>
          <w:color w:val="1F2937"/>
          <w:sz w:val="22"/>
          <w:szCs w:val="22"/>
        </w:rPr>
        <w:t xml:space="preserve">situer Tögal dans le chemin Dzogchen comme aboutissement de la présence nue.</w:t>
      </w:r>
    </w:p>
    <w:p>
      <w:pPr>
        <w:spacing w:after="120"/>
      </w:pPr>
      <w:r>
        <w:rPr>
          <w:rFonts w:ascii="Times New Roman" w:cs="Times New Roman" w:eastAsia="Times New Roman" w:hAnsi="Times New Roman"/>
          <w:color w:val="1F2937"/>
          <w:sz w:val="22"/>
          <w:szCs w:val="22"/>
        </w:rPr>
        <w:t xml:space="preserve"/>
      </w:r>
    </w:p>
    <w:p>
      <w:pPr>
        <w:pBdr>
          <w:left w:val="single" w:color="1B3A6B" w:sz="18"/>
        </w:pBdr>
        <w:shd w:fill="F0F4F8" w:val="clear"/>
        <w:spacing w:after="140" w:before="100"/>
        <w:ind w:left="576"/>
      </w:pPr>
      <w:r>
        <w:rPr>
          <w:rFonts w:ascii="Times New Roman" w:cs="Times New Roman" w:eastAsia="Times New Roman" w:hAnsi="Times New Roman"/>
          <w:i/>
          <w:iCs/>
          <w:color w:val="1B3A6B"/>
          <w:sz w:val="22"/>
          <w:szCs w:val="22"/>
        </w:rPr>
        <w:t xml:space="preserve">Continuité — La leçon 06 t'a introduit à Trekchö : « la coupe à travers » la rigidité, le lâcher-prise dans la reconnaissance nue de rigpa. Tögal est la pratique sœur, complémentaire : là où Trekchö reconnaît la pureté primordiale (kadag), Tögal révèle la présence spontanée (lhundrub) sous forme de visions lumineuses. L'une ne va pas sans l'autre — Trekchö est le prérequis indispensable de Tögal.</w:t>
      </w:r>
    </w:p>
    <w:p>
      <w:pPr>
        <w:spacing w:after="200" w:before="200"/>
        <w:jc w:val="center"/>
      </w:pPr>
      <w:r>
        <w:rPr>
          <w:color w:val="CCCCCC"/>
          <w:sz w:val="16"/>
          <w:szCs w:val="16"/>
        </w:rPr>
        <w:t xml:space="preserve">─────────────────────────────────────────</w:t>
      </w:r>
    </w:p>
    <w:p>
      <w:pPr>
        <w:spacing w:after="160" w:before="400"/>
      </w:pPr>
      <w:r>
        <w:rPr>
          <w:rFonts w:ascii="Times New Roman" w:cs="Times New Roman" w:eastAsia="Times New Roman" w:hAnsi="Times New Roman"/>
          <w:b/>
          <w:bCs/>
          <w:color w:val="1B3A6B"/>
          <w:sz w:val="30"/>
          <w:szCs w:val="30"/>
        </w:rPr>
        <w:t xml:space="preserve">🔬 Théorie (20%) — Tögal : le franchissement direct</w:t>
      </w:r>
    </w:p>
    <w:p>
      <w:pPr>
        <w:spacing w:after="120" w:before="280"/>
      </w:pPr>
      <w:r>
        <w:rPr>
          <w:rFonts w:ascii="Times New Roman" w:cs="Times New Roman" w:eastAsia="Times New Roman" w:hAnsi="Times New Roman"/>
          <w:b/>
          <w:bCs/>
          <w:color w:val="1F2937"/>
          <w:sz w:val="26"/>
          <w:szCs w:val="26"/>
        </w:rPr>
        <w:t xml:space="preserve">1. Étymologie et définition</w:t>
      </w:r>
    </w:p>
    <w:p>
      <w:pPr>
        <w:spacing w:after="120"/>
      </w:pPr>
      <w:r>
        <w:rPr>
          <w:rFonts w:ascii="Times New Roman" w:cs="Times New Roman" w:eastAsia="Times New Roman" w:hAnsi="Times New Roman"/>
          <w:color w:val="1F2937"/>
          <w:sz w:val="22"/>
          <w:szCs w:val="22"/>
        </w:rPr>
        <w:t xml:space="preserve">Le terme tibétain thod rgal (ཐོད་རྒལ) est habituellement traduit par « franchissement direct », « dépassement direct » ou « bond pardessus le sommet ». Une interprétation savante (F.A. Geisshuesler, signalée dans la littérature académique) y lit plutôt « saut en direction du crâne ». La diversité des traductions (« leapover », « direct transcendence », « crossing over ») reflète la richesse sémantique du terme et son caractère délicat à traduire.</w:t>
      </w:r>
    </w:p>
    <w:p>
      <w:pPr>
        <w:spacing w:after="120"/>
      </w:pPr>
      <w:r>
        <w:rPr>
          <w:rFonts w:ascii="Times New Roman" w:cs="Times New Roman" w:eastAsia="Times New Roman" w:hAnsi="Times New Roman"/>
          <w:color w:val="1F2937"/>
          <w:sz w:val="22"/>
          <w:szCs w:val="22"/>
        </w:rPr>
        <w:t xml:space="preserve">Tögal est également désigné comme « la pratique de la vision » ou « la pratique de la Lumière Claire (od-gsal) ». Selon la littérature Dzogchen, la conscience pure (rigpa) est ancrée dans le cœur ; des canaux d'énergie lumineux relient le cœur aux yeux, permettant à cette conscience de se manifester sous forme de visions.</w:t>
      </w:r>
    </w:p>
    <w:p>
      <w:pPr>
        <w:pBdr>
          <w:left w:val="single" w:color="1B3A6B" w:sz="18"/>
        </w:pBdr>
        <w:shd w:fill="F0F4F8" w:val="clear"/>
        <w:spacing w:after="140" w:before="100"/>
        <w:ind w:left="576"/>
      </w:pPr>
      <w:r>
        <w:rPr>
          <w:rFonts w:ascii="Times New Roman" w:cs="Times New Roman" w:eastAsia="Times New Roman" w:hAnsi="Times New Roman"/>
          <w:i/>
          <w:iCs/>
          <w:color w:val="1B3A6B"/>
          <w:sz w:val="22"/>
          <w:szCs w:val="22"/>
        </w:rPr>
        <w:t xml:space="preserve">Note de méthode : Tögal ne peut être entrepris qu'une fois la stabilité dans Trekchö établie. C'est un préalable non négociable selon les sources consultées lors de cette exécution.</w:t>
      </w:r>
    </w:p>
    <w:p>
      <w:pPr>
        <w:spacing w:after="120" w:before="280"/>
      </w:pPr>
      <w:r>
        <w:rPr>
          <w:rFonts w:ascii="Times New Roman" w:cs="Times New Roman" w:eastAsia="Times New Roman" w:hAnsi="Times New Roman"/>
          <w:b/>
          <w:bCs/>
          <w:color w:val="1F2937"/>
          <w:sz w:val="26"/>
          <w:szCs w:val="26"/>
        </w:rPr>
        <w:t xml:space="preserve">2. La distinction Trekchö / Tögal</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B3A6B" w:val="clear"/>
          </w:tcPr>
          <w:p>
            <w:r>
              <w:rPr>
                <w:rFonts w:ascii="Times New Roman" w:cs="Times New Roman" w:eastAsia="Times New Roman" w:hAnsi="Times New Roman"/>
                <w:b/>
                <w:bCs/>
                <w:color w:val="FFFFFF"/>
                <w:sz w:val="22"/>
                <w:szCs w:val="22"/>
              </w:rPr>
              <w:t xml:space="preserve">Trekchö</w:t>
            </w:r>
          </w:p>
        </w:tc>
        <w:tc>
          <w:tcPr>
            <w:shd w:fill="1B3A6B" w:val="clear"/>
          </w:tcPr>
          <w:p>
            <w:r>
              <w:rPr>
                <w:rFonts w:ascii="Times New Roman" w:cs="Times New Roman" w:eastAsia="Times New Roman" w:hAnsi="Times New Roman"/>
                <w:b/>
                <w:bCs/>
                <w:color w:val="FFFFFF"/>
                <w:sz w:val="22"/>
                <w:szCs w:val="22"/>
              </w:rPr>
              <w:t xml:space="preserve">Tögal</w:t>
            </w:r>
          </w:p>
        </w:tc>
      </w:tr>
      <w:tr>
        <w:tc>
          <w:p>
            <w:r>
              <w:rPr>
                <w:rFonts w:ascii="Times New Roman" w:cs="Times New Roman" w:eastAsia="Times New Roman" w:hAnsi="Times New Roman"/>
                <w:sz w:val="22"/>
                <w:szCs w:val="22"/>
              </w:rPr>
              <w:t xml:space="preserve">Coupe à travers / kadag (pureté primordiale)</w:t>
            </w:r>
          </w:p>
        </w:tc>
        <w:tc>
          <w:p>
            <w:r>
              <w:rPr>
                <w:rFonts w:ascii="Times New Roman" w:cs="Times New Roman" w:eastAsia="Times New Roman" w:hAnsi="Times New Roman"/>
                <w:sz w:val="22"/>
                <w:szCs w:val="22"/>
              </w:rPr>
              <w:t xml:space="preserve">Franchissement direct / lhundrub (présence spontanée)</w:t>
            </w:r>
          </w:p>
        </w:tc>
      </w:tr>
      <w:tr>
        <w:tc>
          <w:tcPr>
            <w:shd w:fill="EEF2F7" w:val="clear"/>
          </w:tcPr>
          <w:p>
            <w:r>
              <w:rPr>
                <w:rFonts w:ascii="Times New Roman" w:cs="Times New Roman" w:eastAsia="Times New Roman" w:hAnsi="Times New Roman"/>
                <w:sz w:val="22"/>
                <w:szCs w:val="22"/>
              </w:rPr>
              <w:t xml:space="preserve">Reconnaissance de rigpa dans toutes les activités</w:t>
            </w:r>
          </w:p>
        </w:tc>
        <w:tc>
          <w:tcPr>
            <w:shd w:fill="EEF2F7" w:val="clear"/>
          </w:tcPr>
          <w:p>
            <w:r>
              <w:rPr>
                <w:rFonts w:ascii="Times New Roman" w:cs="Times New Roman" w:eastAsia="Times New Roman" w:hAnsi="Times New Roman"/>
                <w:sz w:val="22"/>
                <w:szCs w:val="22"/>
              </w:rPr>
              <w:t xml:space="preserve">Révélation de la lumière intérieure par postures, regards et conditions (obscurité, ciel)</w:t>
            </w:r>
          </w:p>
        </w:tc>
      </w:tr>
      <w:tr>
        <w:tc>
          <w:p>
            <w:r>
              <w:rPr>
                <w:rFonts w:ascii="Times New Roman" w:cs="Times New Roman" w:eastAsia="Times New Roman" w:hAnsi="Times New Roman"/>
                <w:sz w:val="22"/>
                <w:szCs w:val="22"/>
              </w:rPr>
              <w:t xml:space="preserve">Approche sans forme — repos dans la nudité de l'esprit</w:t>
            </w:r>
          </w:p>
        </w:tc>
        <w:tc>
          <w:p>
            <w:r>
              <w:rPr>
                <w:rFonts w:ascii="Times New Roman" w:cs="Times New Roman" w:eastAsia="Times New Roman" w:hAnsi="Times New Roman"/>
                <w:sz w:val="22"/>
                <w:szCs w:val="22"/>
              </w:rPr>
              <w:t xml:space="preserve">Approche visionnaire — visions progressives de lumières, mandalas, déités</w:t>
            </w:r>
          </w:p>
        </w:tc>
      </w:tr>
    </w:tbl>
    <w:p>
      <w:pPr>
        <w:spacing w:after="160"/>
      </w:pPr>
    </w:p>
    <w:p>
      <w:pPr>
        <w:spacing w:after="120" w:before="280"/>
      </w:pPr>
      <w:r>
        <w:rPr>
          <w:rFonts w:ascii="Times New Roman" w:cs="Times New Roman" w:eastAsia="Times New Roman" w:hAnsi="Times New Roman"/>
          <w:b/>
          <w:bCs/>
          <w:color w:val="1F2937"/>
          <w:sz w:val="26"/>
          <w:szCs w:val="26"/>
        </w:rPr>
        <w:t xml:space="preserve">3. Les quatre visions — snang ba bzhi</w:t>
      </w:r>
    </w:p>
    <w:p>
      <w:pPr>
        <w:spacing w:after="120"/>
      </w:pPr>
      <w:r>
        <w:rPr>
          <w:rFonts w:ascii="Times New Roman" w:cs="Times New Roman" w:eastAsia="Times New Roman" w:hAnsi="Times New Roman"/>
          <w:color w:val="1F2937"/>
          <w:sz w:val="22"/>
          <w:szCs w:val="22"/>
        </w:rPr>
        <w:t xml:space="preserve">Les sources consultées décrivent quatre stades de visions qui se succèdent en Tögal (la terminologie varie selon les traductions ; les noms tibétains ne sont pas cités ici car les sources consultées ne les donnent pas tous explicitement) :</w:t>
      </w:r>
    </w:p>
    <w:p>
      <w:pPr>
        <w:spacing w:after="120"/>
      </w:pPr>
      <w:r>
        <w:rPr>
          <w:rFonts w:ascii="Times New Roman" w:cs="Times New Roman" w:eastAsia="Times New Roman" w:hAnsi="Times New Roman"/>
          <w:color w:val="1F2937"/>
          <w:sz w:val="22"/>
          <w:szCs w:val="22"/>
        </w:rPr>
        <w:t xml:space="preserve"/>
      </w:r>
    </w:p>
    <w:p>
      <w:pPr>
        <w:pStyle w:val="ListParagraph"/>
        <w:numPr>
          <w:ilvl w:val="0"/>
          <w:numId w:val="1"/>
        </w:numPr>
        <w:spacing w:after="80"/>
      </w:pPr>
      <w:r>
        <w:rPr>
          <w:rFonts w:ascii="Times New Roman" w:cs="Times New Roman" w:eastAsia="Times New Roman" w:hAnsi="Times New Roman"/>
          <w:color w:val="1F2937"/>
          <w:sz w:val="22"/>
          <w:szCs w:val="22"/>
        </w:rPr>
        <w:t xml:space="preserve">1. Dharmata manifeste / « Immédiateté de la Conscience » : des lumières, des cercles arc-en-ciel (thigles — sphères lumineuses) et des formes géométriques apparaissent dans le champ visuel. C'est la première émergence de la luminosité naturelle de rigpa.</w:t>
      </w:r>
    </w:p>
    <w:p>
      <w:pPr>
        <w:pStyle w:val="ListParagraph"/>
        <w:numPr>
          <w:ilvl w:val="0"/>
          <w:numId w:val="1"/>
        </w:numPr>
        <w:spacing w:after="80"/>
      </w:pPr>
      <w:r>
        <w:rPr>
          <w:rFonts w:ascii="Times New Roman" w:cs="Times New Roman" w:eastAsia="Times New Roman" w:hAnsi="Times New Roman"/>
          <w:color w:val="1F2937"/>
          <w:sz w:val="22"/>
          <w:szCs w:val="22"/>
        </w:rPr>
        <w:t xml:space="preserve">2. Intensification de l'expérience : les apparences lumineuses s'intensifient, croissent en nombre, en taille et en complexité. Les thigles deviennent plus stables.</w:t>
      </w:r>
    </w:p>
    <w:p>
      <w:pPr>
        <w:pStyle w:val="ListParagraph"/>
        <w:numPr>
          <w:ilvl w:val="0"/>
          <w:numId w:val="1"/>
        </w:numPr>
        <w:spacing w:after="80"/>
      </w:pPr>
      <w:r>
        <w:rPr>
          <w:rFonts w:ascii="Times New Roman" w:cs="Times New Roman" w:eastAsia="Times New Roman" w:hAnsi="Times New Roman"/>
          <w:color w:val="1F2937"/>
          <w:sz w:val="22"/>
          <w:szCs w:val="22"/>
        </w:rPr>
        <w:t xml:space="preserve">3. Conscience atteignant sa plénitude / « Optimisation de la conscience » : les lumières abstraites s'organisent en mandalas de cent déités paisibles et courroucées. Les cinq sagesses primordiales se manifestent sous forme de couleurs (bleu, blanc, jaune, rouge, vert).</w:t>
      </w:r>
    </w:p>
    <w:p>
      <w:pPr>
        <w:pStyle w:val="ListParagraph"/>
        <w:numPr>
          <w:ilvl w:val="0"/>
          <w:numId w:val="1"/>
        </w:numPr>
        <w:spacing w:after="80"/>
      </w:pPr>
      <w:r>
        <w:rPr>
          <w:rFonts w:ascii="Times New Roman" w:cs="Times New Roman" w:eastAsia="Times New Roman" w:hAnsi="Times New Roman"/>
          <w:color w:val="1F2937"/>
          <w:sz w:val="22"/>
          <w:szCs w:val="22"/>
        </w:rPr>
        <w:t xml:space="preserve">4. Épuisement dans la réalité / « Exhaustion des concepts et des phénomènes » : les apparences se dissolvent dans l'espace ouvert et s'effacent. C'est l'aboutissement : la libération spontanée.</w:t>
      </w:r>
    </w:p>
    <w:p>
      <w:pPr>
        <w:spacing w:after="120"/>
      </w:pPr>
      <w:r>
        <w:rPr>
          <w:rFonts w:ascii="Times New Roman" w:cs="Times New Roman" w:eastAsia="Times New Roman" w:hAnsi="Times New Roman"/>
          <w:color w:val="1F2937"/>
          <w:sz w:val="22"/>
          <w:szCs w:val="22"/>
        </w:rPr>
        <w:t xml:space="preserve"/>
      </w:r>
    </w:p>
    <w:p>
      <w:pPr>
        <w:pBdr>
          <w:left w:val="single" w:color="1B3A6B" w:sz="18"/>
        </w:pBdr>
        <w:shd w:fill="F0F4F8" w:val="clear"/>
        <w:spacing w:after="140" w:before="100"/>
        <w:ind w:left="576"/>
      </w:pPr>
      <w:r>
        <w:rPr>
          <w:rFonts w:ascii="Times New Roman" w:cs="Times New Roman" w:eastAsia="Times New Roman" w:hAnsi="Times New Roman"/>
          <w:i/>
          <w:iCs/>
          <w:color w:val="1B3A6B"/>
          <w:sz w:val="22"/>
          <w:szCs w:val="22"/>
        </w:rPr>
        <w:t xml:space="preserve">Selon les sources consultées, les praticiens avancés qui accomplissent les quatre visions avant la mort peuvent réaliser le corps arc-en-ciel (jalü) — la dissolution du corps physique en lumière. Cette notion appartient à la cosmologie du Dzogchen et doit être abordée sans projection littéraliste.</w:t>
      </w:r>
    </w:p>
    <w:p>
      <w:pPr>
        <w:spacing w:after="120" w:before="280"/>
      </w:pPr>
      <w:r>
        <w:rPr>
          <w:rFonts w:ascii="Times New Roman" w:cs="Times New Roman" w:eastAsia="Times New Roman" w:hAnsi="Times New Roman"/>
          <w:b/>
          <w:bCs/>
          <w:color w:val="1F2937"/>
          <w:sz w:val="26"/>
          <w:szCs w:val="26"/>
        </w:rPr>
        <w:t xml:space="preserve">4. Conditions et supports de pratique</w:t>
      </w:r>
    </w:p>
    <w:p>
      <w:pPr>
        <w:spacing w:after="120"/>
      </w:pPr>
      <w:r>
        <w:rPr>
          <w:rFonts w:ascii="Times New Roman" w:cs="Times New Roman" w:eastAsia="Times New Roman" w:hAnsi="Times New Roman"/>
          <w:color w:val="1F2937"/>
          <w:sz w:val="22"/>
          <w:szCs w:val="22"/>
        </w:rPr>
        <w:t xml:space="preserve">Trois environnements principaux sont mentionnés dans la littérature Dzogchen pour soutenir l'émergence des visions Tögal :</w:t>
      </w:r>
    </w:p>
    <w:p>
      <w:pPr>
        <w:pStyle w:val="ListParagraph"/>
        <w:numPr>
          <w:ilvl w:val="0"/>
          <w:numId w:val="1"/>
        </w:numPr>
        <w:spacing w:after="80"/>
      </w:pPr>
      <w:r>
        <w:rPr>
          <w:rFonts w:ascii="Times New Roman" w:cs="Times New Roman" w:eastAsia="Times New Roman" w:hAnsi="Times New Roman"/>
          <w:color w:val="1F2937"/>
          <w:sz w:val="22"/>
          <w:szCs w:val="22"/>
        </w:rPr>
        <w:t xml:space="preserve">La retraite d'obscurité (dark retreat) — pratique dans l'obscurité totale ; les visions surgissent de la luminosité intérieure sans appui extérieur.</w:t>
      </w:r>
    </w:p>
    <w:p>
      <w:pPr>
        <w:pStyle w:val="ListParagraph"/>
        <w:numPr>
          <w:ilvl w:val="0"/>
          <w:numId w:val="1"/>
        </w:numPr>
        <w:spacing w:after="80"/>
      </w:pPr>
      <w:r>
        <w:rPr>
          <w:rFonts w:ascii="Times New Roman" w:cs="Times New Roman" w:eastAsia="Times New Roman" w:hAnsi="Times New Roman"/>
          <w:color w:val="1F2937"/>
          <w:sz w:val="22"/>
          <w:szCs w:val="22"/>
        </w:rPr>
        <w:t xml:space="preserve">Le regard vers le ciel (sky gazing) — contempler le ciel ouvert, condition idéale pour que la lumière naturelle se manifeste.</w:t>
      </w:r>
    </w:p>
    <w:p>
      <w:pPr>
        <w:pStyle w:val="ListParagraph"/>
        <w:numPr>
          <w:ilvl w:val="0"/>
          <w:numId w:val="1"/>
        </w:numPr>
        <w:spacing w:after="80"/>
      </w:pPr>
      <w:r>
        <w:rPr>
          <w:rFonts w:ascii="Times New Roman" w:cs="Times New Roman" w:eastAsia="Times New Roman" w:hAnsi="Times New Roman"/>
          <w:color w:val="1F2937"/>
          <w:sz w:val="22"/>
          <w:szCs w:val="22"/>
        </w:rPr>
        <w:t xml:space="preserve">Le regard vers le soleil (gaze at the sun) — pratique avancée, à ne pas entreprendre sans instructions directes d'un maître qualifié.</w:t>
      </w:r>
    </w:p>
    <w:p>
      <w:pPr>
        <w:spacing w:after="120"/>
      </w:pPr>
      <w:r>
        <w:rPr>
          <w:rFonts w:ascii="Times New Roman" w:cs="Times New Roman" w:eastAsia="Times New Roman" w:hAnsi="Times New Roman"/>
          <w:color w:val="1F2937"/>
          <w:sz w:val="22"/>
          <w:szCs w:val="22"/>
        </w:rPr>
        <w:t xml:space="preserve">Des postures spécifiques (postures du lion, de l'éléphant, du sage — mentionnées dans la littérature sans être détaillées dans les sources consultées ici) et des regards (gaze) précis sont associés à chaque condition.</w:t>
      </w:r>
    </w:p>
    <w:p>
      <w:pPr>
        <w:spacing w:after="120" w:before="280"/>
      </w:pPr>
      <w:r>
        <w:rPr>
          <w:rFonts w:ascii="Times New Roman" w:cs="Times New Roman" w:eastAsia="Times New Roman" w:hAnsi="Times New Roman"/>
          <w:b/>
          <w:bCs/>
          <w:color w:val="1F2937"/>
          <w:sz w:val="26"/>
          <w:szCs w:val="26"/>
        </w:rPr>
        <w:t xml:space="preserve">5. Les deux techniques centrales (Nyingthig Yabzhi)</w:t>
      </w:r>
    </w:p>
    <w:p>
      <w:pPr>
        <w:spacing w:after="120"/>
      </w:pPr>
      <w:r>
        <w:rPr>
          <w:rFonts w:ascii="Times New Roman" w:cs="Times New Roman" w:eastAsia="Times New Roman" w:hAnsi="Times New Roman"/>
          <w:color w:val="1F2937"/>
          <w:sz w:val="22"/>
          <w:szCs w:val="22"/>
        </w:rPr>
        <w:t xml:space="preserve">La collection Nyingthig Yabzhi — « Quatre volumes de l'Essence du Cœur » — contient les instructions les plus élaborées sur Tögal et la retraite obscure. Deux techniques y sont centrales (selon la source buddhavisions.com consultée cette exécution) :</w:t>
      </w:r>
    </w:p>
    <w:p>
      <w:pPr>
        <w:pStyle w:val="ListParagraph"/>
        <w:numPr>
          <w:ilvl w:val="0"/>
          <w:numId w:val="1"/>
        </w:numPr>
        <w:spacing w:after="80"/>
      </w:pPr>
      <w:r>
        <w:rPr>
          <w:rFonts w:ascii="Times New Roman" w:cs="Times New Roman" w:eastAsia="Times New Roman" w:hAnsi="Times New Roman"/>
          <w:color w:val="1F2937"/>
          <w:sz w:val="22"/>
          <w:szCs w:val="22"/>
        </w:rPr>
        <w:t xml:space="preserve">Rgya mtsho ar gtad (« Focalisation sur l'océan ») : technique active impliquant une légère pression sur les coins externes des yeux pour stimuler les visions lumineuses.</w:t>
      </w:r>
    </w:p>
    <w:p>
      <w:pPr>
        <w:pStyle w:val="ListParagraph"/>
        <w:numPr>
          <w:ilvl w:val="0"/>
          <w:numId w:val="1"/>
        </w:numPr>
        <w:spacing w:after="80"/>
      </w:pPr>
      <w:r>
        <w:rPr>
          <w:rFonts w:ascii="Times New Roman" w:cs="Times New Roman" w:eastAsia="Times New Roman" w:hAnsi="Times New Roman"/>
          <w:color w:val="1F2937"/>
          <w:sz w:val="22"/>
          <w:szCs w:val="22"/>
        </w:rPr>
        <w:t xml:space="preserve">Rgya mtsho dwangs su gzhug (« Installer l'océan dans son essence claire ») : phase de relâchement permettant aux visions de se déployer naturellement, sans pression manuelle.</w:t>
      </w:r>
    </w:p>
    <w:p>
      <w:pPr>
        <w:spacing w:after="120" w:before="280"/>
      </w:pPr>
      <w:r>
        <w:rPr>
          <w:rFonts w:ascii="Times New Roman" w:cs="Times New Roman" w:eastAsia="Times New Roman" w:hAnsi="Times New Roman"/>
          <w:b/>
          <w:bCs/>
          <w:color w:val="1F2937"/>
          <w:sz w:val="26"/>
          <w:szCs w:val="26"/>
        </w:rPr>
        <w:t xml:space="preserve">6. Maîtres de référence</w:t>
      </w:r>
    </w:p>
    <w:p>
      <w:pPr>
        <w:spacing w:after="120"/>
      </w:pPr>
      <w:r>
        <w:rPr>
          <w:rFonts w:ascii="Times New Roman" w:cs="Times New Roman" w:eastAsia="Times New Roman" w:hAnsi="Times New Roman"/>
          <w:color w:val="1F2937"/>
          <w:sz w:val="22"/>
          <w:szCs w:val="22"/>
        </w:rPr>
        <w:t xml:space="preserve">Les sources consultées mentionnent les figures suivantes :</w:t>
      </w:r>
    </w:p>
    <w:p>
      <w:pPr>
        <w:pStyle w:val="ListParagraph"/>
        <w:numPr>
          <w:ilvl w:val="0"/>
          <w:numId w:val="1"/>
        </w:numPr>
        <w:spacing w:after="80"/>
      </w:pPr>
      <w:r>
        <w:rPr>
          <w:rFonts w:ascii="Times New Roman" w:cs="Times New Roman" w:eastAsia="Times New Roman" w:hAnsi="Times New Roman"/>
          <w:color w:val="1F2937"/>
          <w:sz w:val="22"/>
          <w:szCs w:val="22"/>
        </w:rPr>
        <w:t xml:space="preserve">Vimalamitra — pandita indien ayant réalisé le corps arc-en-ciel ; figure fondatrice des transmissions Nyingthig.</w:t>
      </w:r>
    </w:p>
    <w:p>
      <w:pPr>
        <w:pStyle w:val="ListParagraph"/>
        <w:numPr>
          <w:ilvl w:val="0"/>
          <w:numId w:val="1"/>
        </w:numPr>
        <w:spacing w:after="80"/>
      </w:pPr>
      <w:r>
        <w:rPr>
          <w:rFonts w:ascii="Times New Roman" w:cs="Times New Roman" w:eastAsia="Times New Roman" w:hAnsi="Times New Roman"/>
          <w:color w:val="1F2937"/>
          <w:sz w:val="22"/>
          <w:szCs w:val="22"/>
        </w:rPr>
        <w:t xml:space="preserve">Longchenpa (1308-1363) — il a systématisé les instructions élaborées sur la retraite obscure et Tögal dans le Nyingthig Yabzhi.</w:t>
      </w:r>
    </w:p>
    <w:p>
      <w:pPr>
        <w:pStyle w:val="ListParagraph"/>
        <w:numPr>
          <w:ilvl w:val="0"/>
          <w:numId w:val="1"/>
        </w:numPr>
        <w:spacing w:after="80"/>
      </w:pPr>
      <w:r>
        <w:rPr>
          <w:rFonts w:ascii="Times New Roman" w:cs="Times New Roman" w:eastAsia="Times New Roman" w:hAnsi="Times New Roman"/>
          <w:color w:val="1F2937"/>
          <w:sz w:val="22"/>
          <w:szCs w:val="22"/>
        </w:rPr>
        <w:t xml:space="preserve">Manjushrimitra — auteur de textes fondateurs sur la technique de « focalisation sur l'océan ».</w:t>
      </w:r>
    </w:p>
    <w:p>
      <w:pPr>
        <w:spacing w:after="120"/>
      </w:pPr>
      <w:r>
        <w:rPr>
          <w:rFonts w:ascii="Times New Roman" w:cs="Times New Roman" w:eastAsia="Times New Roman" w:hAnsi="Times New Roman"/>
          <w:color w:val="1F2937"/>
          <w:sz w:val="22"/>
          <w:szCs w:val="22"/>
        </w:rPr>
        <w:t xml:space="preserve">Note : Garab Dorje, Padmasambhava et d'autres maîtres fondateurs de la lignée Dzogchen sont liés à la transmission de Tögal dans la tradition — cette attribution générale n'est pas sourcée directement dans les documents consultés cette exécution et est ici présentée sans guillemets.</w:t>
      </w:r>
    </w:p>
    <w:p>
      <w:pPr>
        <w:spacing w:after="200" w:before="200"/>
        <w:jc w:val="center"/>
      </w:pPr>
      <w:r>
        <w:rPr>
          <w:color w:val="CCCCCC"/>
          <w:sz w:val="16"/>
          <w:szCs w:val="16"/>
        </w:rPr>
        <w:t xml:space="preserve">─────────────────────────────────────────</w:t>
      </w:r>
    </w:p>
    <w:p>
      <w:pPr>
        <w:spacing w:after="160" w:before="400"/>
      </w:pPr>
      <w:r>
        <w:rPr>
          <w:rFonts w:ascii="Times New Roman" w:cs="Times New Roman" w:eastAsia="Times New Roman" w:hAnsi="Times New Roman"/>
          <w:b/>
          <w:bCs/>
          <w:color w:val="1B3A6B"/>
          <w:sz w:val="30"/>
          <w:szCs w:val="30"/>
        </w:rPr>
        <w:t xml:space="preserve">🛠️ Pratique (80%) — Trois exercices d'apprentissage actif</w:t>
      </w:r>
    </w:p>
    <w:p>
      <w:pPr>
        <w:spacing w:after="120" w:before="280"/>
      </w:pPr>
      <w:r>
        <w:rPr>
          <w:rFonts w:ascii="Times New Roman" w:cs="Times New Roman" w:eastAsia="Times New Roman" w:hAnsi="Times New Roman"/>
          <w:b/>
          <w:bCs/>
          <w:color w:val="1F2937"/>
          <w:sz w:val="26"/>
          <w:szCs w:val="26"/>
        </w:rPr>
        <w:t xml:space="preserve">Exercice 1 — Cartographie des quatre visions (compréhension active)</w:t>
      </w:r>
    </w:p>
    <w:p>
      <w:pPr>
        <w:spacing w:after="120"/>
      </w:pPr>
      <w:r>
        <w:rPr>
          <w:rFonts w:ascii="Times New Roman" w:cs="Times New Roman" w:eastAsia="Times New Roman" w:hAnsi="Times New Roman"/>
          <w:color w:val="1F2937"/>
          <w:sz w:val="22"/>
          <w:szCs w:val="22"/>
        </w:rPr>
        <w:t xml:space="preserve">Durée estimée : 25 minutes.</w:t>
      </w:r>
    </w:p>
    <w:p>
      <w:pPr>
        <w:spacing w:after="120"/>
      </w:pPr>
      <w:r>
        <w:rPr>
          <w:rFonts w:ascii="Times New Roman" w:cs="Times New Roman" w:eastAsia="Times New Roman" w:hAnsi="Times New Roman"/>
          <w:color w:val="1F2937"/>
          <w:sz w:val="22"/>
          <w:szCs w:val="22"/>
        </w:rPr>
        <w:t xml:space="preserve">Objectif : ancrer les quatre stades de Tögal par un travail de mémorisation active et de reformulation personnelle.</w:t>
      </w:r>
    </w:p>
    <w:p>
      <w:pPr>
        <w:spacing w:after="120"/>
      </w:pPr>
      <w:r>
        <w:rPr>
          <w:rFonts w:ascii="Times New Roman" w:cs="Times New Roman" w:eastAsia="Times New Roman" w:hAnsi="Times New Roman"/>
          <w:color w:val="1F2937"/>
          <w:sz w:val="22"/>
          <w:szCs w:val="22"/>
        </w:rPr>
        <w:t xml:space="preserve"/>
      </w:r>
    </w:p>
    <w:p>
      <w:pPr>
        <w:spacing w:after="120"/>
      </w:pPr>
      <w:r>
        <w:rPr>
          <w:rFonts w:ascii="Times New Roman" w:cs="Times New Roman" w:eastAsia="Times New Roman" w:hAnsi="Times New Roman"/>
          <w:color w:val="1F2937"/>
          <w:sz w:val="22"/>
          <w:szCs w:val="22"/>
        </w:rPr>
        <w:t xml:space="preserve">Protocole :</w:t>
      </w:r>
    </w:p>
    <w:p>
      <w:pPr>
        <w:pStyle w:val="ListParagraph"/>
        <w:numPr>
          <w:ilvl w:val="0"/>
          <w:numId w:val="1"/>
        </w:numPr>
        <w:spacing w:after="80"/>
      </w:pPr>
      <w:r>
        <w:rPr>
          <w:rFonts w:ascii="Times New Roman" w:cs="Times New Roman" w:eastAsia="Times New Roman" w:hAnsi="Times New Roman"/>
          <w:color w:val="1F2937"/>
          <w:sz w:val="22"/>
          <w:szCs w:val="22"/>
        </w:rPr>
        <w:t xml:space="preserve">Prends une feuille vierge (ou ton journal). Trace un axe horizontal représentant le « chemin de la vision » de Tögal.</w:t>
      </w:r>
    </w:p>
    <w:p>
      <w:pPr>
        <w:pStyle w:val="ListParagraph"/>
        <w:numPr>
          <w:ilvl w:val="0"/>
          <w:numId w:val="1"/>
        </w:numPr>
        <w:spacing w:after="80"/>
      </w:pPr>
      <w:r>
        <w:rPr>
          <w:rFonts w:ascii="Times New Roman" w:cs="Times New Roman" w:eastAsia="Times New Roman" w:hAnsi="Times New Roman"/>
          <w:color w:val="1F2937"/>
          <w:sz w:val="22"/>
          <w:szCs w:val="22"/>
        </w:rPr>
        <w:t xml:space="preserve">Sur cet axe, place les quatre visions dans l'ordre, avec pour chacune : son nom français, une métaphore personnelle (une image qui te parle), et la phrase essentielle qui la résume.</w:t>
      </w:r>
    </w:p>
    <w:p>
      <w:pPr>
        <w:pStyle w:val="ListParagraph"/>
        <w:numPr>
          <w:ilvl w:val="0"/>
          <w:numId w:val="1"/>
        </w:numPr>
        <w:spacing w:after="80"/>
      </w:pPr>
      <w:r>
        <w:rPr>
          <w:rFonts w:ascii="Times New Roman" w:cs="Times New Roman" w:eastAsia="Times New Roman" w:hAnsi="Times New Roman"/>
          <w:color w:val="1F2937"/>
          <w:sz w:val="22"/>
          <w:szCs w:val="22"/>
        </w:rPr>
        <w:t xml:space="preserve">Compare ton schéma avec la théorie de la leçon : as-tu bien saisi la progression (émergence → intensification → organisation → dissolution) ?</w:t>
      </w:r>
    </w:p>
    <w:p>
      <w:pPr>
        <w:pStyle w:val="ListParagraph"/>
        <w:numPr>
          <w:ilvl w:val="0"/>
          <w:numId w:val="1"/>
        </w:numPr>
        <w:spacing w:after="80"/>
      </w:pPr>
      <w:r>
        <w:rPr>
          <w:rFonts w:ascii="Times New Roman" w:cs="Times New Roman" w:eastAsia="Times New Roman" w:hAnsi="Times New Roman"/>
          <w:color w:val="1F2937"/>
          <w:sz w:val="22"/>
          <w:szCs w:val="22"/>
        </w:rPr>
        <w:t xml:space="preserve">Écris ensuite, en trois lignes, la différence entre le stade 3 (organisation en mandala) et le stade 4 (dissolution) : qu'est-ce qui distingue l'apogée de l'aboutissement ?</w:t>
      </w:r>
    </w:p>
    <w:p>
      <w:pPr>
        <w:spacing w:after="120"/>
      </w:pPr>
      <w:r>
        <w:rPr>
          <w:rFonts w:ascii="Times New Roman" w:cs="Times New Roman" w:eastAsia="Times New Roman" w:hAnsi="Times New Roman"/>
          <w:color w:val="1F2937"/>
          <w:sz w:val="22"/>
          <w:szCs w:val="22"/>
        </w:rPr>
        <w:t xml:space="preserve"/>
      </w:r>
    </w:p>
    <w:p>
      <w:pPr>
        <w:shd w:fill="EEF2F7" w:val="clear"/>
        <w:spacing w:after="120" w:before="120"/>
        <w:ind w:left="431" w:right="431"/>
      </w:pPr>
      <w:r>
        <w:rPr>
          <w:rFonts w:ascii="Times New Roman" w:cs="Times New Roman" w:eastAsia="Times New Roman" w:hAnsi="Times New Roman"/>
          <w:color w:val="1F2937"/>
          <w:sz w:val="22"/>
          <w:szCs w:val="22"/>
        </w:rPr>
        <w:t xml:space="preserve">Corrigé-guide : La distinction essentielle entre les stades 3 et 4 est celle entre manifestation et dissolution. Au stade 3, la luminosité de rigpa atteint sa plénitude d'expression — elle se structure en formes de déités et de mandalas, ce qui est encore une « apparition ». Au stade 4, ces formes s'épuisent et se dissolvent dans l'espace ouvert : il n'y a plus d'objet de perception, même lumineux. Cet épuisement n'est pas une régression mais l'aboutissement — la libération spontanée dans la dharmata. Ce corrigé est conforme à la théorie exposée dans cette leçon.</w:t>
      </w:r>
    </w:p>
    <w:p>
      <w:pPr>
        <w:spacing w:after="120" w:before="280"/>
      </w:pPr>
      <w:r>
        <w:rPr>
          <w:rFonts w:ascii="Times New Roman" w:cs="Times New Roman" w:eastAsia="Times New Roman" w:hAnsi="Times New Roman"/>
          <w:b/>
          <w:bCs/>
          <w:color w:val="1F2937"/>
          <w:sz w:val="26"/>
          <w:szCs w:val="26"/>
        </w:rPr>
        <w:t xml:space="preserve">Exercice 2 — Contemplation du ciel ouvert (sky gazing simplifié)</w:t>
      </w:r>
    </w:p>
    <w:p>
      <w:pPr>
        <w:spacing w:after="120"/>
      </w:pPr>
      <w:r>
        <w:rPr>
          <w:rFonts w:ascii="Times New Roman" w:cs="Times New Roman" w:eastAsia="Times New Roman" w:hAnsi="Times New Roman"/>
          <w:color w:val="1F2937"/>
          <w:sz w:val="22"/>
          <w:szCs w:val="22"/>
        </w:rPr>
        <w:t xml:space="preserve">Durée estimée : 15 à 20 minutes (à faire en deux temps : 10 min de pratique + 10 min de notes).</w:t>
      </w:r>
    </w:p>
    <w:p>
      <w:pPr>
        <w:spacing w:after="120"/>
      </w:pPr>
      <w:r>
        <w:rPr>
          <w:rFonts w:ascii="Times New Roman" w:cs="Times New Roman" w:eastAsia="Times New Roman" w:hAnsi="Times New Roman"/>
          <w:color w:val="1F2937"/>
          <w:sz w:val="22"/>
          <w:szCs w:val="22"/>
        </w:rPr>
        <w:t xml:space="preserve">Objectif : expérimenter, dans un cadre très simplifié et non-avancé, le principe de base du sky gazing — la présence ouverte avec support visuel naturel.</w:t>
      </w:r>
    </w:p>
    <w:p>
      <w:pPr>
        <w:spacing w:after="120"/>
      </w:pPr>
      <w:r>
        <w:rPr>
          <w:rFonts w:ascii="Times New Roman" w:cs="Times New Roman" w:eastAsia="Times New Roman" w:hAnsi="Times New Roman"/>
          <w:color w:val="1F2937"/>
          <w:sz w:val="22"/>
          <w:szCs w:val="22"/>
        </w:rPr>
        <w:t xml:space="preserve"/>
      </w:r>
    </w:p>
    <w:p>
      <w:pPr>
        <w:spacing w:after="120"/>
      </w:pPr>
      <w:r>
        <w:rPr>
          <w:rFonts w:ascii="Times New Roman" w:cs="Times New Roman" w:eastAsia="Times New Roman" w:hAnsi="Times New Roman"/>
          <w:color w:val="1F2937"/>
          <w:sz w:val="22"/>
          <w:szCs w:val="22"/>
        </w:rPr>
        <w:t xml:space="preserve">Important — cadre et sécurité :</w:t>
      </w:r>
    </w:p>
    <w:p>
      <w:pPr>
        <w:shd w:fill="EEF2F7" w:val="clear"/>
        <w:spacing w:after="120" w:before="120"/>
        <w:ind w:left="431" w:right="431"/>
      </w:pPr>
      <w:r>
        <w:rPr>
          <w:rFonts w:ascii="Times New Roman" w:cs="Times New Roman" w:eastAsia="Times New Roman" w:hAnsi="Times New Roman"/>
          <w:color w:val="1F2937"/>
          <w:sz w:val="22"/>
          <w:szCs w:val="22"/>
        </w:rPr>
        <w:t xml:space="preserve">Il ne s'agit PAS ici de reproduire les pratiques avancées de Tögal (dark retreat, regard vers le soleil) — ces pratiques exigent un maître qualifié et des instructions directes. Cet exercice est une contemplation ouverte préparatoire, sans aucune technique avancée.
</w:t>
      </w:r>
      <w:r>
        <w:rPr>
          <w:rFonts w:ascii="Times New Roman" w:cs="Times New Roman" w:eastAsia="Times New Roman" w:hAnsi="Times New Roman"/>
          <w:color w:val="1F2937"/>
          <w:sz w:val="22"/>
          <w:szCs w:val="22"/>
        </w:rPr>
        <w:t xml:space="preserve">Ne regardez JAMAIS directement le soleil.</w:t>
      </w:r>
    </w:p>
    <w:p>
      <w:pPr>
        <w:spacing w:after="120"/>
      </w:pPr>
      <w:r>
        <w:rPr>
          <w:rFonts w:ascii="Times New Roman" w:cs="Times New Roman" w:eastAsia="Times New Roman" w:hAnsi="Times New Roman"/>
          <w:color w:val="1F2937"/>
          <w:sz w:val="22"/>
          <w:szCs w:val="22"/>
        </w:rPr>
        <w:t xml:space="preserve"/>
      </w:r>
    </w:p>
    <w:p>
      <w:pPr>
        <w:spacing w:after="120"/>
      </w:pPr>
      <w:r>
        <w:rPr>
          <w:rFonts w:ascii="Times New Roman" w:cs="Times New Roman" w:eastAsia="Times New Roman" w:hAnsi="Times New Roman"/>
          <w:color w:val="1F2937"/>
          <w:sz w:val="22"/>
          <w:szCs w:val="22"/>
        </w:rPr>
        <w:t xml:space="preserve">Protocole :</w:t>
      </w:r>
    </w:p>
    <w:p>
      <w:pPr>
        <w:pStyle w:val="ListParagraph"/>
        <w:numPr>
          <w:ilvl w:val="0"/>
          <w:numId w:val="1"/>
        </w:numPr>
        <w:spacing w:after="80"/>
      </w:pPr>
      <w:r>
        <w:rPr>
          <w:rFonts w:ascii="Times New Roman" w:cs="Times New Roman" w:eastAsia="Times New Roman" w:hAnsi="Times New Roman"/>
          <w:color w:val="1F2937"/>
          <w:sz w:val="22"/>
          <w:szCs w:val="22"/>
        </w:rPr>
        <w:t xml:space="preserve">Installe-toi confortablement à l'extérieur (ou devant une fenêtre ouverte) par temps dégagé. Regarde le ciel ouvert, là où il n'y a ni nuage, ni bâtiment — juste l'espace bleu infini.</w:t>
      </w:r>
    </w:p>
    <w:p>
      <w:pPr>
        <w:pStyle w:val="ListParagraph"/>
        <w:numPr>
          <w:ilvl w:val="0"/>
          <w:numId w:val="1"/>
        </w:numPr>
        <w:spacing w:after="80"/>
      </w:pPr>
      <w:r>
        <w:rPr>
          <w:rFonts w:ascii="Times New Roman" w:cs="Times New Roman" w:eastAsia="Times New Roman" w:hAnsi="Times New Roman"/>
          <w:color w:val="1F2937"/>
          <w:sz w:val="22"/>
          <w:szCs w:val="22"/>
        </w:rPr>
        <w:t xml:space="preserve">Maintiens les yeux semi-ouverts, le regard détendu, légèrement relevé. Évite de fixer un point précis.</w:t>
      </w:r>
    </w:p>
    <w:p>
      <w:pPr>
        <w:pStyle w:val="ListParagraph"/>
        <w:numPr>
          <w:ilvl w:val="0"/>
          <w:numId w:val="1"/>
        </w:numPr>
        <w:spacing w:after="80"/>
      </w:pPr>
      <w:r>
        <w:rPr>
          <w:rFonts w:ascii="Times New Roman" w:cs="Times New Roman" w:eastAsia="Times New Roman" w:hAnsi="Times New Roman"/>
          <w:color w:val="1F2937"/>
          <w:sz w:val="22"/>
          <w:szCs w:val="22"/>
        </w:rPr>
        <w:t xml:space="preserve">Pour les 5-7 premières minutes : laisse simplement l'esprit se reposer dans cet espace. Ni commentaire, ni analyse. Si des pensées surviennent, reviens au ciel.</w:t>
      </w:r>
    </w:p>
    <w:p>
      <w:pPr>
        <w:pStyle w:val="ListParagraph"/>
        <w:numPr>
          <w:ilvl w:val="0"/>
          <w:numId w:val="1"/>
        </w:numPr>
        <w:spacing w:after="80"/>
      </w:pPr>
      <w:r>
        <w:rPr>
          <w:rFonts w:ascii="Times New Roman" w:cs="Times New Roman" w:eastAsia="Times New Roman" w:hAnsi="Times New Roman"/>
          <w:color w:val="1F2937"/>
          <w:sz w:val="22"/>
          <w:szCs w:val="22"/>
        </w:rPr>
        <w:t xml:space="preserve">Pour les 5 minutes suivantes : observe ce qui se passe dans ton champ visuel périphérique — mouvements de lumière, variations de couleur, sensations de vaste espace. Note simplement, sans chercher à produire une vision.</w:t>
      </w:r>
    </w:p>
    <w:p>
      <w:pPr>
        <w:pStyle w:val="ListParagraph"/>
        <w:numPr>
          <w:ilvl w:val="0"/>
          <w:numId w:val="1"/>
        </w:numPr>
        <w:spacing w:after="80"/>
      </w:pPr>
      <w:r>
        <w:rPr>
          <w:rFonts w:ascii="Times New Roman" w:cs="Times New Roman" w:eastAsia="Times New Roman" w:hAnsi="Times New Roman"/>
          <w:color w:val="1F2937"/>
          <w:sz w:val="22"/>
          <w:szCs w:val="22"/>
        </w:rPr>
        <w:t xml:space="preserve">Après : prends 10 minutes pour noter dans ton journal : Qu'ai-je observé ? Qu'est-ce qui était différent d'une méditation les yeux fermés ? Ai-je éprouvé une qualité d'espace ou d'ouverture particulière ?</w:t>
      </w:r>
    </w:p>
    <w:p>
      <w:pPr>
        <w:spacing w:after="120"/>
      </w:pPr>
      <w:r>
        <w:rPr>
          <w:rFonts w:ascii="Times New Roman" w:cs="Times New Roman" w:eastAsia="Times New Roman" w:hAnsi="Times New Roman"/>
          <w:color w:val="1F2937"/>
          <w:sz w:val="22"/>
          <w:szCs w:val="22"/>
        </w:rPr>
        <w:t xml:space="preserve"/>
      </w:r>
    </w:p>
    <w:p>
      <w:pPr>
        <w:spacing w:after="120"/>
      </w:pPr>
      <w:r>
        <w:rPr>
          <w:rFonts w:ascii="Times New Roman" w:cs="Times New Roman" w:eastAsia="Times New Roman" w:hAnsi="Times New Roman"/>
          <w:color w:val="1F2937"/>
          <w:sz w:val="22"/>
          <w:szCs w:val="22"/>
        </w:rPr>
        <w:t xml:space="preserve">Relecture théorique : compare tes notes avec la description du premier stade de Tögal (« immédiateté de la conscience »). Vois-tu un lien, même lointain ?</w:t>
      </w:r>
    </w:p>
    <w:p>
      <w:pPr>
        <w:spacing w:after="120" w:before="280"/>
      </w:pPr>
      <w:r>
        <w:rPr>
          <w:rFonts w:ascii="Times New Roman" w:cs="Times New Roman" w:eastAsia="Times New Roman" w:hAnsi="Times New Roman"/>
          <w:b/>
          <w:bCs/>
          <w:color w:val="1F2937"/>
          <w:sz w:val="26"/>
          <w:szCs w:val="26"/>
        </w:rPr>
        <w:t xml:space="preserve">Exercice 3 — Journal de type : Trekchö et Tögal en moi</w:t>
      </w:r>
    </w:p>
    <w:p>
      <w:pPr>
        <w:spacing w:after="120"/>
      </w:pPr>
      <w:r>
        <w:rPr>
          <w:rFonts w:ascii="Times New Roman" w:cs="Times New Roman" w:eastAsia="Times New Roman" w:hAnsi="Times New Roman"/>
          <w:color w:val="1F2937"/>
          <w:sz w:val="22"/>
          <w:szCs w:val="22"/>
        </w:rPr>
        <w:t xml:space="preserve">Durée estimée : 20 minutes.</w:t>
      </w:r>
    </w:p>
    <w:p>
      <w:pPr>
        <w:spacing w:after="120"/>
      </w:pPr>
      <w:r>
        <w:rPr>
          <w:rFonts w:ascii="Times New Roman" w:cs="Times New Roman" w:eastAsia="Times New Roman" w:hAnsi="Times New Roman"/>
          <w:color w:val="1F2937"/>
          <w:sz w:val="22"/>
          <w:szCs w:val="22"/>
        </w:rPr>
        <w:t xml:space="preserve">Objectif : intégrer la distinction Trekchö / Tögal à partir de ton propre vécu méditatif (ou de ta compréhension intuitive si la pratique est récente).</w:t>
      </w:r>
    </w:p>
    <w:p>
      <w:pPr>
        <w:spacing w:after="120"/>
      </w:pPr>
      <w:r>
        <w:rPr>
          <w:rFonts w:ascii="Times New Roman" w:cs="Times New Roman" w:eastAsia="Times New Roman" w:hAnsi="Times New Roman"/>
          <w:color w:val="1F2937"/>
          <w:sz w:val="22"/>
          <w:szCs w:val="22"/>
        </w:rPr>
        <w:t xml:space="preserve"/>
      </w:r>
    </w:p>
    <w:p>
      <w:pPr>
        <w:spacing w:after="120"/>
      </w:pPr>
      <w:r>
        <w:rPr>
          <w:rFonts w:ascii="Times New Roman" w:cs="Times New Roman" w:eastAsia="Times New Roman" w:hAnsi="Times New Roman"/>
          <w:color w:val="1F2937"/>
          <w:sz w:val="22"/>
          <w:szCs w:val="22"/>
        </w:rPr>
        <w:t xml:space="preserve">Protocole :</w:t>
      </w:r>
    </w:p>
    <w:p>
      <w:pPr>
        <w:pStyle w:val="ListParagraph"/>
        <w:numPr>
          <w:ilvl w:val="0"/>
          <w:numId w:val="1"/>
        </w:numPr>
        <w:spacing w:after="80"/>
      </w:pPr>
      <w:r>
        <w:rPr>
          <w:rFonts w:ascii="Times New Roman" w:cs="Times New Roman" w:eastAsia="Times New Roman" w:hAnsi="Times New Roman"/>
          <w:color w:val="1F2937"/>
          <w:sz w:val="22"/>
          <w:szCs w:val="22"/>
        </w:rPr>
        <w:t xml:space="preserve">Relis la section théorique sur la distinction Trekchö / Tögal (tableau de la leçon).</w:t>
      </w:r>
    </w:p>
    <w:p>
      <w:pPr>
        <w:pStyle w:val="ListParagraph"/>
        <w:numPr>
          <w:ilvl w:val="0"/>
          <w:numId w:val="1"/>
        </w:numPr>
        <w:spacing w:after="80"/>
      </w:pPr>
      <w:r>
        <w:rPr>
          <w:rFonts w:ascii="Times New Roman" w:cs="Times New Roman" w:eastAsia="Times New Roman" w:hAnsi="Times New Roman"/>
          <w:color w:val="1F2937"/>
          <w:sz w:val="22"/>
          <w:szCs w:val="22"/>
        </w:rPr>
        <w:t xml:space="preserve">Réponds par écrit à ces trois questions :</w:t>
      </w:r>
    </w:p>
    <w:p>
      <w:pPr>
        <w:pStyle w:val="ListParagraph"/>
        <w:numPr>
          <w:ilvl w:val="1"/>
          <w:numId w:val="1"/>
        </w:numPr>
        <w:spacing w:after="80"/>
      </w:pPr>
      <w:r>
        <w:rPr>
          <w:rFonts w:ascii="Times New Roman" w:cs="Times New Roman" w:eastAsia="Times New Roman" w:hAnsi="Times New Roman"/>
          <w:color w:val="1F2937"/>
          <w:sz w:val="22"/>
          <w:szCs w:val="22"/>
        </w:rPr>
        <w:t xml:space="preserve">a) Dans ma vie ordinaire, y a-t-il des moments où quelque chose ressemble à Trekchö — une présence nue, sans commentaire de l'esprit, peut-être fugace ? Décris un exemple concret.</w:t>
      </w:r>
    </w:p>
    <w:p>
      <w:pPr>
        <w:pStyle w:val="ListParagraph"/>
        <w:numPr>
          <w:ilvl w:val="1"/>
          <w:numId w:val="1"/>
        </w:numPr>
        <w:spacing w:after="80"/>
      </w:pPr>
      <w:r>
        <w:rPr>
          <w:rFonts w:ascii="Times New Roman" w:cs="Times New Roman" w:eastAsia="Times New Roman" w:hAnsi="Times New Roman"/>
          <w:color w:val="1F2937"/>
          <w:sz w:val="22"/>
          <w:szCs w:val="22"/>
        </w:rPr>
        <w:t xml:space="preserve">b) Y a-t-il des expériences (en méditation, dans la nature, ou dans la vie quotidienne) où j'ai perçu une qualité de lumière, d'espace, ou d'émerveillement inattendu ? Cela m'évoque-t-il quelque chose de la logique de Tögal ?</w:t>
      </w:r>
    </w:p>
    <w:p>
      <w:pPr>
        <w:pStyle w:val="ListParagraph"/>
        <w:numPr>
          <w:ilvl w:val="1"/>
          <w:numId w:val="1"/>
        </w:numPr>
        <w:spacing w:after="80"/>
      </w:pPr>
      <w:r>
        <w:rPr>
          <w:rFonts w:ascii="Times New Roman" w:cs="Times New Roman" w:eastAsia="Times New Roman" w:hAnsi="Times New Roman"/>
          <w:color w:val="1F2937"/>
          <w:sz w:val="22"/>
          <w:szCs w:val="22"/>
        </w:rPr>
        <w:t xml:space="preserve">c) Selon la leçon, Trekchö est le prérequis de Tögal. Qu'est-ce que cela m'apprend sur la progression d'un chemin de pratique ? Comment cela résonne-t-il avec d'autres apprentissages dans ma vie ?</w:t>
      </w:r>
    </w:p>
    <w:p>
      <w:pPr>
        <w:pStyle w:val="ListParagraph"/>
        <w:numPr>
          <w:ilvl w:val="0"/>
          <w:numId w:val="1"/>
        </w:numPr>
        <w:spacing w:after="80"/>
      </w:pPr>
      <w:r>
        <w:rPr>
          <w:rFonts w:ascii="Times New Roman" w:cs="Times New Roman" w:eastAsia="Times New Roman" w:hAnsi="Times New Roman"/>
          <w:color w:val="1F2937"/>
          <w:sz w:val="22"/>
          <w:szCs w:val="22"/>
        </w:rPr>
        <w:t xml:space="preserve">Relis tes réponses et identifie : quelle est la phrase qui te paraît la plus vraie pour toi en ce moment ?</w:t>
      </w:r>
    </w:p>
    <w:p>
      <w:pPr>
        <w:spacing w:after="200" w:before="200"/>
        <w:jc w:val="center"/>
      </w:pPr>
      <w:r>
        <w:rPr>
          <w:color w:val="CCCCCC"/>
          <w:sz w:val="16"/>
          <w:szCs w:val="16"/>
        </w:rPr>
        <w:t xml:space="preserve">─────────────────────────────────────────</w:t>
      </w:r>
    </w:p>
    <w:p>
      <w:pPr>
        <w:spacing w:after="160" w:before="400"/>
      </w:pPr>
      <w:r>
        <w:rPr>
          <w:rFonts w:ascii="Times New Roman" w:cs="Times New Roman" w:eastAsia="Times New Roman" w:hAnsi="Times New Roman"/>
          <w:b/>
          <w:bCs/>
          <w:color w:val="1B3A6B"/>
          <w:sz w:val="30"/>
          <w:szCs w:val="30"/>
        </w:rPr>
        <w:t xml:space="preserve">🎯 Challenge — Enseigner Tögal en 5 minutes</w:t>
      </w:r>
    </w:p>
    <w:p>
      <w:pPr>
        <w:spacing w:after="120"/>
      </w:pPr>
      <w:r>
        <w:rPr>
          <w:rFonts w:ascii="Times New Roman" w:cs="Times New Roman" w:eastAsia="Times New Roman" w:hAnsi="Times New Roman"/>
          <w:color w:val="1F2937"/>
          <w:sz w:val="22"/>
          <w:szCs w:val="22"/>
        </w:rPr>
        <w:t xml:space="preserve">Objectif : mobiliser toute la leçon en produisant une restitution orale ou écrite synthétique.</w:t>
      </w:r>
    </w:p>
    <w:p>
      <w:pPr>
        <w:spacing w:after="120"/>
      </w:pPr>
      <w:r>
        <w:rPr>
          <w:rFonts w:ascii="Times New Roman" w:cs="Times New Roman" w:eastAsia="Times New Roman" w:hAnsi="Times New Roman"/>
          <w:color w:val="1F2937"/>
          <w:sz w:val="22"/>
          <w:szCs w:val="22"/>
        </w:rPr>
        <w:t xml:space="preserve"/>
      </w:r>
    </w:p>
    <w:p>
      <w:pPr>
        <w:spacing w:after="120"/>
      </w:pPr>
      <w:r>
        <w:rPr>
          <w:rFonts w:ascii="Times New Roman" w:cs="Times New Roman" w:eastAsia="Times New Roman" w:hAnsi="Times New Roman"/>
          <w:color w:val="1F2937"/>
          <w:sz w:val="22"/>
          <w:szCs w:val="22"/>
        </w:rPr>
        <w:t xml:space="preserve">Consigne :</w:t>
      </w:r>
    </w:p>
    <w:p>
      <w:pPr>
        <w:spacing w:after="120"/>
      </w:pPr>
      <w:r>
        <w:rPr>
          <w:rFonts w:ascii="Times New Roman" w:cs="Times New Roman" w:eastAsia="Times New Roman" w:hAnsi="Times New Roman"/>
          <w:color w:val="1F2937"/>
          <w:sz w:val="22"/>
          <w:szCs w:val="22"/>
        </w:rPr>
        <w:t xml:space="preserve">Imagine que tu dois expliquer Tögal à quelqu'un qui connaît déjà Trekchö (leçon 06) mais n'a jamais entendu parler de Tögal. Rédige ou dicte une explication de 5 minutes (environ 300-400 mots) qui couvre :</w:t>
      </w:r>
    </w:p>
    <w:p>
      <w:pPr>
        <w:pStyle w:val="ListParagraph"/>
        <w:numPr>
          <w:ilvl w:val="0"/>
          <w:numId w:val="1"/>
        </w:numPr>
        <w:spacing w:after="80"/>
      </w:pPr>
      <w:r>
        <w:rPr>
          <w:rFonts w:ascii="Times New Roman" w:cs="Times New Roman" w:eastAsia="Times New Roman" w:hAnsi="Times New Roman"/>
          <w:color w:val="1F2937"/>
          <w:sz w:val="22"/>
          <w:szCs w:val="22"/>
        </w:rPr>
        <w:t xml:space="preserve">ce qu'est Tögal (étymologie, principe, distinction avec Trekchö) ;</w:t>
      </w:r>
    </w:p>
    <w:p>
      <w:pPr>
        <w:pStyle w:val="ListParagraph"/>
        <w:numPr>
          <w:ilvl w:val="0"/>
          <w:numId w:val="1"/>
        </w:numPr>
        <w:spacing w:after="80"/>
      </w:pPr>
      <w:r>
        <w:rPr>
          <w:rFonts w:ascii="Times New Roman" w:cs="Times New Roman" w:eastAsia="Times New Roman" w:hAnsi="Times New Roman"/>
          <w:color w:val="1F2937"/>
          <w:sz w:val="22"/>
          <w:szCs w:val="22"/>
        </w:rPr>
        <w:t xml:space="preserve">les quatre visions dans leur progression ;</w:t>
      </w:r>
    </w:p>
    <w:p>
      <w:pPr>
        <w:pStyle w:val="ListParagraph"/>
        <w:numPr>
          <w:ilvl w:val="0"/>
          <w:numId w:val="1"/>
        </w:numPr>
        <w:spacing w:after="80"/>
      </w:pPr>
      <w:r>
        <w:rPr>
          <w:rFonts w:ascii="Times New Roman" w:cs="Times New Roman" w:eastAsia="Times New Roman" w:hAnsi="Times New Roman"/>
          <w:color w:val="1F2937"/>
          <w:sz w:val="22"/>
          <w:szCs w:val="22"/>
        </w:rPr>
        <w:t xml:space="preserve">pourquoi Trekchö est indispensable avant Tögal ;</w:t>
      </w:r>
    </w:p>
    <w:p>
      <w:pPr>
        <w:pStyle w:val="ListParagraph"/>
        <w:numPr>
          <w:ilvl w:val="0"/>
          <w:numId w:val="1"/>
        </w:numPr>
        <w:spacing w:after="80"/>
      </w:pPr>
      <w:r>
        <w:rPr>
          <w:rFonts w:ascii="Times New Roman" w:cs="Times New Roman" w:eastAsia="Times New Roman" w:hAnsi="Times New Roman"/>
          <w:color w:val="1F2937"/>
          <w:sz w:val="22"/>
          <w:szCs w:val="22"/>
        </w:rPr>
        <w:t xml:space="preserve">une image ou métaphore personnelle qui résume le sens de Tögal pour toi.</w:t>
      </w:r>
    </w:p>
    <w:p>
      <w:pPr>
        <w:spacing w:after="120"/>
      </w:pPr>
      <w:r>
        <w:rPr>
          <w:rFonts w:ascii="Times New Roman" w:cs="Times New Roman" w:eastAsia="Times New Roman" w:hAnsi="Times New Roman"/>
          <w:color w:val="1F2937"/>
          <w:sz w:val="22"/>
          <w:szCs w:val="22"/>
        </w:rPr>
        <w:t xml:space="preserve"/>
      </w:r>
    </w:p>
    <w:p>
      <w:pPr>
        <w:spacing w:after="120"/>
      </w:pPr>
      <w:r>
        <w:rPr>
          <w:rFonts w:ascii="Times New Roman" w:cs="Times New Roman" w:eastAsia="Times New Roman" w:hAnsi="Times New Roman"/>
          <w:color w:val="1F2937"/>
          <w:sz w:val="22"/>
          <w:szCs w:val="22"/>
        </w:rPr>
        <w:t xml:space="preserve">Critères de réussite : ta restitution doit être exacte sur les faits (vérifiables dans la théorie ci-dessus), compréhensible pour un non-initié, et vivante — pas une simple récitation.</w:t>
      </w:r>
    </w:p>
    <w:p>
      <w:pPr>
        <w:shd w:fill="EEF2F7" w:val="clear"/>
        <w:spacing w:after="120" w:before="120"/>
        <w:ind w:left="431" w:right="431"/>
      </w:pPr>
      <w:r>
        <w:rPr>
          <w:rFonts w:ascii="Times New Roman" w:cs="Times New Roman" w:eastAsia="Times New Roman" w:hAnsi="Times New Roman"/>
          <w:color w:val="1F2937"/>
          <w:sz w:val="22"/>
          <w:szCs w:val="22"/>
        </w:rPr>
        <w:t xml:space="preserve">Corrigé-guide : Une bonne restitution devra inclure : la définition (franchissement direct / pratique de la Lumière Claire), la logique kadag/lhundrub (Trekchö reconnaît la pureté primordiale, Tögal révèle la présence spontanée), les quatre stades (émergence de thigles → intensification → mandala des déités → dissolution-épuisement), et la condition prérequise (stabilité dans Trekchö). La métaphore est libre — elle doit cependant illustrer la progression et la dissolution finale.</w:t>
      </w:r>
    </w:p>
    <w:p>
      <w:pPr>
        <w:spacing w:after="200" w:before="200"/>
        <w:jc w:val="center"/>
      </w:pPr>
      <w:r>
        <w:rPr>
          <w:color w:val="CCCCCC"/>
          <w:sz w:val="16"/>
          <w:szCs w:val="16"/>
        </w:rPr>
        <w:t xml:space="preserve">─────────────────────────────────────────</w:t>
      </w:r>
    </w:p>
    <w:p>
      <w:pPr>
        <w:spacing w:after="160" w:before="400"/>
      </w:pPr>
      <w:r>
        <w:rPr>
          <w:rFonts w:ascii="Times New Roman" w:cs="Times New Roman" w:eastAsia="Times New Roman" w:hAnsi="Times New Roman"/>
          <w:b/>
          <w:bCs/>
          <w:color w:val="1B3A6B"/>
          <w:sz w:val="30"/>
          <w:szCs w:val="30"/>
        </w:rPr>
        <w:t xml:space="preserve">🌉 Pont pro (optionnel)</w:t>
      </w:r>
    </w:p>
    <w:p>
      <w:pPr>
        <w:spacing w:after="120"/>
      </w:pPr>
      <w:r>
        <w:rPr>
          <w:rFonts w:ascii="Times New Roman" w:cs="Times New Roman" w:eastAsia="Times New Roman" w:hAnsi="Times New Roman"/>
          <w:color w:val="1F2937"/>
          <w:sz w:val="22"/>
          <w:szCs w:val="22"/>
        </w:rPr>
        <w:t xml:space="preserve">La logique de Tögal — laisser émerger la lumière intérieure plutôt que la produire, reconnaître sans forcer — peut résonner avec une posture de cadre de service : savoir créer les conditions pour que les potentialités de son équipe et des personnes accompagnées se déploient, sans les surcharger de directives. Ce n'est pas une analogie directe, mais une invitation à explorer la notion de « conditions favorables » dans l'accompagnement en ESSMS — conditions de sécurité, de temps, de confiance, qui permettent à quelque chose d'émerger spontanément plutôt que d'être imposé.</w:t>
      </w:r>
    </w:p>
    <w:p>
      <w:pPr>
        <w:spacing w:after="200" w:before="200"/>
        <w:jc w:val="center"/>
      </w:pPr>
      <w:r>
        <w:rPr>
          <w:color w:val="CCCCCC"/>
          <w:sz w:val="16"/>
          <w:szCs w:val="16"/>
        </w:rPr>
        <w:t xml:space="preserve">─────────────────────────────────────────</w:t>
      </w:r>
    </w:p>
    <w:p>
      <w:pPr>
        <w:spacing w:after="160" w:before="400"/>
      </w:pPr>
      <w:r>
        <w:rPr>
          <w:rFonts w:ascii="Times New Roman" w:cs="Times New Roman" w:eastAsia="Times New Roman" w:hAnsi="Times New Roman"/>
          <w:b/>
          <w:bCs/>
          <w:color w:val="1B3A6B"/>
          <w:sz w:val="30"/>
          <w:szCs w:val="30"/>
        </w:rPr>
        <w:t xml:space="preserve">📚 Ressources cliquables</w:t>
      </w:r>
    </w:p>
    <w:p>
      <w:pPr>
        <w:spacing w:after="120"/>
      </w:pPr>
      <w:r>
        <w:rPr>
          <w:rFonts w:ascii="Times New Roman" w:cs="Times New Roman" w:eastAsia="Times New Roman" w:hAnsi="Times New Roman"/>
          <w:color w:val="1F2937"/>
          <w:sz w:val="22"/>
          <w:szCs w:val="22"/>
        </w:rPr>
        <w:t xml:space="preserve">Sources réellement consultées lors de cette exécution :</w:t>
      </w:r>
    </w:p>
    <w:p>
      <w:pPr>
        <w:spacing w:after="120"/>
      </w:pPr>
      <w:r>
        <w:rPr>
          <w:rFonts w:ascii="Times New Roman" w:cs="Times New Roman" w:eastAsia="Times New Roman" w:hAnsi="Times New Roman"/>
          <w:color w:val="1F2937"/>
          <w:sz w:val="22"/>
          <w:szCs w:val="22"/>
        </w:rPr>
        <w:t xml:space="preserve"/>
      </w:r>
    </w:p>
    <w:p>
      <w:pPr>
        <w:spacing w:after="80"/>
      </w:pPr>
      <w:hyperlink w:history="1" r:id="rIdqpwaflnyyu8rq3goqhuln">
        <w:r>
          <w:rPr>
            <w:rStyle w:val="Hyperlink"/>
            <w:rFonts w:ascii="Times New Roman" w:cs="Times New Roman" w:eastAsia="Times New Roman" w:hAnsi="Times New Roman"/>
            <w:color w:val="1155CC"/>
            <w:sz w:val="22"/>
            <w:szCs w:val="22"/>
            <w:u w:val="single"/>
          </w:rPr>
          <w:t xml:space="preserve">Wikipedia — Tögal</w:t>
        </w:r>
      </w:hyperlink>
      <w:r>
        <w:rPr>
          <w:rFonts w:ascii="Times New Roman" w:cs="Times New Roman" w:eastAsia="Times New Roman" w:hAnsi="Times New Roman"/>
          <w:color w:val="1F2937"/>
          <w:sz w:val="22"/>
          <w:szCs w:val="22"/>
        </w:rPr>
        <w:t xml:space="preserve"> : définition, étymologie, quatre visions, distinction avec Trekchö, rainbow body.</w:t>
      </w:r>
    </w:p>
    <w:p>
      <w:pPr>
        <w:spacing w:after="80"/>
      </w:pPr>
      <w:hyperlink w:history="1" r:id="rIdm4hpztxb6jkscjjqxqlim">
        <w:r>
          <w:rPr>
            <w:rStyle w:val="Hyperlink"/>
            <w:rFonts w:ascii="Times New Roman" w:cs="Times New Roman" w:eastAsia="Times New Roman" w:hAnsi="Times New Roman"/>
            <w:color w:val="1155CC"/>
            <w:sz w:val="22"/>
            <w:szCs w:val="22"/>
            <w:u w:val="single"/>
          </w:rPr>
          <w:t xml:space="preserve">Wikipedia — Dzogchen</w:t>
        </w:r>
      </w:hyperlink>
      <w:r>
        <w:rPr>
          <w:rFonts w:ascii="Times New Roman" w:cs="Times New Roman" w:eastAsia="Times New Roman" w:hAnsi="Times New Roman"/>
          <w:color w:val="1F2937"/>
          <w:sz w:val="22"/>
          <w:szCs w:val="22"/>
        </w:rPr>
        <w:t xml:space="preserve"> : contexte général du Dzogchen, Tögal et Trekchö, postures et regards, corps arc-en-ciel.</w:t>
      </w:r>
    </w:p>
    <w:p>
      <w:pPr>
        <w:spacing w:after="80"/>
      </w:pPr>
      <w:hyperlink w:history="1" r:id="rIdmj47p41nu78g12b5wrx4i">
        <w:r>
          <w:rPr>
            <w:rStyle w:val="Hyperlink"/>
            <w:rFonts w:ascii="Times New Roman" w:cs="Times New Roman" w:eastAsia="Times New Roman" w:hAnsi="Times New Roman"/>
            <w:color w:val="1155CC"/>
            <w:sz w:val="22"/>
            <w:szCs w:val="22"/>
            <w:u w:val="single"/>
          </w:rPr>
          <w:t xml:space="preserve">Buddha Visions — Dzogchen in Darkness and Light (Nyingthig Yabzhi)</w:t>
        </w:r>
      </w:hyperlink>
      <w:r>
        <w:rPr>
          <w:rFonts w:ascii="Times New Roman" w:cs="Times New Roman" w:eastAsia="Times New Roman" w:hAnsi="Times New Roman"/>
          <w:color w:val="1F2937"/>
          <w:sz w:val="22"/>
          <w:szCs w:val="22"/>
        </w:rPr>
        <w:t xml:space="preserve"> : les deux techniques centrales de Tögal (Ocean Focusing / Settling the Ocean), maîtres de référence, retraite obscure et dark retreat.</w:t>
      </w:r>
    </w:p>
    <w:p>
      <w:pPr>
        <w:spacing w:after="120"/>
      </w:pPr>
      <w:r>
        <w:rPr>
          <w:rFonts w:ascii="Times New Roman" w:cs="Times New Roman" w:eastAsia="Times New Roman" w:hAnsi="Times New Roman"/>
          <w:color w:val="1F2937"/>
          <w:sz w:val="22"/>
          <w:szCs w:val="22"/>
        </w:rPr>
        <w:t xml:space="preserve"/>
      </w:r>
    </w:p>
    <w:p>
      <w:pPr>
        <w:spacing w:after="120"/>
      </w:pPr>
      <w:r>
        <w:rPr>
          <w:rFonts w:ascii="Times New Roman" w:cs="Times New Roman" w:eastAsia="Times New Roman" w:hAnsi="Times New Roman"/>
          <w:color w:val="1F2937"/>
          <w:sz w:val="22"/>
          <w:szCs w:val="22"/>
        </w:rPr>
        <w:t xml:space="preserve">Sources indisponibles lors de cette exécution (⛔) :</w:t>
      </w:r>
    </w:p>
    <w:p>
      <w:pPr>
        <w:pStyle w:val="ListParagraph"/>
        <w:numPr>
          <w:ilvl w:val="0"/>
          <w:numId w:val="1"/>
        </w:numPr>
        <w:spacing w:after="80"/>
      </w:pPr>
      <w:r>
        <w:rPr>
          <w:rFonts w:ascii="Times New Roman" w:cs="Times New Roman" w:eastAsia="Times New Roman" w:hAnsi="Times New Roman"/>
          <w:color w:val="1F2937"/>
          <w:sz w:val="22"/>
          <w:szCs w:val="22"/>
        </w:rPr>
        <w:t xml:space="preserve">⛔ rigpawiki.org/Tögal (403)</w:t>
      </w:r>
    </w:p>
    <w:p>
      <w:pPr>
        <w:pStyle w:val="ListParagraph"/>
        <w:numPr>
          <w:ilvl w:val="0"/>
          <w:numId w:val="1"/>
        </w:numPr>
        <w:spacing w:after="80"/>
      </w:pPr>
      <w:r>
        <w:rPr>
          <w:rFonts w:ascii="Times New Roman" w:cs="Times New Roman" w:eastAsia="Times New Roman" w:hAnsi="Times New Roman"/>
          <w:color w:val="1F2937"/>
          <w:sz w:val="22"/>
          <w:szCs w:val="22"/>
        </w:rPr>
        <w:t xml:space="preserve">⛔ lotsawahouse.org/topics/thogal (404)</w:t>
      </w:r>
    </w:p>
    <w:p>
      <w:pPr>
        <w:pStyle w:val="ListParagraph"/>
        <w:numPr>
          <w:ilvl w:val="0"/>
          <w:numId w:val="1"/>
        </w:numPr>
        <w:spacing w:after="80"/>
      </w:pPr>
      <w:r>
        <w:rPr>
          <w:rFonts w:ascii="Times New Roman" w:cs="Times New Roman" w:eastAsia="Times New Roman" w:hAnsi="Times New Roman"/>
          <w:color w:val="1F2937"/>
          <w:sz w:val="22"/>
          <w:szCs w:val="22"/>
        </w:rPr>
        <w:t xml:space="preserve">⛔ tricycle.org/magazine/togal (404)</w:t>
      </w:r>
    </w:p>
    <w:p>
      <w:pPr>
        <w:pStyle w:val="ListParagraph"/>
        <w:numPr>
          <w:ilvl w:val="0"/>
          <w:numId w:val="1"/>
        </w:numPr>
        <w:spacing w:after="80"/>
      </w:pPr>
      <w:r>
        <w:rPr>
          <w:rFonts w:ascii="Times New Roman" w:cs="Times New Roman" w:eastAsia="Times New Roman" w:hAnsi="Times New Roman"/>
          <w:color w:val="1F2937"/>
          <w:sz w:val="22"/>
          <w:szCs w:val="22"/>
        </w:rPr>
        <w:t xml:space="preserve">⛔ rywiki.tsadra.org/Togal_Vision (403)</w:t>
      </w:r>
    </w:p>
    <w:p>
      <w:pPr>
        <w:pStyle w:val="ListParagraph"/>
        <w:numPr>
          <w:ilvl w:val="0"/>
          <w:numId w:val="1"/>
        </w:numPr>
        <w:spacing w:after="80"/>
      </w:pPr>
      <w:r>
        <w:rPr>
          <w:rFonts w:ascii="Times New Roman" w:cs="Times New Roman" w:eastAsia="Times New Roman" w:hAnsi="Times New Roman"/>
          <w:color w:val="1F2937"/>
          <w:sz w:val="22"/>
          <w:szCs w:val="22"/>
        </w:rPr>
        <w:t xml:space="preserve">⛔ studybuddhism.com/trekcho-and-togal (404)</w:t>
      </w:r>
    </w:p>
    <w:p>
      <w:pPr>
        <w:spacing w:after="200" w:before="200"/>
        <w:jc w:val="center"/>
      </w:pPr>
      <w:r>
        <w:rPr>
          <w:color w:val="CCCCCC"/>
          <w:sz w:val="16"/>
          <w:szCs w:val="16"/>
        </w:rPr>
        <w:t xml:space="preserve">─────────────────────────────────────────</w:t>
      </w:r>
    </w:p>
    <w:p>
      <w:pPr>
        <w:spacing w:after="160" w:before="400"/>
      </w:pPr>
      <w:r>
        <w:rPr>
          <w:rFonts w:ascii="Times New Roman" w:cs="Times New Roman" w:eastAsia="Times New Roman" w:hAnsi="Times New Roman"/>
          <w:b/>
          <w:bCs/>
          <w:color w:val="1B3A6B"/>
          <w:sz w:val="30"/>
          <w:szCs w:val="30"/>
        </w:rPr>
        <w:t xml:space="preserve">🔜 Prochaine leçon</w:t>
      </w:r>
    </w:p>
    <w:p>
      <w:pPr>
        <w:spacing w:after="120"/>
      </w:pPr>
      <w:r>
        <w:rPr>
          <w:rFonts w:ascii="Times New Roman" w:cs="Times New Roman" w:eastAsia="Times New Roman" w:hAnsi="Times New Roman"/>
          <w:color w:val="1F2937"/>
          <w:sz w:val="22"/>
          <w:szCs w:val="22"/>
        </w:rPr>
        <w:t xml:space="preserve">Leçon n°08 — Les trois séries : Semdé (esprit), Longdé (espace), Mengagdé (instructions)</w:t>
      </w:r>
    </w:p>
    <w:p>
      <w:pPr>
        <w:spacing w:after="120"/>
      </w:pPr>
      <w:r>
        <w:rPr>
          <w:rFonts w:ascii="Times New Roman" w:cs="Times New Roman" w:eastAsia="Times New Roman" w:hAnsi="Times New Roman"/>
          <w:color w:val="1F2937"/>
          <w:sz w:val="22"/>
          <w:szCs w:val="22"/>
        </w:rPr>
        <w:t xml:space="preserve">Après avoir exploré les deux grandes pratiques (Trekchö, Tögal), la leçon 08 te présentera la structure interne du Dzogchen : les trois séries qui organisent l'ensemble de l'enseignement, leurs approches respectives et les textes fondamentaux qui y sont rattachés.</w:t>
      </w:r>
    </w:p>
    <w:p>
      <w:pPr>
        <w:spacing w:after="200" w:before="200"/>
        <w:jc w:val="center"/>
      </w:pPr>
      <w:r>
        <w:rPr>
          <w:color w:val="CCCCCC"/>
          <w:sz w:val="16"/>
          <w:szCs w:val="16"/>
        </w:rPr>
        <w:t xml:space="preserve">─────────────────────────────────────────</w:t>
      </w:r>
    </w:p>
    <w:p>
      <w:pPr>
        <w:spacing w:after="160" w:before="400"/>
      </w:pPr>
      <w:r>
        <w:rPr>
          <w:rFonts w:ascii="Times New Roman" w:cs="Times New Roman" w:eastAsia="Times New Roman" w:hAnsi="Times New Roman"/>
          <w:b/>
          <w:bCs/>
          <w:color w:val="1B3A6B"/>
          <w:sz w:val="30"/>
          <w:szCs w:val="30"/>
        </w:rPr>
        <w:t xml:space="preserve">⚠️ Note de sourçage (garde-fous qualité)</w:t>
      </w:r>
    </w:p>
    <w:p>
      <w:pPr>
        <w:spacing w:after="120"/>
      </w:pPr>
      <w:r>
        <w:rPr>
          <w:rFonts w:ascii="Times New Roman" w:cs="Times New Roman" w:eastAsia="Times New Roman" w:hAnsi="Times New Roman"/>
          <w:color w:val="1F2937"/>
          <w:sz w:val="22"/>
          <w:szCs w:val="22"/>
        </w:rPr>
        <w:t xml:space="preserve">Affirmations non sourcées directement dans les documents consultés cette exécution — présentées sans guillemets et en formulation indirecte :</w:t>
      </w:r>
    </w:p>
    <w:p>
      <w:pPr>
        <w:pStyle w:val="ListParagraph"/>
        <w:numPr>
          <w:ilvl w:val="0"/>
          <w:numId w:val="1"/>
        </w:numPr>
        <w:spacing w:after="80"/>
      </w:pPr>
      <w:r>
        <w:rPr>
          <w:rFonts w:ascii="Times New Roman" w:cs="Times New Roman" w:eastAsia="Times New Roman" w:hAnsi="Times New Roman"/>
          <w:color w:val="1F2937"/>
          <w:sz w:val="22"/>
          <w:szCs w:val="22"/>
        </w:rPr>
        <w:t xml:space="preserve">Les noms tibétains précis des quatre visions (snang ba bzhi) : les sources consultées ne donnent pas tous les termes tibétains de façon exploitable — le nom général « snang ba bzhi » est signalé mais les noms individuels de chaque vision varient selon les sources et n'ont pas été vérifiés mot à mot.</w:t>
      </w:r>
    </w:p>
    <w:p>
      <w:pPr>
        <w:pStyle w:val="ListParagraph"/>
        <w:numPr>
          <w:ilvl w:val="0"/>
          <w:numId w:val="1"/>
        </w:numPr>
        <w:spacing w:after="80"/>
      </w:pPr>
      <w:r>
        <w:rPr>
          <w:rFonts w:ascii="Times New Roman" w:cs="Times New Roman" w:eastAsia="Times New Roman" w:hAnsi="Times New Roman"/>
          <w:color w:val="1F2937"/>
          <w:sz w:val="22"/>
          <w:szCs w:val="22"/>
        </w:rPr>
        <w:t xml:space="preserve">Les postures spécifiques (lion, éléphant, sage) : mentionnées dans la littérature générale Dzogchen mais non détaillées dans les sources consultées cette exécution — présentées sans attributions précises.</w:t>
      </w:r>
    </w:p>
    <w:p>
      <w:pPr>
        <w:pStyle w:val="ListParagraph"/>
        <w:numPr>
          <w:ilvl w:val="0"/>
          <w:numId w:val="1"/>
        </w:numPr>
        <w:spacing w:after="80"/>
      </w:pPr>
      <w:r>
        <w:rPr>
          <w:rFonts w:ascii="Times New Roman" w:cs="Times New Roman" w:eastAsia="Times New Roman" w:hAnsi="Times New Roman"/>
          <w:color w:val="1F2937"/>
          <w:sz w:val="22"/>
          <w:szCs w:val="22"/>
        </w:rPr>
        <w:t xml:space="preserve">L'attribution de Tögal à Padmasambhava : présentée sans guillemets et sans attribution directe, car non vérifiée dans les sources consultées.</w:t>
      </w:r>
    </w:p>
    <w:p>
      <w:pPr>
        <w:pStyle w:val="ListParagraph"/>
        <w:numPr>
          <w:ilvl w:val="0"/>
          <w:numId w:val="1"/>
        </w:numPr>
        <w:spacing w:after="80"/>
      </w:pPr>
      <w:r>
        <w:rPr>
          <w:rFonts w:ascii="Times New Roman" w:cs="Times New Roman" w:eastAsia="Times New Roman" w:hAnsi="Times New Roman"/>
          <w:color w:val="1F2937"/>
          <w:sz w:val="22"/>
          <w:szCs w:val="22"/>
        </w:rPr>
        <w:t xml:space="preserve">Les termes tibétains rgya mtsho ar gtad et rgya mtsho dwangs su gzhug : issus de la source buddhavisions.com consultée cette exécution, présentés tel quels.</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pwaflnyyu8rq3goqhuln" Type="http://schemas.openxmlformats.org/officeDocument/2006/relationships/hyperlink" Target="https://en.wikipedia.org/wiki/T%C3%B6gal" TargetMode="External"/><Relationship Id="rIdm4hpztxb6jkscjjqxqlim" Type="http://schemas.openxmlformats.org/officeDocument/2006/relationships/hyperlink" Target="https://en.wikipedia.org/wiki/Dzogchen" TargetMode="External"/><Relationship Id="rIdmj47p41nu78g12b5wrx4i" Type="http://schemas.openxmlformats.org/officeDocument/2006/relationships/hyperlink" Target="https://www.buddhavisions.com/dzogchen-in-darkness-and-light-part-i-nyingthig-yabzhi/"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2026-07-21T06:07:36.300Z</dcterms:created>
  <dcterms:modified xsi:type="dcterms:W3CDTF">2026-07-21T06:07:36.550Z</dcterms:modified>
</cp:coreProperties>
</file>

<file path=docProps/custom.xml><?xml version="1.0" encoding="utf-8"?>
<Properties xmlns="http://schemas.openxmlformats.org/officeDocument/2006/custom-properties" xmlns:vt="http://schemas.openxmlformats.org/officeDocument/2006/docPropsVTypes"/>
</file>