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
        <w:jc w:val="center"/>
      </w:pPr>
      <w:r>
        <w:rPr>
          <w:rFonts w:ascii="Times New Roman" w:cs="Times New Roman" w:eastAsia="Times New Roman" w:hAnsi="Times New Roman"/>
          <w:b/>
          <w:bCs/>
          <w:color w:val="1B3A6B"/>
          <w:sz w:val="52"/>
          <w:szCs w:val="52"/>
        </w:rPr>
        <w:t xml:space="preserve">Leçon Hypnose &amp; auto-hypnose n°16</w:t>
      </w:r>
    </w:p>
    <w:p>
      <w:pPr>
        <w:spacing w:after="160" w:before="200"/>
        <w:jc w:val="center"/>
      </w:pPr>
      <w:r>
        <w:rPr>
          <w:rFonts w:ascii="Times New Roman" w:cs="Times New Roman" w:eastAsia="Times New Roman" w:hAnsi="Times New Roman"/>
          <w:b/>
          <w:bCs/>
          <w:color w:val="1B3A6B"/>
          <w:sz w:val="52"/>
          <w:szCs w:val="52"/>
        </w:rPr>
        <w:t xml:space="preserve">Résistances, échecs et non-répondeurs : ce qui ne marche pas</w:t>
      </w:r>
    </w:p>
    <w:p>
      <w:pPr>
        <w:spacing w:after="80" w:before="80"/>
        <w:jc w:val="center"/>
      </w:pPr>
      <w:r>
        <w:rPr>
          <w:rFonts w:ascii="Times New Roman" w:cs="Times New Roman" w:eastAsia="Times New Roman" w:hAnsi="Times New Roman"/>
          <w:i/>
          <w:iCs/>
          <w:color w:val="1F2937"/>
          <w:sz w:val="20"/>
          <w:szCs w:val="20"/>
        </w:rPr>
        <w:t xml:space="preserve">29 septembre 2026  —  Leçon 16 / 20</w:t>
      </w:r>
    </w:p>
    <w:p>
      <w:pPr>
        <w:spacing w:after="80" w:before="80"/>
      </w:pPr>
      <w:r>
        <w:t xml:space="preserve"/>
      </w:r>
    </w:p>
    <w:p>
      <w:pPr>
        <w:spacing w:after="100" w:before="32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b w:val="false"/>
          <w:bCs w:val="false"/>
          <w:i w:val="false"/>
          <w:iCs w:val="false"/>
          <w:color w:val="1F2937"/>
          <w:sz w:val="22"/>
          <w:szCs w:val="22"/>
        </w:rPr>
        <w:t xml:space="preserve">À l'issue de cette leçon, tu sauras pourquoi l'hypnose ne produit pas les mêmes effets chez tout le monde, comment évaluer ta propre position sur le spectre de l'hypnotisabilité, et quelles stratégies adopter pour contourner les obstacles qui émergent dans ta pratique personnelle d'auto-hypnose.</w:t>
      </w:r>
    </w:p>
    <w:p>
      <w:pPr>
        <w:spacing w:after="80" w:before="80"/>
      </w:pPr>
      <w:r>
        <w:rPr>
          <w:rFonts w:ascii="Times New Roman" w:cs="Times New Roman" w:eastAsia="Times New Roman" w:hAnsi="Times New Roman"/>
          <w:b w:val="false"/>
          <w:bCs w:val="false"/>
          <w:i w:val="false"/>
          <w:iCs w:val="false"/>
          <w:color w:val="1F2937"/>
          <w:sz w:val="22"/>
          <w:szCs w:val="22"/>
        </w:rPr>
        <w:t xml:space="preserve">Continuité : la leçon 15 t'a montré comment utiliser l'auto-hypnose pour améliorer la qualité du sommeil. Avant cela, les leçons 12 et 13 avaient abordé l'hypnose face à la douleur et à l'anxiété. Tu as peut-être remarqué que certaines séances semblent « fonctionner » mieux que d'autres — c'est précisément le cœur de cette leçon : comprendre ces variations, les démystifier et en faire une ressource.</w:t>
      </w:r>
    </w:p>
    <w:p>
      <w:pPr>
        <w:spacing w:after="80" w:before="80"/>
      </w:pPr>
      <w:r>
        <w:t xml:space="preserve"/>
      </w:r>
    </w:p>
    <w:p>
      <w:pPr>
        <w:spacing w:after="100" w:before="320"/>
      </w:pPr>
      <w:r>
        <w:rPr>
          <w:rFonts w:ascii="Times New Roman" w:cs="Times New Roman" w:eastAsia="Times New Roman" w:hAnsi="Times New Roman"/>
          <w:b/>
          <w:bCs/>
          <w:color w:val="1B3A6B"/>
          <w:sz w:val="30"/>
          <w:szCs w:val="30"/>
        </w:rPr>
        <w:t xml:space="preserve">⚠️ Cadre &amp; sécurité</w:t>
      </w:r>
    </w:p>
    <w:p>
      <w:pPr>
        <w:shd w:fill="F3F4F6" w:val="clear"/>
        <w:spacing w:after="120" w:before="120"/>
        <w:ind w:left="288" w:right="288"/>
      </w:pPr>
      <w:r>
        <w:rPr>
          <w:rFonts w:ascii="Times New Roman" w:cs="Times New Roman" w:eastAsia="Times New Roman" w:hAnsi="Times New Roman"/>
          <w:b/>
          <w:bCs/>
          <w:color w:val="1F2937"/>
          <w:sz w:val="22"/>
          <w:szCs w:val="22"/>
        </w:rPr>
        <w:t xml:space="preserve">Ce parcours est centré sur l'auto-pratique pour le développement personnel (détente, gestion du stress, concentration). Il ne forme pas à l'hypnothérapie sur autrui, qui exige une formation qualifiante et un cadre clinique. Cette leçon inclut les contre-indications connues : si tu souffres ou accompagnes quelqu'un souffrant de troubles psychotiques aigus, de bouffées délirantes ou de paranoïa, l'hypnose est contre-indiquée dans ce contexte — à signaler au médecin traitant.</w:t>
      </w:r>
    </w:p>
    <w:p>
      <w:pPr>
        <w:spacing w:after="80" w:before="80"/>
      </w:pPr>
      <w:r>
        <w:t xml:space="preserve"/>
      </w:r>
    </w:p>
    <w:p>
      <w:pPr>
        <w:spacing w:after="100" w:before="320"/>
      </w:pPr>
      <w:r>
        <w:rPr>
          <w:rFonts w:ascii="Times New Roman" w:cs="Times New Roman" w:eastAsia="Times New Roman" w:hAnsi="Times New Roman"/>
          <w:b/>
          <w:bCs/>
          <w:color w:val="1B3A6B"/>
          <w:sz w:val="30"/>
          <w:szCs w:val="30"/>
        </w:rPr>
        <w:t xml:space="preserve">🔬 Théorie (20%) — L'hypnotisabilité : un trait, pas un défaut</w:t>
      </w:r>
    </w:p>
    <w:p>
      <w:pPr>
        <w:spacing w:after="80" w:before="200"/>
      </w:pPr>
      <w:r>
        <w:rPr>
          <w:rFonts w:ascii="Times New Roman" w:cs="Times New Roman" w:eastAsia="Times New Roman" w:hAnsi="Times New Roman"/>
          <w:b/>
          <w:bCs/>
          <w:color w:val="1F2937"/>
          <w:sz w:val="26"/>
          <w:szCs w:val="26"/>
        </w:rPr>
        <w:t xml:space="preserve">1. Une capacité naturellement variable</w:t>
      </w:r>
    </w:p>
    <w:p>
      <w:pPr>
        <w:spacing w:after="80" w:before="80"/>
      </w:pPr>
      <w:r>
        <w:rPr>
          <w:rFonts w:ascii="Times New Roman" w:cs="Times New Roman" w:eastAsia="Times New Roman" w:hAnsi="Times New Roman"/>
          <w:b w:val="false"/>
          <w:bCs w:val="false"/>
          <w:i w:val="false"/>
          <w:iCs w:val="false"/>
          <w:color w:val="1F2937"/>
          <w:sz w:val="22"/>
          <w:szCs w:val="22"/>
        </w:rPr>
        <w:t xml:space="preserve">L'hypnotisabilité — la capacité d'un individu à entrer en état hypnotique et à répondre aux suggestions — est un trait individuel relativement stable tout au long de la vie, ancré dans des caractéristiques cérébrales mesurables. Une revue de la littérature publiée en 2023 dans Brain Sciences (Malloggi &amp; Santarcangelo) souligne que les individus présentant des scores élevés, moyens ou bas d'hypnotisabilité affichent des différences cérébrales fonctionnelles mesurables, notamment en termes d'équivalence fonctionnelle entre imagerie mentale et perception réelle, d'excitabilité du cortex moteur, d'intéroception et de contrôle de la vascularisation cérébrale.</w:t>
      </w:r>
    </w:p>
    <w:p>
      <w:pPr>
        <w:spacing w:after="80" w:before="80"/>
      </w:pPr>
      <w:r>
        <w:rPr>
          <w:rFonts w:ascii="Times New Roman" w:cs="Times New Roman" w:eastAsia="Times New Roman" w:hAnsi="Times New Roman"/>
          <w:b w:val="false"/>
          <w:bCs w:val="false"/>
          <w:i w:val="false"/>
          <w:iCs w:val="false"/>
          <w:color w:val="1F2937"/>
          <w:sz w:val="22"/>
          <w:szCs w:val="22"/>
        </w:rPr>
        <w:t xml:space="preserve">La répartition dans la population générale, selon les mêmes auteurs : environ 70 % des individus se situent dans une zone intermédiaire (répondeurs moyens), les répondeurs élevés et les faibles représentant chacun environ 15 % de la population.</w:t>
      </w:r>
    </w:p>
    <w:p>
      <w:pPr>
        <w:spacing w:after="80" w:before="80"/>
      </w:pPr>
      <w:r>
        <w:rPr>
          <w:rFonts w:ascii="Times New Roman" w:cs="Times New Roman" w:eastAsia="Times New Roman" w:hAnsi="Times New Roman"/>
          <w:b w:val="false"/>
          <w:bCs w:val="false"/>
          <w:i w:val="false"/>
          <w:iCs w:val="false"/>
          <w:color w:val="1F2937"/>
          <w:sz w:val="22"/>
          <w:szCs w:val="22"/>
        </w:rPr>
        <w:t xml:space="preserve">La mesure standardisée se fait via l'Échelle de Susceptibilité Hypnotique de Stanford (SHSS, formes A, B et C) ou la Harvard Group Scale, qui évaluent des réponses comportementales et cognitives à 12 suggestions progressivement difficiles.</w:t>
      </w:r>
    </w:p>
    <w:p>
      <w:pPr>
        <w:spacing w:after="80" w:before="200"/>
      </w:pPr>
      <w:r>
        <w:rPr>
          <w:rFonts w:ascii="Times New Roman" w:cs="Times New Roman" w:eastAsia="Times New Roman" w:hAnsi="Times New Roman"/>
          <w:b/>
          <w:bCs/>
          <w:color w:val="1F2937"/>
          <w:sz w:val="26"/>
          <w:szCs w:val="26"/>
        </w:rPr>
        <w:t xml:space="preserve">2. Ce que l'imagerie cérébrale observe chez les répondeurs</w:t>
      </w:r>
    </w:p>
    <w:p>
      <w:pPr>
        <w:spacing w:after="80" w:before="80"/>
      </w:pPr>
      <w:r>
        <w:rPr>
          <w:rFonts w:ascii="Times New Roman" w:cs="Times New Roman" w:eastAsia="Times New Roman" w:hAnsi="Times New Roman"/>
          <w:b w:val="false"/>
          <w:bCs w:val="false"/>
          <w:i w:val="false"/>
          <w:iCs w:val="false"/>
          <w:color w:val="1F2937"/>
          <w:sz w:val="22"/>
          <w:szCs w:val="22"/>
        </w:rPr>
        <w:t xml:space="preserve">Des études d'imagerie cérébrale (résumées dans Psychology Today, novembre 2025) montrent que les individus qui répondent facilement à l'hypnose présentent une co-activation renforcée entre le centre de contrôle exécutif dans le cortex préfrontal et la région qui évalue la « saillance » des événements. Ce n'est pas une capacité mystérieuse : c'est une configuration neurofonctionnelle, en partie héritée, en partie façonnée par l'histoire personnelle.</w:t>
      </w:r>
    </w:p>
    <w:p>
      <w:pPr>
        <w:spacing w:after="80" w:before="80"/>
      </w:pPr>
      <w:r>
        <w:rPr>
          <w:rFonts w:ascii="Times New Roman" w:cs="Times New Roman" w:eastAsia="Times New Roman" w:hAnsi="Times New Roman"/>
          <w:b w:val="false"/>
          <w:bCs w:val="false"/>
          <w:i w:val="false"/>
          <w:iCs w:val="false"/>
          <w:color w:val="1F2937"/>
          <w:sz w:val="22"/>
          <w:szCs w:val="22"/>
        </w:rPr>
        <w:t xml:space="preserve">L'article éditorial de De Benedittis (2025, Brain Sciences) rappelle que les fondements neurophysiologiques et neuropsychologiques de l'hypnose « restent insaisissables » — les chercheurs sont d'accord sur les corrélats observés, mais pas encore sur les mécanismes explicatifs.</w:t>
      </w:r>
    </w:p>
    <w:p>
      <w:pPr>
        <w:spacing w:after="80" w:before="200"/>
      </w:pPr>
      <w:r>
        <w:rPr>
          <w:rFonts w:ascii="Times New Roman" w:cs="Times New Roman" w:eastAsia="Times New Roman" w:hAnsi="Times New Roman"/>
          <w:b/>
          <w:bCs/>
          <w:color w:val="1F2937"/>
          <w:sz w:val="26"/>
          <w:szCs w:val="26"/>
        </w:rPr>
        <w:t xml:space="preserve">3. Profil des hauts répondeurs : deux groupes distincts</w:t>
      </w:r>
    </w:p>
    <w:p>
      <w:pPr>
        <w:spacing w:after="80" w:before="80"/>
      </w:pPr>
      <w:r>
        <w:rPr>
          <w:rFonts w:ascii="Times New Roman" w:cs="Times New Roman" w:eastAsia="Times New Roman" w:hAnsi="Times New Roman"/>
          <w:b w:val="false"/>
          <w:bCs w:val="false"/>
          <w:i w:val="false"/>
          <w:iCs w:val="false"/>
          <w:color w:val="1F2937"/>
          <w:sz w:val="22"/>
          <w:szCs w:val="22"/>
        </w:rPr>
        <w:t xml:space="preserve">La littérature sur les sujets très hypnotisables (résumée sur Wikipedia — Hypnotic susceptibility) distingue deux profils, établis par Wilson &amp; Barber (1981) et confirmés statistiquement par Barrett (1991) sur un plus grand échantillon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Les « rêveurs actifs » (fantasizers, ~60 % des très hypnotisables selon Barrett) : imagination intense et vivace, images mentales aussi réelles que les perceptions, premiers souvenirs d'enfance très précoces, parents ayant encouragé le jeu imaginaire.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Les « dissociateurs » (~40 %) : rêvasserie vécue comme des « absences », premiers souvenirs plus tardifs, souvent une histoire d'enfance plus difficile. Ce profil rappelle que certaines formes de dissociation associées à des traumatismes peuvent augmenter la réponse hypnotique — ce qui appelle une vigilance particulière (voir section Sécurité).</w:t>
      </w:r>
    </w:p>
    <w:p>
      <w:pPr>
        <w:spacing w:after="80" w:before="80"/>
      </w:pPr>
      <w:r>
        <w:t xml:space="preserve"/>
      </w:r>
    </w:p>
    <w:p>
      <w:pPr>
        <w:spacing w:after="80" w:before="200"/>
      </w:pPr>
      <w:r>
        <w:rPr>
          <w:rFonts w:ascii="Times New Roman" w:cs="Times New Roman" w:eastAsia="Times New Roman" w:hAnsi="Times New Roman"/>
          <w:b/>
          <w:bCs/>
          <w:color w:val="1F2937"/>
          <w:sz w:val="26"/>
          <w:szCs w:val="26"/>
        </w:rPr>
        <w:t xml:space="preserve">4. Résistances : ce qui bloque</w:t>
      </w:r>
    </w:p>
    <w:p>
      <w:pPr>
        <w:spacing w:after="80" w:before="80"/>
      </w:pPr>
      <w:r>
        <w:rPr>
          <w:rFonts w:ascii="Times New Roman" w:cs="Times New Roman" w:eastAsia="Times New Roman" w:hAnsi="Times New Roman"/>
          <w:b w:val="false"/>
          <w:bCs w:val="false"/>
          <w:i w:val="false"/>
          <w:iCs w:val="false"/>
          <w:color w:val="1F2937"/>
          <w:sz w:val="22"/>
          <w:szCs w:val="22"/>
        </w:rPr>
        <w:t xml:space="preserve">On distingue classiquement plusieurs catégories d'obstacles à la réponse hypnotique :</w:t>
      </w:r>
    </w:p>
    <w:p>
      <w:pPr>
        <w:spacing w:after="80" w:before="80"/>
      </w:pPr>
      <w:r>
        <w:rPr>
          <w:rFonts w:ascii="Times New Roman" w:cs="Times New Roman" w:eastAsia="Times New Roman" w:hAnsi="Times New Roman"/>
          <w:b/>
          <w:bCs/>
          <w:i w:val="false"/>
          <w:iCs w:val="false"/>
          <w:color w:val="1F2937"/>
          <w:sz w:val="22"/>
          <w:szCs w:val="22"/>
        </w:rPr>
        <w:t xml:space="preserve">a) Résistances psychologiques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Peur de perdre le contrôle (mythe tenace issu du cinéma et de la scène).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Scepticisme actif : un sceptique qui observe ses propres processus plutôt que de les laisser se déployer bloque naturellement l'absorption attentionnelle.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Anticipation de l'échec : la vigilance sur ses propres réponses est auto-inhibitrice.</w:t>
      </w:r>
    </w:p>
    <w:p>
      <w:pPr>
        <w:spacing w:after="80" w:before="80"/>
      </w:pPr>
      <w:r>
        <w:rPr>
          <w:rFonts w:ascii="Times New Roman" w:cs="Times New Roman" w:eastAsia="Times New Roman" w:hAnsi="Times New Roman"/>
          <w:b/>
          <w:bCs/>
          <w:i w:val="false"/>
          <w:iCs w:val="false"/>
          <w:color w:val="1F2937"/>
          <w:sz w:val="22"/>
          <w:szCs w:val="22"/>
        </w:rPr>
        <w:t xml:space="preserve">b) Résistances liées au contexte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Alliance insuffisante entre praticien et sujet en hypnothérapie — en auto-hypnose, son équivalent est le manque de confiance en soi ou l'environnement physique inadapté.</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Moment inapproprié : état d'agitation, douleur intense, stimuli parasites.</w:t>
      </w:r>
    </w:p>
    <w:p>
      <w:pPr>
        <w:spacing w:after="80" w:before="80"/>
      </w:pPr>
      <w:r>
        <w:rPr>
          <w:rFonts w:ascii="Times New Roman" w:cs="Times New Roman" w:eastAsia="Times New Roman" w:hAnsi="Times New Roman"/>
          <w:b/>
          <w:bCs/>
          <w:i w:val="false"/>
          <w:iCs w:val="false"/>
          <w:color w:val="1F2937"/>
          <w:sz w:val="22"/>
          <w:szCs w:val="22"/>
        </w:rPr>
        <w:t xml:space="preserve">c) Résistances liées à la technique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Mauvais appariement technique/profil : une induction par fixation visuelle peut être inefficace chez un sujet kinesthésique ; une induction rapide peut être déstabilisante pour un sujet anxieux.</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Attentes irréalistes : croire que la transe doit ressembler au sommeil ou à une perte de conscience — et donc « rater » une transe légère pourtant effective.</w:t>
      </w:r>
    </w:p>
    <w:p>
      <w:pPr>
        <w:spacing w:after="80" w:before="200"/>
      </w:pPr>
      <w:r>
        <w:rPr>
          <w:rFonts w:ascii="Times New Roman" w:cs="Times New Roman" w:eastAsia="Times New Roman" w:hAnsi="Times New Roman"/>
          <w:b/>
          <w:bCs/>
          <w:color w:val="1F2937"/>
          <w:sz w:val="26"/>
          <w:szCs w:val="26"/>
        </w:rPr>
        <w:t xml:space="preserve">5. Ce que la recherche dit sur les « vrais » non-répondeurs</w:t>
      </w:r>
    </w:p>
    <w:p>
      <w:pPr>
        <w:spacing w:after="80" w:before="80"/>
      </w:pPr>
      <w:r>
        <w:rPr>
          <w:rFonts w:ascii="Times New Roman" w:cs="Times New Roman" w:eastAsia="Times New Roman" w:hAnsi="Times New Roman"/>
          <w:b w:val="false"/>
          <w:bCs w:val="false"/>
          <w:i w:val="false"/>
          <w:iCs w:val="false"/>
          <w:color w:val="1F2937"/>
          <w:sz w:val="22"/>
          <w:szCs w:val="22"/>
        </w:rPr>
        <w:t xml:space="preserve">Le rapport INSERM de 2015 sur l'efficacité de l'hypnose note que la littérature scientifique met en évidence un intérêt pour « le taux d'échec observé dans les grandes séries de référence, ainsi que le profil des patients répondeurs ». Ce profil reste difficile à caractériser a priori : ni le sexe, ni l'âge, ni la personnalité ne permettent de prédire fiablement la réponse. L'hypnotisabilité mesurée sur les échelles standardisées reste, à ce jour, le seul indicateur validé.</w:t>
      </w:r>
    </w:p>
    <w:p>
      <w:pPr>
        <w:spacing w:after="80" w:before="80"/>
      </w:pPr>
      <w:r>
        <w:rPr>
          <w:rFonts w:ascii="Times New Roman" w:cs="Times New Roman" w:eastAsia="Times New Roman" w:hAnsi="Times New Roman"/>
          <w:b w:val="false"/>
          <w:bCs w:val="false"/>
          <w:i w:val="false"/>
          <w:iCs w:val="false"/>
          <w:color w:val="1F2937"/>
          <w:sz w:val="22"/>
          <w:szCs w:val="22"/>
        </w:rPr>
        <w:t xml:space="preserve">Le même rapport souligne un écart entre ce que les chercheurs mesurent et ce que les patients ressentent : les personnes accompagnées en hypnothérapie mettent souvent en avant des bénéfices subjectifs — bien-être ressenti, sentiment de reprise de contrôle — que les outils de mesure objectifs ne capturent pas. Ce décalage ne valide pas l'hypnose sur ces critères, mais il indique que la notion d'« échec » est plus complexe qu'il n'y paraît.</w:t>
      </w:r>
    </w:p>
    <w:p>
      <w:pPr>
        <w:spacing w:after="80" w:before="200"/>
      </w:pPr>
      <w:r>
        <w:rPr>
          <w:rFonts w:ascii="Times New Roman" w:cs="Times New Roman" w:eastAsia="Times New Roman" w:hAnsi="Times New Roman"/>
          <w:b/>
          <w:bCs/>
          <w:color w:val="1F2937"/>
          <w:sz w:val="26"/>
          <w:szCs w:val="26"/>
        </w:rPr>
        <w:t xml:space="preserve">6. Les contre-indications établies</w:t>
      </w:r>
    </w:p>
    <w:p>
      <w:pPr>
        <w:spacing w:after="80" w:before="80"/>
      </w:pPr>
      <w:r>
        <w:rPr>
          <w:rFonts w:ascii="Times New Roman" w:cs="Times New Roman" w:eastAsia="Times New Roman" w:hAnsi="Times New Roman"/>
          <w:b w:val="false"/>
          <w:bCs w:val="false"/>
          <w:i w:val="false"/>
          <w:iCs w:val="false"/>
          <w:color w:val="1F2937"/>
          <w:sz w:val="22"/>
          <w:szCs w:val="22"/>
        </w:rPr>
        <w:t xml:space="preserve">Le rapport INSERM 2015 précise que les contre-indications à l'hypnothérapie « ne sont pas formelles », mais que la pratique apparaît « particulièrement peu adaptée » dans les cas suivants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Troubles psychotiques aigus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Bouffées délirantes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Paranoïa</w:t>
      </w:r>
    </w:p>
    <w:p>
      <w:pPr>
        <w:spacing w:after="80" w:before="80"/>
      </w:pPr>
      <w:r>
        <w:rPr>
          <w:rFonts w:ascii="Times New Roman" w:cs="Times New Roman" w:eastAsia="Times New Roman" w:hAnsi="Times New Roman"/>
          <w:b w:val="false"/>
          <w:bCs w:val="false"/>
          <w:i w:val="false"/>
          <w:iCs w:val="false"/>
          <w:color w:val="1F2937"/>
          <w:sz w:val="22"/>
          <w:szCs w:val="22"/>
        </w:rPr>
        <w:t xml:space="preserve">En auto-hypnose de développement personnel (notre cadre), ces contre-indications restent pertinentes à titre de prudence générale. Si tu traverses une période de décompensation psychique, consulte un professionnel de santé avant de pratiquer des exercices d'induction.</w:t>
      </w:r>
    </w:p>
    <w:p>
      <w:pPr>
        <w:spacing w:after="80" w:before="80"/>
      </w:pPr>
      <w:r>
        <w:rPr>
          <w:rFonts w:ascii="Times New Roman" w:cs="Times New Roman" w:eastAsia="Times New Roman" w:hAnsi="Times New Roman"/>
          <w:b w:val="false"/>
          <w:bCs w:val="false"/>
          <w:i w:val="false"/>
          <w:iCs w:val="false"/>
          <w:color w:val="1F2937"/>
          <w:sz w:val="22"/>
          <w:szCs w:val="22"/>
        </w:rPr>
        <w:t xml:space="preserve">Le modèle bio-psycho-social de l'hypnose (Malloggi &amp; Santarcangelo, 2023) rappelle que le résultat d'une session dépend conjointement du trait d'hypnotisabilité, des facteurs contextuels, et du modèle relationnel — non de l'hypnotisabilité seule.</w:t>
      </w:r>
    </w:p>
    <w:p>
      <w:pPr>
        <w:spacing w:after="80" w:before="80"/>
      </w:pPr>
      <w:r>
        <w:t xml:space="preserve"/>
      </w:r>
    </w:p>
    <w:p>
      <w:pPr>
        <w:spacing w:after="100" w:before="320"/>
      </w:pPr>
      <w:r>
        <w:rPr>
          <w:rFonts w:ascii="Times New Roman" w:cs="Times New Roman" w:eastAsia="Times New Roman" w:hAnsi="Times New Roman"/>
          <w:b/>
          <w:bCs/>
          <w:color w:val="1B3A6B"/>
          <w:sz w:val="30"/>
          <w:szCs w:val="30"/>
        </w:rPr>
        <w:t xml:space="preserve">🛠️ Pratique (80%) — Comprendre et contourner ses obstacles</w:t>
      </w:r>
    </w:p>
    <w:p>
      <w:pPr>
        <w:spacing w:after="80" w:before="200"/>
      </w:pPr>
      <w:r>
        <w:rPr>
          <w:rFonts w:ascii="Times New Roman" w:cs="Times New Roman" w:eastAsia="Times New Roman" w:hAnsi="Times New Roman"/>
          <w:b/>
          <w:bCs/>
          <w:color w:val="1F2937"/>
          <w:sz w:val="26"/>
          <w:szCs w:val="26"/>
        </w:rPr>
        <w:t xml:space="preserve">Exercice 1 — Auto-évaluation : où suis-je sur le spectre ? (20 min)</w:t>
      </w:r>
    </w:p>
    <w:p>
      <w:pPr>
        <w:shd w:fill="F3F4F6" w:val="clear"/>
        <w:spacing w:after="120" w:before="120"/>
        <w:ind w:left="288" w:right="288"/>
      </w:pPr>
      <w:r>
        <w:rPr>
          <w:rFonts w:ascii="Times New Roman" w:cs="Times New Roman" w:eastAsia="Times New Roman" w:hAnsi="Times New Roman"/>
          <w:b/>
          <w:bCs/>
          <w:color w:val="1F2937"/>
          <w:sz w:val="22"/>
          <w:szCs w:val="22"/>
        </w:rPr>
        <w:t xml:space="preserve">Objectif : obtenir une image réaliste de ta réponse hypnotique, sans la surestimer ni la minimiser.</w:t>
      </w:r>
    </w:p>
    <w:p>
      <w:pPr>
        <w:spacing w:after="80" w:before="80"/>
      </w:pPr>
      <w:r>
        <w:rPr>
          <w:rFonts w:ascii="Times New Roman" w:cs="Times New Roman" w:eastAsia="Times New Roman" w:hAnsi="Times New Roman"/>
          <w:b w:val="false"/>
          <w:bCs w:val="false"/>
          <w:i w:val="false"/>
          <w:iCs w:val="false"/>
          <w:color w:val="1F2937"/>
          <w:sz w:val="22"/>
          <w:szCs w:val="22"/>
        </w:rPr>
        <w:t xml:space="preserve">Mode d'emploi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Installe-toi confortablement, yeux fermés. Prends 5 respirations profondes.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Propose-toi mentalement les 6 suggestions ci-dessous. Pour chacune, note (0 = aucun effet / 1 = léger / 2 = net) :</w:t>
      </w:r>
    </w:p>
    <w:p>
      <w:pPr>
        <w:pStyle w:val="ListParagraph"/>
        <w:numPr>
          <w:ilvl w:val="1"/>
          <w:numId w:val="1"/>
        </w:numPr>
        <w:spacing w:after="60" w:before="60"/>
      </w:pPr>
      <w:r>
        <w:rPr>
          <w:rFonts w:ascii="Times New Roman" w:cs="Times New Roman" w:eastAsia="Times New Roman" w:hAnsi="Times New Roman"/>
          <w:color w:val="1F2937"/>
          <w:sz w:val="22"/>
          <w:szCs w:val="22"/>
        </w:rPr>
        <w:t xml:space="preserve">S1 — Lévitation du bras gauche : imagine qu'un ballon gonflé à l'hélium tire doucement ton bras gauche vers le haut.</w:t>
      </w:r>
    </w:p>
    <w:p>
      <w:pPr>
        <w:pStyle w:val="ListParagraph"/>
        <w:numPr>
          <w:ilvl w:val="1"/>
          <w:numId w:val="1"/>
        </w:numPr>
        <w:spacing w:after="60" w:before="60"/>
      </w:pPr>
      <w:r>
        <w:rPr>
          <w:rFonts w:ascii="Times New Roman" w:cs="Times New Roman" w:eastAsia="Times New Roman" w:hAnsi="Times New Roman"/>
          <w:color w:val="1F2937"/>
          <w:sz w:val="22"/>
          <w:szCs w:val="22"/>
        </w:rPr>
        <w:t xml:space="preserve">S2 — Rigidité du bras droit : imagine que ton bras droit devient une barre de fer de la main jusqu'à l'épaule.</w:t>
      </w:r>
    </w:p>
    <w:p>
      <w:pPr>
        <w:pStyle w:val="ListParagraph"/>
        <w:numPr>
          <w:ilvl w:val="1"/>
          <w:numId w:val="1"/>
        </w:numPr>
        <w:spacing w:after="60" w:before="60"/>
      </w:pPr>
      <w:r>
        <w:rPr>
          <w:rFonts w:ascii="Times New Roman" w:cs="Times New Roman" w:eastAsia="Times New Roman" w:hAnsi="Times New Roman"/>
          <w:color w:val="1F2937"/>
          <w:sz w:val="22"/>
          <w:szCs w:val="22"/>
        </w:rPr>
        <w:t xml:space="preserve">S3 — Hallucination gustative : imagine mordre dans un citron très acide.</w:t>
      </w:r>
    </w:p>
    <w:p>
      <w:pPr>
        <w:pStyle w:val="ListParagraph"/>
        <w:numPr>
          <w:ilvl w:val="1"/>
          <w:numId w:val="1"/>
        </w:numPr>
        <w:spacing w:after="60" w:before="60"/>
      </w:pPr>
      <w:r>
        <w:rPr>
          <w:rFonts w:ascii="Times New Roman" w:cs="Times New Roman" w:eastAsia="Times New Roman" w:hAnsi="Times New Roman"/>
          <w:color w:val="1F2937"/>
          <w:sz w:val="22"/>
          <w:szCs w:val="22"/>
        </w:rPr>
        <w:t xml:space="preserve">S4 — Amnésie sélective : décide d'oublier le chiffre 4. Compte ensuite mentalement de 1 à 6.</w:t>
      </w:r>
    </w:p>
    <w:p>
      <w:pPr>
        <w:pStyle w:val="ListParagraph"/>
        <w:numPr>
          <w:ilvl w:val="1"/>
          <w:numId w:val="1"/>
        </w:numPr>
        <w:spacing w:after="60" w:before="60"/>
      </w:pPr>
      <w:r>
        <w:rPr>
          <w:rFonts w:ascii="Times New Roman" w:cs="Times New Roman" w:eastAsia="Times New Roman" w:hAnsi="Times New Roman"/>
          <w:color w:val="1F2937"/>
          <w:sz w:val="22"/>
          <w:szCs w:val="22"/>
        </w:rPr>
        <w:t xml:space="preserve">S5 — Hallucination visuelle simple : imagine voir une lumière colorée au plafond.</w:t>
      </w:r>
    </w:p>
    <w:p>
      <w:pPr>
        <w:pStyle w:val="ListParagraph"/>
        <w:numPr>
          <w:ilvl w:val="1"/>
          <w:numId w:val="1"/>
        </w:numPr>
        <w:spacing w:after="60" w:before="60"/>
      </w:pPr>
      <w:r>
        <w:rPr>
          <w:rFonts w:ascii="Times New Roman" w:cs="Times New Roman" w:eastAsia="Times New Roman" w:hAnsi="Times New Roman"/>
          <w:color w:val="1F2937"/>
          <w:sz w:val="22"/>
          <w:szCs w:val="22"/>
        </w:rPr>
        <w:t xml:space="preserve">S6 — Modification du temps : dans la transe, demande à ton inconscient de te signaler au bout de 3 minutes (compte à rebours intérieur).</w:t>
      </w:r>
    </w:p>
    <w:p>
      <w:pPr>
        <w:spacing w:after="80" w:before="80"/>
      </w:pPr>
      <w:r>
        <w:rPr>
          <w:rFonts w:ascii="Times New Roman" w:cs="Times New Roman" w:eastAsia="Times New Roman" w:hAnsi="Times New Roman"/>
          <w:b w:val="false"/>
          <w:bCs w:val="false"/>
          <w:i w:val="false"/>
          <w:iCs w:val="false"/>
          <w:color w:val="1F2937"/>
          <w:sz w:val="22"/>
          <w:szCs w:val="22"/>
        </w:rPr>
        <w:t xml:space="preserve">Calcule ton score total (0 à 12). Interprétation approximative : 0–3 = faible répondeur / 4–8 = répondeur moyen / 9–12 = répondeur élevé. Ce n'est pas un test standardisé : c'est un outil de prise de conscience, pas un verdict.</w:t>
      </w:r>
    </w:p>
    <w:p>
      <w:pPr>
        <w:spacing w:after="80" w:before="80"/>
      </w:pPr>
      <w:r>
        <w:rPr>
          <w:rFonts w:ascii="Times New Roman" w:cs="Times New Roman" w:eastAsia="Times New Roman" w:hAnsi="Times New Roman"/>
          <w:b w:val="false"/>
          <w:bCs w:val="false"/>
          <w:i w:val="false"/>
          <w:iCs w:val="false"/>
          <w:color w:val="1F2937"/>
          <w:sz w:val="22"/>
          <w:szCs w:val="22"/>
        </w:rPr>
        <w:t xml:space="preserve">Dans ton journal : note le score et, surtout, quels items ont « accroché » le plus. Les items moteurs (S1, S2) ou les items cognitifs (S4, S6) ? Cette distinction t'orientera vers les inductions les plus adaptées à ton profil.</w:t>
      </w:r>
    </w:p>
    <w:p>
      <w:pPr>
        <w:spacing w:after="80" w:before="80"/>
      </w:pPr>
      <w:r>
        <w:t xml:space="preserve"/>
      </w:r>
    </w:p>
    <w:p>
      <w:pPr>
        <w:spacing w:after="80" w:before="200"/>
      </w:pPr>
      <w:r>
        <w:rPr>
          <w:rFonts w:ascii="Times New Roman" w:cs="Times New Roman" w:eastAsia="Times New Roman" w:hAnsi="Times New Roman"/>
          <w:b/>
          <w:bCs/>
          <w:color w:val="1F2937"/>
          <w:sz w:val="26"/>
          <w:szCs w:val="26"/>
        </w:rPr>
        <w:t xml:space="preserve">Exercice 2 — Archéologie de tes résistances (30 min)</w:t>
      </w:r>
    </w:p>
    <w:p>
      <w:pPr>
        <w:shd w:fill="F3F4F6" w:val="clear"/>
        <w:spacing w:after="120" w:before="120"/>
        <w:ind w:left="288" w:right="288"/>
      </w:pPr>
      <w:r>
        <w:rPr>
          <w:rFonts w:ascii="Times New Roman" w:cs="Times New Roman" w:eastAsia="Times New Roman" w:hAnsi="Times New Roman"/>
          <w:b/>
          <w:bCs/>
          <w:color w:val="1F2937"/>
          <w:sz w:val="22"/>
          <w:szCs w:val="22"/>
        </w:rPr>
        <w:t xml:space="preserve">Objectif : identifier les schémas récurrents qui perturbent ta pratique.</w:t>
      </w:r>
    </w:p>
    <w:p>
      <w:pPr>
        <w:spacing w:after="80" w:before="80"/>
      </w:pPr>
      <w:r>
        <w:rPr>
          <w:rFonts w:ascii="Times New Roman" w:cs="Times New Roman" w:eastAsia="Times New Roman" w:hAnsi="Times New Roman"/>
          <w:b w:val="false"/>
          <w:bCs w:val="false"/>
          <w:i w:val="false"/>
          <w:iCs w:val="false"/>
          <w:color w:val="1F2937"/>
          <w:sz w:val="22"/>
          <w:szCs w:val="22"/>
        </w:rPr>
        <w:t xml:space="preserve">Reprends ton journal de pratique des leçons 1 à 15. Si tu n'en as pas tenu, prends une feuille et note de mémoire les 3 à 5 séances qui t'ont semblé les « plus difficiles ».</w:t>
      </w:r>
    </w:p>
    <w:p>
      <w:pPr>
        <w:spacing w:after="80" w:before="80"/>
      </w:pPr>
      <w:r>
        <w:rPr>
          <w:rFonts w:ascii="Times New Roman" w:cs="Times New Roman" w:eastAsia="Times New Roman" w:hAnsi="Times New Roman"/>
          <w:b w:val="false"/>
          <w:bCs w:val="false"/>
          <w:i w:val="false"/>
          <w:iCs w:val="false"/>
          <w:color w:val="1F2937"/>
          <w:sz w:val="22"/>
          <w:szCs w:val="22"/>
        </w:rPr>
        <w:t xml:space="preserve">Pour chaque séance difficile, réponds par écrit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Qu'est-ce qui m'a empêché d'entrer en transe, ou de m'y maintenir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Était-ce un bruit extérieur, une pensée intrusive, une douleur physique, de l'impatience, du scepticisme, de la fatigue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Quel était mon état émotionnel avant la séance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Avais-je des attentes précises sur ce que je devais « ressentir » ?</w:t>
      </w:r>
    </w:p>
    <w:p>
      <w:pPr>
        <w:spacing w:after="80" w:before="80"/>
      </w:pPr>
      <w:r>
        <w:rPr>
          <w:rFonts w:ascii="Times New Roman" w:cs="Times New Roman" w:eastAsia="Times New Roman" w:hAnsi="Times New Roman"/>
          <w:b w:val="false"/>
          <w:bCs w:val="false"/>
          <w:i w:val="false"/>
          <w:iCs w:val="false"/>
          <w:color w:val="1F2937"/>
          <w:sz w:val="22"/>
          <w:szCs w:val="22"/>
        </w:rPr>
        <w:t xml:space="preserve">Après l'analyse : classe tes obstacles en trois colonnes — Environnement / Corps / Mental. La colonne la plus remplie est ta principale zone de travail pour les prochaines semaines.</w:t>
      </w:r>
    </w:p>
    <w:p>
      <w:pPr>
        <w:spacing w:after="80" w:before="80"/>
      </w:pPr>
      <w:r>
        <w:rPr>
          <w:rFonts w:ascii="Times New Roman" w:cs="Times New Roman" w:eastAsia="Times New Roman" w:hAnsi="Times New Roman"/>
          <w:b w:val="false"/>
          <w:bCs w:val="false"/>
          <w:i w:val="false"/>
          <w:iCs w:val="false"/>
          <w:color w:val="1F2937"/>
          <w:sz w:val="22"/>
          <w:szCs w:val="22"/>
        </w:rPr>
        <w:t xml:space="preserve">Note importante : si tu n'as observé aucun obstacle notable et que tes séances te semblent toujours efficaces, c'est excellent. Dans ce cas, remplis cet exercice de façon prospective : quels obstacles pourrais-tu rencontrer si tu changeais d'environnement ou de technique ?</w:t>
      </w:r>
    </w:p>
    <w:p>
      <w:pPr>
        <w:spacing w:after="80" w:before="80"/>
      </w:pPr>
      <w:r>
        <w:t xml:space="preserve"/>
      </w:r>
    </w:p>
    <w:p>
      <w:pPr>
        <w:spacing w:after="80" w:before="200"/>
      </w:pPr>
      <w:r>
        <w:rPr>
          <w:rFonts w:ascii="Times New Roman" w:cs="Times New Roman" w:eastAsia="Times New Roman" w:hAnsi="Times New Roman"/>
          <w:b/>
          <w:bCs/>
          <w:color w:val="1F2937"/>
          <w:sz w:val="26"/>
          <w:szCs w:val="26"/>
        </w:rPr>
        <w:t xml:space="preserve">Exercice 3 — Exploration multi-inductions : trouver son mode d'entrée préférentiel (3 x 10 min sur 3 jours)</w:t>
      </w:r>
    </w:p>
    <w:p>
      <w:pPr>
        <w:shd w:fill="F3F4F6" w:val="clear"/>
        <w:spacing w:after="120" w:before="120"/>
        <w:ind w:left="288" w:right="288"/>
      </w:pPr>
      <w:r>
        <w:rPr>
          <w:rFonts w:ascii="Times New Roman" w:cs="Times New Roman" w:eastAsia="Times New Roman" w:hAnsi="Times New Roman"/>
          <w:b/>
          <w:bCs/>
          <w:color w:val="1F2937"/>
          <w:sz w:val="22"/>
          <w:szCs w:val="22"/>
        </w:rPr>
        <w:t xml:space="preserve">Objectif : découvrir quelle famille d'induction te correspond le mieux.</w:t>
      </w:r>
    </w:p>
    <w:p>
      <w:pPr>
        <w:spacing w:after="80" w:before="80"/>
      </w:pPr>
      <w:r>
        <w:rPr>
          <w:rFonts w:ascii="Times New Roman" w:cs="Times New Roman" w:eastAsia="Times New Roman" w:hAnsi="Times New Roman"/>
          <w:b w:val="false"/>
          <w:bCs w:val="false"/>
          <w:i w:val="false"/>
          <w:iCs w:val="false"/>
          <w:color w:val="1F2937"/>
          <w:sz w:val="22"/>
          <w:szCs w:val="22"/>
        </w:rPr>
        <w:t xml:space="preserve">En auto-hypnose, il n'existe pas d'induction universelle. Teste les trois familles suivantes sur trois jours distincts, dans les mêmes conditions de lieu et d'horaire :</w:t>
      </w:r>
    </w:p>
    <w:p>
      <w:pPr>
        <w:spacing w:after="80" w:before="80"/>
      </w:pPr>
      <w:r>
        <w:rPr>
          <w:rFonts w:ascii="Times New Roman" w:cs="Times New Roman" w:eastAsia="Times New Roman" w:hAnsi="Times New Roman"/>
          <w:b/>
          <w:bCs/>
          <w:i w:val="false"/>
          <w:iCs w:val="false"/>
          <w:color w:val="1F2937"/>
          <w:sz w:val="22"/>
          <w:szCs w:val="22"/>
        </w:rPr>
        <w:t xml:space="preserve">Jour 1 — Induction par ancrage corporel</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Assis ou allongé. Ferme les yeux.</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Concentre toute ton attention sur les sensations du contact de ton corps avec la surface : chaque point de pression, la chaleur, le poids.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À chaque expiration, laisse ce contact s'approfondir. Reste 10 minutes avec cette seule instruction.</w:t>
      </w:r>
    </w:p>
    <w:p>
      <w:pPr>
        <w:spacing w:after="80" w:before="80"/>
      </w:pPr>
      <w:r>
        <w:rPr>
          <w:rFonts w:ascii="Times New Roman" w:cs="Times New Roman" w:eastAsia="Times New Roman" w:hAnsi="Times New Roman"/>
          <w:b/>
          <w:bCs/>
          <w:i w:val="false"/>
          <w:iCs w:val="false"/>
          <w:color w:val="1F2937"/>
          <w:sz w:val="22"/>
          <w:szCs w:val="22"/>
        </w:rPr>
        <w:t xml:space="preserve">Jour 2 — Induction par visualisation progressive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Imagine un escalier de 10 marches descendant vers un lieu calme et sécurisé.</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À chaque marche, compte à rebours de 10 à 1. À chaque chiffre, double ta détente. À la marche 1, tu es dans ton lieu (ou tu explores simplement l'état obtenu).</w:t>
      </w:r>
    </w:p>
    <w:p>
      <w:pPr>
        <w:spacing w:after="80" w:before="80"/>
      </w:pPr>
      <w:r>
        <w:rPr>
          <w:rFonts w:ascii="Times New Roman" w:cs="Times New Roman" w:eastAsia="Times New Roman" w:hAnsi="Times New Roman"/>
          <w:b/>
          <w:bCs/>
          <w:i w:val="false"/>
          <w:iCs w:val="false"/>
          <w:color w:val="1F2937"/>
          <w:sz w:val="22"/>
          <w:szCs w:val="22"/>
        </w:rPr>
        <w:t xml:space="preserve">Jour 3 — Induction par focalisation du regard (yeux ouverts)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Fixe un point précis sur un mur, légèrement au-dessus de la ligne des yeux.</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Sans forcer, laisse le regard se ramollir progressivement. Quand les paupières deviennent lourdes, permets-leur de se fermer.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Reste ensuite dans l'état obtenu pendant 5 à 7 minutes.</w:t>
      </w:r>
    </w:p>
    <w:p>
      <w:pPr>
        <w:spacing w:after="80" w:before="80"/>
      </w:pPr>
      <w:r>
        <w:rPr>
          <w:rFonts w:ascii="Times New Roman" w:cs="Times New Roman" w:eastAsia="Times New Roman" w:hAnsi="Times New Roman"/>
          <w:b w:val="false"/>
          <w:bCs w:val="false"/>
          <w:i w:val="false"/>
          <w:iCs w:val="false"/>
          <w:color w:val="1F2937"/>
          <w:sz w:val="22"/>
          <w:szCs w:val="22"/>
        </w:rPr>
        <w:t xml:space="preserve">Après les 3 jours : compare dans ton journal. Laquelle t'a permis d'atteindre le plus facilement un état de concentration absorbée ? C'est ton induction de référence pour les prochaines semaines. Note aussi si tu as observé des effets différents sur ton état mental (calme, vivacité, lourdeur, légèreté).</w:t>
      </w:r>
    </w:p>
    <w:p>
      <w:pPr>
        <w:spacing w:after="80" w:before="80"/>
      </w:pPr>
      <w:r>
        <w:t xml:space="preserve"/>
      </w:r>
    </w:p>
    <w:p>
      <w:pPr>
        <w:spacing w:after="100" w:before="320"/>
      </w:pPr>
      <w:r>
        <w:rPr>
          <w:rFonts w:ascii="Times New Roman" w:cs="Times New Roman" w:eastAsia="Times New Roman" w:hAnsi="Times New Roman"/>
          <w:b/>
          <w:bCs/>
          <w:color w:val="1B3A6B"/>
          <w:sz w:val="30"/>
          <w:szCs w:val="30"/>
        </w:rPr>
        <w:t xml:space="preserve">🎯 Challenge — Protocole d'adaptation à la résistance (séance guidée)</w:t>
      </w:r>
    </w:p>
    <w:p>
      <w:pPr>
        <w:shd w:fill="F3F4F6" w:val="clear"/>
        <w:spacing w:after="120" w:before="120"/>
        <w:ind w:left="288" w:right="288"/>
      </w:pPr>
      <w:r>
        <w:rPr>
          <w:rFonts w:ascii="Times New Roman" w:cs="Times New Roman" w:eastAsia="Times New Roman" w:hAnsi="Times New Roman"/>
          <w:b/>
          <w:bCs/>
          <w:color w:val="1F2937"/>
          <w:sz w:val="22"/>
          <w:szCs w:val="22"/>
        </w:rPr>
        <w:t xml:space="preserve">Ce challenge mobilise l'ensemble de la leçon : auto-évaluation, identification des obstacles, adaptation de la technique. Durée estimée : 25 à 35 minutes.</w:t>
      </w:r>
    </w:p>
    <w:p>
      <w:pPr>
        <w:spacing w:after="80" w:before="80"/>
      </w:pPr>
      <w:r>
        <w:rPr>
          <w:rFonts w:ascii="Times New Roman" w:cs="Times New Roman" w:eastAsia="Times New Roman" w:hAnsi="Times New Roman"/>
          <w:b w:val="false"/>
          <w:bCs w:val="false"/>
          <w:i w:val="false"/>
          <w:iCs w:val="false"/>
          <w:color w:val="1F2937"/>
          <w:sz w:val="22"/>
          <w:szCs w:val="22"/>
        </w:rPr>
        <w:t xml:space="preserve">Protocole en 5 temps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Temps 1 (5 min) : Scan pré-séance. Avant d'entamer l'induction, note mentalement ton niveau d'agitation (0 à 10), ton niveau de scepticisme du moment (0 à 10), et ton niveau de fatigue physique (0 à 10).</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Temps 2 (8 min) : Choisis l'induction qui a le mieux fonctionné à l'exercice 3. Lance-la. Au bout de 3 minutes, si tu sens une résistance (pensées intrusives, impatience, inconfort physique), ne la combats pas : observe-la comme un phénomène extérieur, puis reviens doucement à l'induction.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Temps 3 (10 min) : Une fois dans l'état d'absorption (même légère), prononce mentalement : « Je suis exactement là où je dois être. Mon esprit peut se reposer. » Répète cette phrase à intervalles libres. Observe les variations de profondeur.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Temps 4 (5 min) : Avant de sortir, formule une intention simple (ex : « Cette semaine, je remarquerai les moments où je me laisse naturellement absorber »). Compte de 1 à 5, reviens.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Temps 5 (post-séance) : Note dans ton journal le score d'entrée en transe (0 à 5 selon ta perception), le premier obstacle rencontré, et comment tu l'as traversé ou non.</w:t>
      </w:r>
    </w:p>
    <w:p>
      <w:pPr>
        <w:spacing w:after="80" w:before="80"/>
      </w:pPr>
      <w:r>
        <w:rPr>
          <w:rFonts w:ascii="Times New Roman" w:cs="Times New Roman" w:eastAsia="Times New Roman" w:hAnsi="Times New Roman"/>
          <w:b w:val="false"/>
          <w:bCs w:val="false"/>
          <w:i w:val="false"/>
          <w:iCs w:val="false"/>
          <w:color w:val="1F2937"/>
          <w:sz w:val="22"/>
          <w:szCs w:val="22"/>
        </w:rPr>
        <w:t xml:space="preserve">Répète ce protocole deux fois dans la semaine. Les patterns de résistance se révèlent souvent à la 2e ou 3e répétition, pas à la première.</w:t>
      </w:r>
    </w:p>
    <w:p>
      <w:pPr>
        <w:spacing w:after="80" w:before="80"/>
      </w:pPr>
      <w:r>
        <w:t xml:space="preserve"/>
      </w:r>
    </w:p>
    <w:p>
      <w:pPr>
        <w:spacing w:after="100" w:before="320"/>
      </w:pPr>
      <w:r>
        <w:rPr>
          <w:rFonts w:ascii="Times New Roman" w:cs="Times New Roman" w:eastAsia="Times New Roman" w:hAnsi="Times New Roman"/>
          <w:b/>
          <w:bCs/>
          <w:color w:val="1B3A6B"/>
          <w:sz w:val="30"/>
          <w:szCs w:val="30"/>
        </w:rPr>
        <w:t xml:space="preserve">🌉 Pont pro (optionnel)</w:t>
      </w:r>
    </w:p>
    <w:p>
      <w:pPr>
        <w:spacing w:after="80" w:before="80"/>
      </w:pPr>
      <w:r>
        <w:rPr>
          <w:rFonts w:ascii="Times New Roman" w:cs="Times New Roman" w:eastAsia="Times New Roman" w:hAnsi="Times New Roman"/>
          <w:b w:val="false"/>
          <w:bCs w:val="false"/>
          <w:i w:val="false"/>
          <w:iCs w:val="false"/>
          <w:color w:val="1F2937"/>
          <w:sz w:val="22"/>
          <w:szCs w:val="22"/>
        </w:rPr>
        <w:t xml:space="preserve">Dans le travail avec des équipes en ESSMS, la compréhension des mécanismes de résistance — ici appliquée à l'hypnose — nourrit une posture plus générale face aux changements de pratiques : les résistances d'une équipe à une nouvelle procédure ne sont pas des défauts de caractère, mais souvent des réponses adaptées à un contexte (charge de travail, manque de sens, peur de l'évaluation). Ce parallèle est une ressource pour ta propre réflexivité de cadre — pas un contenu à transmettre en équipe.</w:t>
      </w:r>
    </w:p>
    <w:p>
      <w:pPr>
        <w:spacing w:after="80" w:before="80"/>
      </w:pPr>
      <w:r>
        <w:t xml:space="preserve"/>
      </w:r>
    </w:p>
    <w:p>
      <w:pPr>
        <w:spacing w:after="100" w:before="320"/>
      </w:pPr>
      <w:r>
        <w:rPr>
          <w:rFonts w:ascii="Times New Roman" w:cs="Times New Roman" w:eastAsia="Times New Roman" w:hAnsi="Times New Roman"/>
          <w:b/>
          <w:bCs/>
          <w:color w:val="1B3A6B"/>
          <w:sz w:val="30"/>
          <w:szCs w:val="30"/>
        </w:rPr>
        <w:t xml:space="preserve">📚 Ressources cliquables</w:t>
      </w:r>
    </w:p>
    <w:p>
      <w:pPr>
        <w:spacing w:after="80" w:before="80"/>
      </w:pPr>
      <w:r>
        <w:rPr>
          <w:rFonts w:ascii="Times New Roman" w:cs="Times New Roman" w:eastAsia="Times New Roman" w:hAnsi="Times New Roman"/>
          <w:b/>
          <w:bCs/>
          <w:i w:val="false"/>
          <w:iCs w:val="false"/>
          <w:color w:val="1F2937"/>
          <w:sz w:val="22"/>
          <w:szCs w:val="22"/>
        </w:rPr>
        <w:t xml:space="preserve">1. Wikipedia — Hypnotic susceptibility</w:t>
      </w:r>
    </w:p>
    <w:p>
      <w:pPr>
        <w:spacing w:after="80" w:before="80"/>
      </w:pPr>
      <w:r>
        <w:rPr>
          <w:rFonts w:ascii="Times New Roman" w:cs="Times New Roman" w:eastAsia="Times New Roman" w:hAnsi="Times New Roman"/>
          <w:b w:val="false"/>
          <w:bCs w:val="false"/>
          <w:i w:val="false"/>
          <w:iCs w:val="false"/>
          <w:color w:val="1F2937"/>
          <w:sz w:val="22"/>
          <w:szCs w:val="22"/>
        </w:rPr>
        <w:t xml:space="preserve">Présentation des échelles de mesure, des profils fantasizers/dissociateurs (Barrett, 1991), et des facteurs prédictifs de la réponse hypnotique : </w:t>
      </w:r>
      <w:hyperlink w:history="1" r:id="rIddgbh2dsqo5kd2qbbep8wd">
        <w:r>
          <w:rPr>
            <w:rFonts w:ascii="Times New Roman" w:cs="Times New Roman" w:eastAsia="Times New Roman" w:hAnsi="Times New Roman"/>
            <w:color w:val="1155CC"/>
            <w:sz w:val="22"/>
            <w:szCs w:val="22"/>
            <w:u w:val="single"/>
          </w:rPr>
          <w:t xml:space="preserve">en.wikipedia.org/wiki/Hypnotic_susceptibility</w:t>
        </w:r>
      </w:hyperlink>
    </w:p>
    <w:p>
      <w:pPr>
        <w:spacing w:after="80" w:before="80"/>
      </w:pPr>
      <w:r>
        <w:rPr>
          <w:rFonts w:ascii="Times New Roman" w:cs="Times New Roman" w:eastAsia="Times New Roman" w:hAnsi="Times New Roman"/>
          <w:b/>
          <w:bCs/>
          <w:i w:val="false"/>
          <w:iCs w:val="false"/>
          <w:color w:val="1F2937"/>
          <w:sz w:val="22"/>
          <w:szCs w:val="22"/>
        </w:rPr>
        <w:t xml:space="preserve">2. Malloggi, E. &amp; Santarcangelo, E.L. (2023) — Brain Sciences (PMC10742099)</w:t>
      </w:r>
    </w:p>
    <w:p>
      <w:pPr>
        <w:spacing w:after="80" w:before="80"/>
      </w:pPr>
      <w:r>
        <w:rPr>
          <w:rFonts w:ascii="Times New Roman" w:cs="Times New Roman" w:eastAsia="Times New Roman" w:hAnsi="Times New Roman"/>
          <w:b w:val="false"/>
          <w:bCs w:val="false"/>
          <w:i w:val="false"/>
          <w:iCs w:val="false"/>
          <w:color w:val="1F2937"/>
          <w:sz w:val="22"/>
          <w:szCs w:val="22"/>
        </w:rPr>
        <w:t xml:space="preserve">Revue de la littérature (scoping review) sur les corrélats physiologiques de l'hypnotisabilité dans la population générale — incluant les différences cérébrales entre répondeurs élevés, moyens et faibles : </w:t>
      </w:r>
      <w:hyperlink w:history="1" r:id="rId1pzwz7b8uh5mqgchxfykm">
        <w:r>
          <w:rPr>
            <w:rFonts w:ascii="Times New Roman" w:cs="Times New Roman" w:eastAsia="Times New Roman" w:hAnsi="Times New Roman"/>
            <w:color w:val="1155CC"/>
            <w:sz w:val="22"/>
            <w:szCs w:val="22"/>
            <w:u w:val="single"/>
          </w:rPr>
          <w:t xml:space="preserve">pmc.ncbi.nlm.nih.gov/articles/PMC10742099/</w:t>
        </w:r>
      </w:hyperlink>
    </w:p>
    <w:p>
      <w:pPr>
        <w:spacing w:after="80" w:before="80"/>
      </w:pPr>
      <w:r>
        <w:rPr>
          <w:rFonts w:ascii="Times New Roman" w:cs="Times New Roman" w:eastAsia="Times New Roman" w:hAnsi="Times New Roman"/>
          <w:b/>
          <w:bCs/>
          <w:i w:val="false"/>
          <w:iCs w:val="false"/>
          <w:color w:val="1F2937"/>
          <w:sz w:val="22"/>
          <w:szCs w:val="22"/>
        </w:rPr>
        <w:t xml:space="preserve">3. De Benedittis, G. (2025) — Brain Sciences, éditorial de numéro thématique (PMC11852439)</w:t>
      </w:r>
    </w:p>
    <w:p>
      <w:pPr>
        <w:spacing w:after="80" w:before="80"/>
      </w:pPr>
      <w:r>
        <w:rPr>
          <w:rFonts w:ascii="Times New Roman" w:cs="Times New Roman" w:eastAsia="Times New Roman" w:hAnsi="Times New Roman"/>
          <w:b w:val="false"/>
          <w:bCs w:val="false"/>
          <w:i w:val="false"/>
          <w:iCs w:val="false"/>
          <w:color w:val="1F2937"/>
          <w:sz w:val="22"/>
          <w:szCs w:val="22"/>
        </w:rPr>
        <w:t xml:space="preserve">Vue d'ensemble des neurosciences actuelles de l'hypnose et de l'hypnotisabilité (doi: 10.3390/brainsci15020142) : </w:t>
      </w:r>
      <w:hyperlink w:history="1" r:id="rIdsn0iceltjhpyv8tuix4uu">
        <w:r>
          <w:rPr>
            <w:rFonts w:ascii="Times New Roman" w:cs="Times New Roman" w:eastAsia="Times New Roman" w:hAnsi="Times New Roman"/>
            <w:color w:val="1155CC"/>
            <w:sz w:val="22"/>
            <w:szCs w:val="22"/>
            <w:u w:val="single"/>
          </w:rPr>
          <w:t xml:space="preserve">pmc.ncbi.nlm.nih.gov/articles/PMC11852439/</w:t>
        </w:r>
      </w:hyperlink>
    </w:p>
    <w:p>
      <w:pPr>
        <w:spacing w:after="80" w:before="80"/>
      </w:pPr>
      <w:r>
        <w:rPr>
          <w:rFonts w:ascii="Times New Roman" w:cs="Times New Roman" w:eastAsia="Times New Roman" w:hAnsi="Times New Roman"/>
          <w:b/>
          <w:bCs/>
          <w:i w:val="false"/>
          <w:iCs w:val="false"/>
          <w:color w:val="1F2937"/>
          <w:sz w:val="22"/>
          <w:szCs w:val="22"/>
        </w:rPr>
        <w:t xml:space="preserve">4. INSERM (2015) — Évaluation de l'efficacité de la pratique de l'hypnose</w:t>
      </w:r>
    </w:p>
    <w:p>
      <w:pPr>
        <w:spacing w:after="80" w:before="80"/>
      </w:pPr>
      <w:r>
        <w:rPr>
          <w:rFonts w:ascii="Times New Roman" w:cs="Times New Roman" w:eastAsia="Times New Roman" w:hAnsi="Times New Roman"/>
          <w:b w:val="false"/>
          <w:bCs w:val="false"/>
          <w:i w:val="false"/>
          <w:iCs w:val="false"/>
          <w:color w:val="1F2937"/>
          <w:sz w:val="22"/>
          <w:szCs w:val="22"/>
        </w:rPr>
        <w:t xml:space="preserve">Rapport thématique (213 pages) incluant les indications, les limites méthodologiques de la littérature, les contre-indications et le profil des répondeurs. Page de présentation : </w:t>
      </w:r>
      <w:hyperlink w:history="1" r:id="rIdlc3wruycvvob7qafa4o3y">
        <w:r>
          <w:rPr>
            <w:rFonts w:ascii="Times New Roman" w:cs="Times New Roman" w:eastAsia="Times New Roman" w:hAnsi="Times New Roman"/>
            <w:color w:val="1155CC"/>
            <w:sz w:val="22"/>
            <w:szCs w:val="22"/>
            <w:u w:val="single"/>
          </w:rPr>
          <w:t xml:space="preserve">inserm.fr/rapport/evaluation-de-lefficacite-de-la-pratique-de-lhypnose-2015/</w:t>
        </w:r>
      </w:hyperlink>
      <w:r>
        <w:rPr>
          <w:rFonts w:ascii="Times New Roman" w:cs="Times New Roman" w:eastAsia="Times New Roman" w:hAnsi="Times New Roman"/>
          <w:b w:val="false"/>
          <w:bCs w:val="false"/>
          <w:i w:val="false"/>
          <w:iCs w:val="false"/>
          <w:color w:val="1F2937"/>
          <w:sz w:val="22"/>
          <w:szCs w:val="22"/>
        </w:rPr>
        <w:t xml:space="preserve"> — Rapport PDF complet : </w:t>
      </w:r>
      <w:hyperlink w:history="1" r:id="rIdsgep5mlg8rhrs0y_1qd2p">
        <w:r>
          <w:rPr>
            <w:rFonts w:ascii="Times New Roman" w:cs="Times New Roman" w:eastAsia="Times New Roman" w:hAnsi="Times New Roman"/>
            <w:color w:val="1155CC"/>
            <w:sz w:val="22"/>
            <w:szCs w:val="22"/>
            <w:u w:val="single"/>
          </w:rPr>
          <w:t xml:space="preserve">inserm.fr/wp-content/uploads/2017-11/inserm-rapportthematique-evaluationefficacitehypnose-2015.pdf</w:t>
        </w:r>
      </w:hyperlink>
    </w:p>
    <w:p>
      <w:pPr>
        <w:spacing w:after="80" w:before="80"/>
      </w:pPr>
      <w:r>
        <w:rPr>
          <w:rFonts w:ascii="Times New Roman" w:cs="Times New Roman" w:eastAsia="Times New Roman" w:hAnsi="Times New Roman"/>
          <w:b/>
          <w:bCs/>
          <w:i w:val="false"/>
          <w:iCs w:val="false"/>
          <w:color w:val="1F2937"/>
          <w:sz w:val="22"/>
          <w:szCs w:val="22"/>
        </w:rPr>
        <w:t xml:space="preserve">5. Psychology Today — Hypnosis</w:t>
      </w:r>
    </w:p>
    <w:p>
      <w:pPr>
        <w:spacing w:after="80" w:before="80"/>
      </w:pPr>
      <w:r>
        <w:rPr>
          <w:rFonts w:ascii="Times New Roman" w:cs="Times New Roman" w:eastAsia="Times New Roman" w:hAnsi="Times New Roman"/>
          <w:b w:val="false"/>
          <w:bCs w:val="false"/>
          <w:i w:val="false"/>
          <w:iCs w:val="false"/>
          <w:color w:val="1F2937"/>
          <w:sz w:val="22"/>
          <w:szCs w:val="22"/>
        </w:rPr>
        <w:t xml:space="preserve">Présentation vulgarisée des différences de connectivité cérébrale entre répondeurs et non-répondeurs, et cadre éthique de la pratique : </w:t>
      </w:r>
      <w:hyperlink w:history="1" r:id="rId85sds4aegzdld0averith">
        <w:r>
          <w:rPr>
            <w:rFonts w:ascii="Times New Roman" w:cs="Times New Roman" w:eastAsia="Times New Roman" w:hAnsi="Times New Roman"/>
            <w:color w:val="1155CC"/>
            <w:sz w:val="22"/>
            <w:szCs w:val="22"/>
            <w:u w:val="single"/>
          </w:rPr>
          <w:t xml:space="preserve">psychologytoday.com/us/basics/hypnosis</w:t>
        </w:r>
      </w:hyperlink>
    </w:p>
    <w:p>
      <w:pPr>
        <w:spacing w:after="80" w:before="80"/>
      </w:pPr>
      <w:r>
        <w:t xml:space="preserve"/>
      </w:r>
    </w:p>
    <w:p>
      <w:pPr>
        <w:spacing w:after="100" w:before="320"/>
      </w:pPr>
      <w:r>
        <w:rPr>
          <w:rFonts w:ascii="Times New Roman" w:cs="Times New Roman" w:eastAsia="Times New Roman" w:hAnsi="Times New Roman"/>
          <w:b/>
          <w:bCs/>
          <w:color w:val="1B3A6B"/>
          <w:sz w:val="30"/>
          <w:szCs w:val="30"/>
        </w:rPr>
        <w:t xml:space="preserve">🔜 Prochaine leçon (n°17)</w:t>
      </w:r>
    </w:p>
    <w:p>
      <w:pPr>
        <w:spacing w:after="80" w:before="80"/>
      </w:pPr>
      <w:r>
        <w:rPr>
          <w:rFonts w:ascii="Times New Roman" w:cs="Times New Roman" w:eastAsia="Times New Roman" w:hAnsi="Times New Roman"/>
          <w:b w:val="false"/>
          <w:bCs w:val="false"/>
          <w:i w:val="false"/>
          <w:iCs w:val="false"/>
          <w:color w:val="1F2937"/>
          <w:sz w:val="22"/>
          <w:szCs w:val="22"/>
        </w:rPr>
        <w:t xml:space="preserve">Leçon 17 — Contre-indications, précautions et publics à risque. Cette leçon approfondira les situations dans lesquelles l'hypnose est déconseillée ou exige des précautions particulières : publics vulnérables, contextes thérapeutiques limites, et cadre légal en France.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gbh2dsqo5kd2qbbep8wd" Type="http://schemas.openxmlformats.org/officeDocument/2006/relationships/hyperlink" Target="https://en.wikipedia.org/wiki/Hypnotic_susceptibility" TargetMode="External"/><Relationship Id="rId1pzwz7b8uh5mqgchxfykm" Type="http://schemas.openxmlformats.org/officeDocument/2006/relationships/hyperlink" Target="https://pmc.ncbi.nlm.nih.gov/articles/PMC10742099/" TargetMode="External"/><Relationship Id="rIdsn0iceltjhpyv8tuix4uu" Type="http://schemas.openxmlformats.org/officeDocument/2006/relationships/hyperlink" Target="https://pmc.ncbi.nlm.nih.gov/articles/PMC11852439/" TargetMode="External"/><Relationship Id="rIdlc3wruycvvob7qafa4o3y" Type="http://schemas.openxmlformats.org/officeDocument/2006/relationships/hyperlink" Target="https://www.inserm.fr/rapport/evaluation-de-lefficacite-de-la-pratique-de-lhypnose-2015/" TargetMode="External"/><Relationship Id="rIdsgep5mlg8rhrs0y_1qd2p" Type="http://schemas.openxmlformats.org/officeDocument/2006/relationships/hyperlink" Target="https://www.inserm.fr/wp-content/uploads/2017-11/inserm-rapportthematique-evaluationefficacitehypnose-2015.pdf" TargetMode="External"/><Relationship Id="rId85sds4aegzdld0averith" Type="http://schemas.openxmlformats.org/officeDocument/2006/relationships/hyperlink" Target="https://www.psychologytoday.com/us/basics/hypnosis"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2026-09-29T07:11:47.484Z</dcterms:created>
  <dcterms:modified xsi:type="dcterms:W3CDTF">2026-09-29T07:11:47.485Z</dcterms:modified>
</cp:coreProperties>
</file>

<file path=docProps/custom.xml><?xml version="1.0" encoding="utf-8"?>
<Properties xmlns="http://schemas.openxmlformats.org/officeDocument/2006/custom-properties" xmlns:vt="http://schemas.openxmlformats.org/officeDocument/2006/docPropsVTypes"/>
</file>