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48"/>
          <w:szCs w:val="48"/>
        </w:rPr>
        <w:t xml:space="preserve">L'empreinte énergétique de l'IA</w:t>
      </w:r>
    </w:p>
    <w:p>
      <w:pPr>
        <w:spacing w:after="600"/>
        <w:jc w:val="center"/>
      </w:pPr>
      <w:r>
        <w:rPr>
          <w:i/>
          <w:iCs/>
          <w:color w:val="666666"/>
          <w:sz w:val="28"/>
          <w:szCs w:val="28"/>
        </w:rPr>
        <w:t xml:space="preserve">Comparatif des modèles, du plus énergivore au plus frugal</w:t>
      </w:r>
    </w:p>
    <w:p>
      <w:pPr>
        <w:spacing w:after="1200"/>
        <w:jc w:val="center"/>
      </w:pPr>
      <w:r>
        <w:rPr>
          <w:color w:val="888888"/>
          <w:sz w:val="24"/>
          <w:szCs w:val="24"/>
        </w:rPr>
        <w:t xml:space="preserve">État des lieux 2025-2026</w:t>
      </w:r>
    </w:p>
    <w:p>
      <w:pPr>
        <w:spacing w:after="200"/>
        <w:jc w:val="center"/>
      </w:pPr>
      <w:r>
        <w:rPr>
          <w:i/>
          <w:iCs/>
          <w:color w:val="808080"/>
          <w:sz w:val="22"/>
          <w:szCs w:val="22"/>
        </w:rPr>
        <w:t xml:space="preserve">Document de synthèse</w:t>
      </w:r>
    </w:p>
    <w:p>
      <w:pPr>
        <w:spacing w:after="200"/>
        <w:jc w:val="center"/>
      </w:pPr>
      <w:r>
        <w:rPr>
          <w:i/>
          <w:iCs/>
          <w:color w:val="808080"/>
          <w:sz w:val="22"/>
          <w:szCs w:val="22"/>
        </w:rPr>
        <w:t xml:space="preserve">Préparé pour RicoBSJ</w:t>
      </w:r>
    </w:p>
    <w:p>
      <w:pPr>
        <w:pageBreakBefore/>
      </w:pPr>
      <w:r>
        <w:br/>
        <w:t xml:space="preserve"/>
      </w:r>
    </w:p>
    <w:p>
      <w:pPr>
        <w:pStyle w:val="Heading1"/>
        <w:spacing w:after="200" w:before="400"/>
        <w:jc w:val="center"/>
      </w:pPr>
      <w:r>
        <w:rPr>
          <w:b/>
          <w:bCs/>
          <w:color w:val="1F3864"/>
          <w:sz w:val="36"/>
          <w:szCs w:val="36"/>
        </w:rPr>
        <w:t xml:space="preserve">Introduction</w:t>
      </w:r>
    </w:p>
    <w:p>
      <w:pPr>
        <w:spacing w:after="100"/>
        <w:jc w:val="both"/>
      </w:pPr>
      <w:r>
        <w:rPr>
          <w:sz w:val="22"/>
          <w:szCs w:val="22"/>
        </w:rPr>
        <w:t xml:space="preserve">L'intelligence artificielle générative consomme des ressources considérables, mais cette consommation varie de manière spectaculaire d'un modèle à l'autre — d'un facteur 1 à plus de 1000 selon les cas. Comprendre ces différences est utile à plusieurs titres : pour faire des choix techniques éclairés, pour limiter son empreinte carbone, et pour adapter son usage aux contraintes matérielles.</w:t>
      </w:r>
    </w:p>
    <w:p>
      <w:pPr>
        <w:spacing w:after="100"/>
        <w:jc w:val="both"/>
      </w:pPr>
      <w:r>
        <w:rPr>
          <w:sz w:val="22"/>
          <w:szCs w:val="22"/>
        </w:rPr>
        <w:t xml:space="preserve">Ce document propose un panorama structuré, du plus énergivore au plus frugal, des modèles d'IA accessibles aujourd'hui. Il s'appuie sur des sources publiques de 2025-2026 (études académiques, audits environnementaux, benchmarks indépendants comme ML.Energy de l'Université du Michigan).</w:t>
      </w:r>
    </w:p>
    <w:p>
      <w:pPr>
        <w:spacing w:after="120" w:before="240"/>
      </w:pPr>
      <w:r>
        <w:rPr>
          <w:b/>
          <w:bCs/>
          <w:color w:val="2E75B6"/>
          <w:sz w:val="24"/>
          <w:szCs w:val="24"/>
        </w:rPr>
        <w:t xml:space="preserve">Repères de mesure</w:t>
      </w:r>
    </w:p>
    <w:p>
      <w:pPr>
        <w:spacing w:after="100"/>
        <w:jc w:val="both"/>
      </w:pPr>
      <w:r>
        <w:rPr>
          <w:sz w:val="22"/>
          <w:szCs w:val="22"/>
        </w:rPr>
        <w:t xml:space="preserve">L'unité utilisée est le wattheure (Wh) par requête. Pour donner des ordres de grandeur familiers :</w:t>
      </w:r>
    </w:p>
    <w:p>
      <w:pPr>
        <w:spacing w:after="80"/>
        <w:ind w:left="360" w:hanging="200"/>
      </w:pPr>
      <w:r>
        <w:rPr>
          <w:sz w:val="22"/>
          <w:szCs w:val="22"/>
        </w:rPr>
        <w:t xml:space="preserve">•  Une recherche Google : environ 0,3 Wh</w:t>
      </w:r>
    </w:p>
    <w:p>
      <w:pPr>
        <w:spacing w:after="80"/>
        <w:ind w:left="360" w:hanging="200"/>
      </w:pPr>
      <w:r>
        <w:rPr>
          <w:sz w:val="22"/>
          <w:szCs w:val="22"/>
        </w:rPr>
        <w:t xml:space="preserve">•  Une ampoule LED de 10 W allumée 1 minute : environ 0,17 Wh</w:t>
      </w:r>
    </w:p>
    <w:p>
      <w:pPr>
        <w:spacing w:after="80"/>
        <w:ind w:left="360" w:hanging="200"/>
      </w:pPr>
      <w:r>
        <w:rPr>
          <w:sz w:val="22"/>
          <w:szCs w:val="22"/>
        </w:rPr>
        <w:t xml:space="preserve">•  Charger un smartphone à pleine capacité : environ 10 Wh</w:t>
      </w:r>
    </w:p>
    <w:p>
      <w:pPr>
        <w:spacing w:after="80"/>
        <w:ind w:left="360" w:hanging="200"/>
      </w:pPr>
      <w:r>
        <w:rPr>
          <w:sz w:val="22"/>
          <w:szCs w:val="22"/>
        </w:rPr>
        <w:t xml:space="preserve">•  Une heure de Netflix en streaming : environ 80 Wh</w:t>
      </w:r>
    </w:p>
    <w:p>
      <w:pPr>
        <w:spacing w:after="100"/>
        <w:jc w:val="both"/>
      </w:pPr>
      <w:r>
        <w:rPr>
          <w:sz w:val="22"/>
          <w:szCs w:val="22"/>
        </w:rPr>
        <w:t xml:space="preserve">Précision importante : les chiffres présentés sont des estimations. Les éditeurs de modèles propriétaires (OpenAI, Anthropic, Google) publient peu de données officielles, et les conditions d'usage influencent fortement la consommation réelle (longueur du prompt, complexité de la réponse, mode raisonnement, etc.).</w:t>
      </w:r>
    </w:p>
    <w:p>
      <w:pPr>
        <w:pStyle w:val="Heading2"/>
        <w:spacing w:after="160" w:before="360"/>
      </w:pPr>
      <w:r>
        <w:rPr>
          <w:b/>
          <w:bCs/>
          <w:color w:val="C00000"/>
          <w:sz w:val="28"/>
          <w:szCs w:val="28"/>
        </w:rPr>
        <w:t xml:space="preserve">Niveau 1 — Très énergivores</w:t>
      </w:r>
    </w:p>
    <w:p>
      <w:pPr>
        <w:spacing w:after="100"/>
        <w:jc w:val="both"/>
      </w:pPr>
      <w:r>
        <w:rPr>
          <w:b/>
          <w:bCs/>
          <w:i w:val="false"/>
          <w:iCs w:val="false"/>
          <w:sz w:val="22"/>
          <w:szCs w:val="22"/>
        </w:rPr>
        <w:t xml:space="preserve">Modèles propriétaires de pointe (frontier models)</w:t>
      </w:r>
    </w:p>
    <w:p>
      <w:pPr>
        <w:spacing w:after="100"/>
        <w:jc w:val="both"/>
      </w:pPr>
      <w:r>
        <w:rPr>
          <w:sz w:val="22"/>
          <w:szCs w:val="22"/>
        </w:rPr>
        <w:t xml:space="preserve">Il s'agit des modèles les plus puissants du marché, hébergés dans des datacenters massifs et comportant plusieurs centaines de milliards de paramètres. Ce sont aussi les plus utilisés au monde, ce qui amplifie leur impact agrégé.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Modèle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Conso. par requête</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GPT-4 / GPT-5 Pro (OpenAI)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0,3 à 0,42 Wh (court)
jusqu'à 40 Wh (long)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Le plus utilisé au monde — coût agrégé colossal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Claude Opus 4 / 4.7 (Anthropic)</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~0,35 Wh (estimé)</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Légèrement supérieur à GPT-4 selon estimations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Gemini 2.5 Pro (Google)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Comparable à GPT-4</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Architecture DeepMind optimisée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Grok 4 Heavy (xAI)</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Très élevée</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Modèle de raisonnement intensif</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Modèles raisonnement (o1, o3)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3 à 10× plus que GPT-4</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Génèrent beaucoup de tokens internes (chain-of-thought)</w:t>
            </w:r>
          </w:p>
        </w:tc>
      </w:tr>
    </w:tbl>
    <w:p>
      <w:pPr>
        <w:spacing w:after="200"/>
      </w:pPr>
      <w:r>
        <w:t xml:space="preserve"/>
      </w:r>
    </w:p>
    <w:p>
      <w:pPr>
        <w:spacing w:after="100"/>
        <w:jc w:val="both"/>
      </w:pPr>
      <w:r>
        <w:rPr>
          <w:sz w:val="22"/>
          <w:szCs w:val="22"/>
        </w:rPr>
        <w:t xml:space="preserve">À l'échelle annuelle : l'inférence de GPT-4o pourrait nécessiter entre </w:t>
      </w:r>
      <w:r>
        <w:rPr>
          <w:b/>
          <w:bCs/>
          <w:i w:val="false"/>
          <w:iCs w:val="false"/>
          <w:sz w:val="22"/>
          <w:szCs w:val="22"/>
        </w:rPr>
        <w:t xml:space="preserve">391 509 et 463 269 MWh par an</w:t>
      </w:r>
      <w:r>
        <w:rPr>
          <w:sz w:val="22"/>
          <w:szCs w:val="22"/>
        </w:rPr>
        <w:t xml:space="preserve">, soit plus que la consommation totale de 35 000 foyers américains.</w:t>
      </w:r>
    </w:p>
    <w:p>
      <w:pPr>
        <w:pStyle w:val="Heading2"/>
        <w:spacing w:after="160" w:before="360"/>
      </w:pPr>
      <w:r>
        <w:rPr>
          <w:b/>
          <w:bCs/>
          <w:color w:val="E97132"/>
          <w:sz w:val="28"/>
          <w:szCs w:val="28"/>
        </w:rPr>
        <w:t xml:space="preserve">Niveau 2 — Énergivores</w:t>
      </w:r>
    </w:p>
    <w:p>
      <w:pPr>
        <w:spacing w:after="100"/>
        <w:jc w:val="both"/>
      </w:pPr>
      <w:r>
        <w:rPr>
          <w:b/>
          <w:bCs/>
          <w:i w:val="false"/>
          <w:iCs w:val="false"/>
          <w:sz w:val="22"/>
          <w:szCs w:val="22"/>
        </w:rPr>
        <w:t xml:space="preserve">Gros modèles open-weight (50 à 700 milliards de paramètres)</w:t>
      </w:r>
    </w:p>
    <w:p>
      <w:pPr>
        <w:spacing w:after="100"/>
        <w:jc w:val="both"/>
      </w:pPr>
      <w:r>
        <w:rPr>
          <w:sz w:val="22"/>
          <w:szCs w:val="22"/>
        </w:rPr>
        <w:t xml:space="preserve">Modèles téléchargeables (poids ouverts) mais nécessitant du matériel professionnel pour tourner correctement. Souvent utilisés en entreprise pour des déploiements souverains.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4"/>
              <w:left w:val="single" w:color="BFBFBF" w:sz="4"/>
              <w:bottom w:val="single" w:color="BFBFBF" w:sz="4"/>
              <w:right w:val="single" w:color="BFBFBF" w:sz="4"/>
            </w:tcBorders>
            <w:shd w:fill="E97132" w:val="clear"/>
            <w:tcMar>
              <w:top w:type="dxa" w:w="100"/>
              <w:left w:type="dxa" w:w="140"/>
              <w:bottom w:type="dxa" w:w="100"/>
              <w:right w:type="dxa" w:w="140"/>
            </w:tcMar>
          </w:tcPr>
          <w:p>
            <w:pPr>
              <w:jc w:val="center"/>
            </w:pPr>
            <w:r>
              <w:rPr>
                <w:b/>
                <w:bCs/>
                <w:color w:val="FFFFFF"/>
                <w:sz w:val="20"/>
                <w:szCs w:val="20"/>
              </w:rPr>
              <w:t xml:space="preserve">Modèle</w:t>
            </w:r>
          </w:p>
        </w:tc>
        <w:tc>
          <w:tcPr>
            <w:tcW w:type="dxa" w:w="1800"/>
            <w:tcBorders>
              <w:top w:val="single" w:color="BFBFBF" w:sz="4"/>
              <w:left w:val="single" w:color="BFBFBF" w:sz="4"/>
              <w:bottom w:val="single" w:color="BFBFBF" w:sz="4"/>
              <w:right w:val="single" w:color="BFBFBF" w:sz="4"/>
            </w:tcBorders>
            <w:shd w:fill="E97132" w:val="clear"/>
            <w:tcMar>
              <w:top w:type="dxa" w:w="100"/>
              <w:left w:type="dxa" w:w="140"/>
              <w:bottom w:type="dxa" w:w="100"/>
              <w:right w:type="dxa" w:w="140"/>
            </w:tcMar>
          </w:tcPr>
          <w:p>
            <w:pPr>
              <w:jc w:val="center"/>
            </w:pPr>
            <w:r>
              <w:rPr>
                <w:b/>
                <w:bCs/>
                <w:color w:val="FFFFFF"/>
                <w:sz w:val="20"/>
                <w:szCs w:val="20"/>
              </w:rPr>
              <w:t xml:space="preserve">Paramètres</w:t>
            </w:r>
          </w:p>
        </w:tc>
        <w:tc>
          <w:tcPr>
            <w:tcW w:type="dxa" w:w="5160"/>
            <w:tcBorders>
              <w:top w:val="single" w:color="BFBFBF" w:sz="4"/>
              <w:left w:val="single" w:color="BFBFBF" w:sz="4"/>
              <w:bottom w:val="single" w:color="BFBFBF" w:sz="4"/>
              <w:right w:val="single" w:color="BFBFBF" w:sz="4"/>
            </w:tcBorders>
            <w:shd w:fill="E97132" w:val="clear"/>
            <w:tcMar>
              <w:top w:type="dxa" w:w="100"/>
              <w:left w:type="dxa" w:w="140"/>
              <w:bottom w:type="dxa" w:w="100"/>
              <w:right w:type="dxa" w:w="140"/>
            </w:tcMar>
          </w:tcPr>
          <w:p>
            <w:pPr>
              <w:jc w:val="center"/>
            </w:pPr>
            <w:r>
              <w:rPr>
                <w:b/>
                <w:bCs/>
                <w:color w:val="FFFFFF"/>
                <w:sz w:val="20"/>
                <w:szCs w:val="20"/>
              </w:rPr>
              <w:t xml:space="preserve">Consommation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Llama 3.1 405B (Meta)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000000"/>
                <w:sz w:val="20"/>
                <w:szCs w:val="20"/>
              </w:rPr>
              <w:t xml:space="preserve">405 Md</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0,93 Wh par requête (59× un Mistral 7B). Nécessite 800 Go de VRAM.</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DeepSeek-V3</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color w:val="000000"/>
                <w:sz w:val="20"/>
                <w:szCs w:val="20"/>
              </w:rPr>
              <w:t xml:space="preserve">~671 Md (MoE)</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Élevé mais optimisé par mixture of experts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Mistral Large 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000000"/>
                <w:sz w:val="20"/>
                <w:szCs w:val="20"/>
              </w:rPr>
              <w:t xml:space="preserve">123 Md</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~0,2 Wh (court), jusqu'à 42 Wh pour une réponse d'une page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Llama 3.3 70B</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color w:val="000000"/>
                <w:sz w:val="20"/>
                <w:szCs w:val="20"/>
              </w:rPr>
              <w:t xml:space="preserve">70 Md</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Quelques dixièmes de Wh par requête</w:t>
            </w:r>
          </w:p>
        </w:tc>
      </w:tr>
    </w:tbl>
    <w:p>
      <w:pPr>
        <w:pStyle w:val="Heading2"/>
        <w:spacing w:after="160" w:before="360"/>
      </w:pPr>
      <w:r>
        <w:rPr>
          <w:b/>
          <w:bCs/>
          <w:color w:val="BF8F00"/>
          <w:sz w:val="28"/>
          <w:szCs w:val="28"/>
        </w:rPr>
        <w:t xml:space="preserve">Niveau 3 — Intermédiaires</w:t>
      </w:r>
    </w:p>
    <w:p>
      <w:pPr>
        <w:spacing w:after="100"/>
        <w:jc w:val="both"/>
      </w:pPr>
      <w:r>
        <w:rPr>
          <w:b/>
          <w:bCs/>
          <w:i w:val="false"/>
          <w:iCs w:val="false"/>
          <w:sz w:val="22"/>
          <w:szCs w:val="22"/>
        </w:rPr>
        <w:t xml:space="preserve">Modèles open-weight de 7 à 13 milliards de paramètres</w:t>
      </w:r>
    </w:p>
    <w:p>
      <w:pPr>
        <w:spacing w:after="100"/>
        <w:jc w:val="both"/>
      </w:pPr>
      <w:r>
        <w:rPr>
          <w:sz w:val="22"/>
          <w:szCs w:val="22"/>
        </w:rPr>
        <w:t xml:space="preserve">C'est le sweet spot du rapport qualité/ressources : qualité tout à fait correcte pour des usages professionnels, exécutables sur un ordinateur de bureau performant ou une bonne carte graphique.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jc w:val="center"/>
            </w:pPr>
            <w:r>
              <w:rPr>
                <w:b/>
                <w:bCs/>
                <w:color w:val="FFFFFF"/>
                <w:sz w:val="20"/>
                <w:szCs w:val="20"/>
              </w:rPr>
              <w:t xml:space="preserve">Modèle</w:t>
            </w:r>
          </w:p>
        </w:tc>
        <w:tc>
          <w:tcPr>
            <w:tcW w:type="dxa" w:w="18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jc w:val="center"/>
            </w:pPr>
            <w:r>
              <w:rPr>
                <w:b/>
                <w:bCs/>
                <w:color w:val="FFFFFF"/>
                <w:sz w:val="20"/>
                <w:szCs w:val="20"/>
              </w:rPr>
              <w:t xml:space="preserve">Paramètres</w:t>
            </w:r>
          </w:p>
        </w:tc>
        <w:tc>
          <w:tcPr>
            <w:tcW w:type="dxa" w:w="516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jc w:val="center"/>
            </w:pPr>
            <w:r>
              <w:rPr>
                <w:b/>
                <w:bCs/>
                <w:color w:val="FFFFFF"/>
                <w:sz w:val="20"/>
                <w:szCs w:val="20"/>
              </w:rPr>
              <w:t xml:space="preserve">Consommation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Llama 3.1 8B</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000000"/>
                <w:sz w:val="20"/>
                <w:szCs w:val="20"/>
              </w:rPr>
              <w:t xml:space="preserve">8 Md</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0,02 Wh (court) — ~1 Wh (requête complexe 400 mots)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Mistral 7B Instruct</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color w:val="000000"/>
                <w:sz w:val="20"/>
                <w:szCs w:val="20"/>
              </w:rPr>
              <w:t xml:space="preserve">7 Md</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~0,01 Wh par chat — référence d'efficacité ML.Energy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Qwen 2.5 7B (Alibaba)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000000"/>
                <w:sz w:val="20"/>
                <w:szCs w:val="20"/>
              </w:rPr>
              <w:t xml:space="preserve">7 Md</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Comparable à Mistral 7B</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Llama 3.3 13B</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color w:val="000000"/>
                <w:sz w:val="20"/>
                <w:szCs w:val="20"/>
              </w:rPr>
              <w:t xml:space="preserve">13 Md</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Environ 2 à 3× plus qu'un 7B</w:t>
            </w:r>
          </w:p>
        </w:tc>
      </w:tr>
    </w:tbl>
    <w:p>
      <w:pPr>
        <w:pStyle w:val="Heading2"/>
        <w:spacing w:after="160" w:before="360"/>
      </w:pPr>
      <w:r>
        <w:rPr>
          <w:b/>
          <w:bCs/>
          <w:color w:val="548235"/>
          <w:sz w:val="28"/>
          <w:szCs w:val="28"/>
        </w:rPr>
        <w:t xml:space="preserve">Niveau 4 — Frugaux</w:t>
      </w:r>
    </w:p>
    <w:p>
      <w:pPr>
        <w:spacing w:after="100"/>
        <w:jc w:val="both"/>
      </w:pPr>
      <w:r>
        <w:rPr>
          <w:b/>
          <w:bCs/>
          <w:i w:val="false"/>
          <w:iCs w:val="false"/>
          <w:sz w:val="22"/>
          <w:szCs w:val="22"/>
        </w:rPr>
        <w:t xml:space="preserve">Small Language Models (SLM) — 2 à 4 milliards de paramètres</w:t>
      </w:r>
    </w:p>
    <w:p>
      <w:pPr>
        <w:spacing w:after="100"/>
        <w:jc w:val="both"/>
      </w:pPr>
      <w:r>
        <w:rPr>
          <w:sz w:val="22"/>
          <w:szCs w:val="22"/>
        </w:rPr>
        <w:t xml:space="preserve">Les véritables champions de l'efficacité : tournent en local sur un ordinateur standard, avec une qualité tout à fait honorable pour des tâches ciblées. Idéaux pour la confidentialité et l'usage hors-ligne.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jc w:val="center"/>
            </w:pPr>
            <w:r>
              <w:rPr>
                <w:b/>
                <w:bCs/>
                <w:color w:val="FFFFFF"/>
                <w:sz w:val="20"/>
                <w:szCs w:val="20"/>
              </w:rPr>
              <w:t xml:space="preserve">Modèle</w:t>
            </w:r>
          </w:p>
        </w:tc>
        <w:tc>
          <w:tcPr>
            <w:tcW w:type="dxa" w:w="18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jc w:val="center"/>
            </w:pPr>
            <w:r>
              <w:rPr>
                <w:b/>
                <w:bCs/>
                <w:color w:val="FFFFFF"/>
                <w:sz w:val="20"/>
                <w:szCs w:val="20"/>
              </w:rPr>
              <w:t xml:space="preserve">Paramètres</w:t>
            </w:r>
          </w:p>
        </w:tc>
        <w:tc>
          <w:tcPr>
            <w:tcW w:type="dxa" w:w="516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jc w:val="center"/>
            </w:pPr>
            <w:r>
              <w:rPr>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Phi-4 Mini (Microsoft)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000000"/>
                <w:sz w:val="20"/>
                <w:szCs w:val="20"/>
              </w:rPr>
              <w:t xml:space="preserve">3,8 Md</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Excellent ratio raisonnement/énergie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Phi-3.5 Mini (Microsoft)</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color w:val="000000"/>
                <w:sz w:val="20"/>
                <w:szCs w:val="20"/>
              </w:rPr>
              <w:t xml:space="preserve">3,8 Md</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Haute précision mais le plus énergivore des SLM testés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Llama 3.2 3B (Meta)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000000"/>
                <w:sz w:val="20"/>
                <w:szCs w:val="20"/>
              </w:rPr>
              <w:t xml:space="preserve">3 Md</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Meilleur compromis précision/efficacité (étude Kennesaw)</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Qwen 2.5 3B (Alibaba)</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color w:val="000000"/>
                <w:sz w:val="20"/>
                <w:szCs w:val="20"/>
              </w:rPr>
              <w:t xml:space="preserve">3 Md</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Égale un Phi-3 14B sur tâches structurées avec impact moindre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Gemma 2 2B (Google)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000000"/>
                <w:sz w:val="20"/>
                <w:szCs w:val="20"/>
              </w:rPr>
              <w:t xml:space="preserve">2 Md</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Très efficace pour sa taille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Ministral 3B (Mistral)</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color w:val="000000"/>
                <w:sz w:val="20"/>
                <w:szCs w:val="20"/>
              </w:rPr>
              <w:t xml:space="preserve">3 Md</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Optimisé pour edge / mobile</w:t>
            </w:r>
          </w:p>
        </w:tc>
      </w:tr>
    </w:tbl>
    <w:p>
      <w:pPr>
        <w:pStyle w:val="Heading2"/>
        <w:spacing w:after="160" w:before="360"/>
      </w:pPr>
      <w:r>
        <w:rPr>
          <w:b/>
          <w:bCs/>
          <w:color w:val="375623"/>
          <w:sz w:val="28"/>
          <w:szCs w:val="28"/>
        </w:rPr>
        <w:t xml:space="preserve">Niveau 5 — Ultra-frugaux</w:t>
      </w:r>
    </w:p>
    <w:p>
      <w:pPr>
        <w:spacing w:after="100"/>
        <w:jc w:val="both"/>
      </w:pPr>
      <w:r>
        <w:rPr>
          <w:b/>
          <w:bCs/>
          <w:i w:val="false"/>
          <w:iCs w:val="false"/>
          <w:sz w:val="22"/>
          <w:szCs w:val="22"/>
        </w:rPr>
        <w:t xml:space="preserve">Tiny Language Models — moins de 2 milliards de paramètres</w:t>
      </w:r>
    </w:p>
    <w:p>
      <w:pPr>
        <w:spacing w:after="100"/>
        <w:jc w:val="both"/>
      </w:pPr>
      <w:r>
        <w:rPr>
          <w:sz w:val="22"/>
          <w:szCs w:val="22"/>
        </w:rPr>
        <w:t xml:space="preserve">Modèles minimalistes, conçus pour fonctionner sur smartphone, Raspberry Pi ou même des microcontrôleurs. La qualité est plus limitée mais suffit pour des tâches ciblées (reformulation, classification, résumé court).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4"/>
              <w:left w:val="single" w:color="BFBFBF" w:sz="4"/>
              <w:bottom w:val="single" w:color="BFBFBF" w:sz="4"/>
              <w:right w:val="single" w:color="BFBFBF" w:sz="4"/>
            </w:tcBorders>
            <w:shd w:fill="375623" w:val="clear"/>
            <w:tcMar>
              <w:top w:type="dxa" w:w="100"/>
              <w:left w:type="dxa" w:w="140"/>
              <w:bottom w:type="dxa" w:w="100"/>
              <w:right w:type="dxa" w:w="140"/>
            </w:tcMar>
          </w:tcPr>
          <w:p>
            <w:pPr>
              <w:jc w:val="center"/>
            </w:pPr>
            <w:r>
              <w:rPr>
                <w:b/>
                <w:bCs/>
                <w:color w:val="FFFFFF"/>
                <w:sz w:val="20"/>
                <w:szCs w:val="20"/>
              </w:rPr>
              <w:t xml:space="preserve">Modèle</w:t>
            </w:r>
          </w:p>
        </w:tc>
        <w:tc>
          <w:tcPr>
            <w:tcW w:type="dxa" w:w="1800"/>
            <w:tcBorders>
              <w:top w:val="single" w:color="BFBFBF" w:sz="4"/>
              <w:left w:val="single" w:color="BFBFBF" w:sz="4"/>
              <w:bottom w:val="single" w:color="BFBFBF" w:sz="4"/>
              <w:right w:val="single" w:color="BFBFBF" w:sz="4"/>
            </w:tcBorders>
            <w:shd w:fill="375623" w:val="clear"/>
            <w:tcMar>
              <w:top w:type="dxa" w:w="100"/>
              <w:left w:type="dxa" w:w="140"/>
              <w:bottom w:type="dxa" w:w="100"/>
              <w:right w:type="dxa" w:w="140"/>
            </w:tcMar>
          </w:tcPr>
          <w:p>
            <w:pPr>
              <w:jc w:val="center"/>
            </w:pPr>
            <w:r>
              <w:rPr>
                <w:b/>
                <w:bCs/>
                <w:color w:val="FFFFFF"/>
                <w:sz w:val="20"/>
                <w:szCs w:val="20"/>
              </w:rPr>
              <w:t xml:space="preserve">Paramètres</w:t>
            </w:r>
          </w:p>
        </w:tc>
        <w:tc>
          <w:tcPr>
            <w:tcW w:type="dxa" w:w="5160"/>
            <w:tcBorders>
              <w:top w:val="single" w:color="BFBFBF" w:sz="4"/>
              <w:left w:val="single" w:color="BFBFBF" w:sz="4"/>
              <w:bottom w:val="single" w:color="BFBFBF" w:sz="4"/>
              <w:right w:val="single" w:color="BFBFBF" w:sz="4"/>
            </w:tcBorders>
            <w:shd w:fill="375623" w:val="clear"/>
            <w:tcMar>
              <w:top w:type="dxa" w:w="100"/>
              <w:left w:type="dxa" w:w="140"/>
              <w:bottom w:type="dxa" w:w="100"/>
              <w:right w:type="dxa" w:w="140"/>
            </w:tcMar>
          </w:tcPr>
          <w:p>
            <w:pPr>
              <w:jc w:val="center"/>
            </w:pPr>
            <w:r>
              <w:rPr>
                <w:b/>
                <w:bCs/>
                <w:color w:val="FFFFFF"/>
                <w:sz w:val="20"/>
                <w:szCs w:val="20"/>
              </w:rPr>
              <w:t xml:space="preserve">Particularité</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Phi-1.5</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000000"/>
                <w:sz w:val="20"/>
                <w:szCs w:val="20"/>
              </w:rPr>
              <w:t xml:space="preserve">1,3 Md</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Surpasse des modèles 5× sa taille — ~600 kWh à l'entraînement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TinyLlama</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color w:val="000000"/>
                <w:sz w:val="20"/>
                <w:szCs w:val="20"/>
              </w:rPr>
              <w:t xml:space="preserve">1,1 Md</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Environnements ultra-basse consommation, précision réduite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Qwen 2.5 1.5B</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000000"/>
                <w:sz w:val="20"/>
                <w:szCs w:val="20"/>
              </w:rPr>
              <w:t xml:space="preserve">1,5 Md</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Très bon multilingue compact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Llama 3.2 1B (Meta)</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color w:val="000000"/>
                <w:sz w:val="20"/>
                <w:szCs w:val="20"/>
              </w:rPr>
              <w:t xml:space="preserve">1 Md</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Spécifiquement conçu pour mobile et edge</w:t>
            </w:r>
          </w:p>
        </w:tc>
      </w:tr>
    </w:tbl>
    <w:p>
      <w:pPr>
        <w:spacing w:after="200"/>
      </w:pPr>
      <w:r>
        <w:t xml:space="preserve"/>
      </w:r>
    </w:p>
    <w:p>
      <w:pPr>
        <w:spacing w:after="100"/>
        <w:jc w:val="both"/>
      </w:pPr>
      <w:r>
        <w:rPr>
          <w:b/>
          <w:bCs/>
          <w:i w:val="false"/>
          <w:iCs w:val="false"/>
          <w:sz w:val="22"/>
          <w:szCs w:val="22"/>
        </w:rPr>
        <w:t xml:space="preserve">Record d'efficacité : </w:t>
      </w:r>
      <w:r>
        <w:rPr>
          <w:sz w:val="22"/>
          <w:szCs w:val="22"/>
        </w:rPr>
        <w:t xml:space="preserve">des chercheurs de UC Santa Cruz ont développé une méthode pour faire tourner un modèle d'un milliard de paramètres sur seulement 13 watts — l'équivalent d'une ampoule LED.</w:t>
      </w:r>
    </w:p>
    <w:p>
      <w:pPr>
        <w:pStyle w:val="Heading1"/>
        <w:spacing w:after="200" w:before="400"/>
        <w:jc w:val="center"/>
      </w:pPr>
      <w:r>
        <w:rPr>
          <w:b/>
          <w:bCs/>
          <w:color w:val="1F3864"/>
          <w:sz w:val="36"/>
          <w:szCs w:val="36"/>
        </w:rPr>
        <w:t xml:space="preserve">Synthèse visuelle</w:t>
      </w:r>
    </w:p>
    <w:p>
      <w:pPr>
        <w:spacing w:after="100"/>
        <w:jc w:val="both"/>
      </w:pPr>
      <w:r>
        <w:rPr>
          <w:sz w:val="22"/>
          <w:szCs w:val="22"/>
        </w:rPr>
        <w:t xml:space="preserve">Échelle relative de consommation, du plus gourmand au plus frugal :</w:t>
      </w:r>
    </w:p>
    <w:p>
      <w:pPr>
        <w:spacing w:after="80"/>
      </w:pPr>
      <w:r>
        <w:rPr>
          <w:rFonts w:ascii="Courier New" w:cs="Courier New" w:eastAsia="Courier New" w:hAnsi="Courier New"/>
          <w:b/>
          <w:bCs/>
          <w:color w:val="C00000"/>
          <w:sz w:val="18"/>
          <w:szCs w:val="18"/>
        </w:rPr>
        <w:t xml:space="preserve">TRÈS ÉNERGIVORE       </w:t>
      </w:r>
      <w:r>
        <w:rPr>
          <w:rFonts w:ascii="Courier New" w:cs="Courier New" w:eastAsia="Courier New" w:hAnsi="Courier New"/>
          <w:color w:val="C00000"/>
          <w:sz w:val="18"/>
          <w:szCs w:val="18"/>
        </w:rPr>
        <w:t xml:space="preserve"> ████████████████████  </w:t>
      </w:r>
      <w:r>
        <w:rPr>
          <w:color w:val="404040"/>
          <w:sz w:val="20"/>
          <w:szCs w:val="20"/>
        </w:rPr>
        <w:t xml:space="preserve">GPT-5, Claude Opus, Gemini Pro, Grok 4</w:t>
      </w:r>
    </w:p>
    <w:p>
      <w:pPr>
        <w:spacing w:after="80"/>
      </w:pPr>
      <w:r>
        <w:rPr>
          <w:rFonts w:ascii="Courier New" w:cs="Courier New" w:eastAsia="Courier New" w:hAnsi="Courier New"/>
          <w:b/>
          <w:bCs/>
          <w:color w:val="E97132"/>
          <w:sz w:val="18"/>
          <w:szCs w:val="18"/>
        </w:rPr>
        <w:t xml:space="preserve">ÉNERGIVORE            </w:t>
      </w:r>
      <w:r>
        <w:rPr>
          <w:rFonts w:ascii="Courier New" w:cs="Courier New" w:eastAsia="Courier New" w:hAnsi="Courier New"/>
          <w:color w:val="E97132"/>
          <w:sz w:val="18"/>
          <w:szCs w:val="18"/>
        </w:rPr>
        <w:t xml:space="preserve"> █████████████  </w:t>
      </w:r>
      <w:r>
        <w:rPr>
          <w:color w:val="404040"/>
          <w:sz w:val="20"/>
          <w:szCs w:val="20"/>
        </w:rPr>
        <w:t xml:space="preserve">Llama 405B, DeepSeek V3, Mistral Large</w:t>
      </w:r>
    </w:p>
    <w:p>
      <w:pPr>
        <w:spacing w:after="80"/>
      </w:pPr>
      <w:r>
        <w:rPr>
          <w:rFonts w:ascii="Courier New" w:cs="Courier New" w:eastAsia="Courier New" w:hAnsi="Courier New"/>
          <w:b/>
          <w:bCs/>
          <w:color w:val="BF8F00"/>
          <w:sz w:val="18"/>
          <w:szCs w:val="18"/>
        </w:rPr>
        <w:t xml:space="preserve">INTERMÉDIAIRE-HAUT    </w:t>
      </w:r>
      <w:r>
        <w:rPr>
          <w:rFonts w:ascii="Courier New" w:cs="Courier New" w:eastAsia="Courier New" w:hAnsi="Courier New"/>
          <w:color w:val="BF8F00"/>
          <w:sz w:val="18"/>
          <w:szCs w:val="18"/>
        </w:rPr>
        <w:t xml:space="preserve"> █████████  </w:t>
      </w:r>
      <w:r>
        <w:rPr>
          <w:color w:val="404040"/>
          <w:sz w:val="20"/>
          <w:szCs w:val="20"/>
        </w:rPr>
        <w:t xml:space="preserve">Llama 70B, Claude Sonnet</w:t>
      </w:r>
    </w:p>
    <w:p>
      <w:pPr>
        <w:spacing w:after="80"/>
      </w:pPr>
      <w:r>
        <w:rPr>
          <w:rFonts w:ascii="Courier New" w:cs="Courier New" w:eastAsia="Courier New" w:hAnsi="Courier New"/>
          <w:b/>
          <w:bCs/>
          <w:color w:val="70AD47"/>
          <w:sz w:val="18"/>
          <w:szCs w:val="18"/>
        </w:rPr>
        <w:t xml:space="preserve">INTERMÉDIAIRE         </w:t>
      </w:r>
      <w:r>
        <w:rPr>
          <w:rFonts w:ascii="Courier New" w:cs="Courier New" w:eastAsia="Courier New" w:hAnsi="Courier New"/>
          <w:color w:val="70AD47"/>
          <w:sz w:val="18"/>
          <w:szCs w:val="18"/>
        </w:rPr>
        <w:t xml:space="preserve"> █████  </w:t>
      </w:r>
      <w:r>
        <w:rPr>
          <w:color w:val="404040"/>
          <w:sz w:val="20"/>
          <w:szCs w:val="20"/>
        </w:rPr>
        <w:t xml:space="preserve">Mistral 7B, Llama 8B, Qwen 7B</w:t>
      </w:r>
    </w:p>
    <w:p>
      <w:pPr>
        <w:spacing w:after="80"/>
      </w:pPr>
      <w:r>
        <w:rPr>
          <w:rFonts w:ascii="Courier New" w:cs="Courier New" w:eastAsia="Courier New" w:hAnsi="Courier New"/>
          <w:b/>
          <w:bCs/>
          <w:color w:val="548235"/>
          <w:sz w:val="18"/>
          <w:szCs w:val="18"/>
        </w:rPr>
        <w:t xml:space="preserve">FRUGAL                </w:t>
      </w:r>
      <w:r>
        <w:rPr>
          <w:rFonts w:ascii="Courier New" w:cs="Courier New" w:eastAsia="Courier New" w:hAnsi="Courier New"/>
          <w:color w:val="548235"/>
          <w:sz w:val="18"/>
          <w:szCs w:val="18"/>
        </w:rPr>
        <w:t xml:space="preserve"> ███  </w:t>
      </w:r>
      <w:r>
        <w:rPr>
          <w:color w:val="404040"/>
          <w:sz w:val="20"/>
          <w:szCs w:val="20"/>
        </w:rPr>
        <w:t xml:space="preserve">Phi-4 Mini, Llama 3B, Qwen 3B, Gemma 2B</w:t>
      </w:r>
    </w:p>
    <w:p>
      <w:pPr>
        <w:spacing w:after="80"/>
      </w:pPr>
      <w:r>
        <w:rPr>
          <w:rFonts w:ascii="Courier New" w:cs="Courier New" w:eastAsia="Courier New" w:hAnsi="Courier New"/>
          <w:b/>
          <w:bCs/>
          <w:color w:val="375623"/>
          <w:sz w:val="18"/>
          <w:szCs w:val="18"/>
        </w:rPr>
        <w:t xml:space="preserve">ULTRA-FRUGAL          </w:t>
      </w:r>
      <w:r>
        <w:rPr>
          <w:rFonts w:ascii="Courier New" w:cs="Courier New" w:eastAsia="Courier New" w:hAnsi="Courier New"/>
          <w:color w:val="375623"/>
          <w:sz w:val="18"/>
          <w:szCs w:val="18"/>
        </w:rPr>
        <w:t xml:space="preserve"> █  </w:t>
      </w:r>
      <w:r>
        <w:rPr>
          <w:color w:val="404040"/>
          <w:sz w:val="20"/>
          <w:szCs w:val="20"/>
        </w:rPr>
        <w:t xml:space="preserve">TinyLlama 1B, Phi-1.5, Qwen 1.5B</w:t>
      </w:r>
    </w:p>
    <w:p>
      <w:pPr>
        <w:pStyle w:val="Heading1"/>
        <w:spacing w:after="200" w:before="400"/>
        <w:jc w:val="center"/>
      </w:pPr>
      <w:r>
        <w:rPr>
          <w:b/>
          <w:bCs/>
          <w:color w:val="1F3864"/>
          <w:sz w:val="36"/>
          <w:szCs w:val="36"/>
        </w:rPr>
        <w:t xml:space="preserve">Facteurs d'influence sur la consommation réelle</w:t>
      </w:r>
    </w:p>
    <w:p>
      <w:pPr>
        <w:spacing w:after="100"/>
        <w:jc w:val="both"/>
      </w:pPr>
      <w:r>
        <w:rPr>
          <w:sz w:val="22"/>
          <w:szCs w:val="22"/>
        </w:rPr>
        <w:t xml:space="preserve">La consommation d'une requête IA ne dépend pas que du modèle choisi. Plusieurs paramètres jouent un rôle majeur :</w:t>
      </w:r>
    </w:p>
    <w:p>
      <w:pPr>
        <w:spacing w:after="120" w:before="240"/>
      </w:pPr>
      <w:r>
        <w:rPr>
          <w:b/>
          <w:bCs/>
          <w:color w:val="2E75B6"/>
          <w:sz w:val="24"/>
          <w:szCs w:val="24"/>
        </w:rPr>
        <w:t xml:space="preserve">1. Longueur du prompt et de la réponse</w:t>
      </w:r>
    </w:p>
    <w:p>
      <w:pPr>
        <w:spacing w:after="100"/>
        <w:jc w:val="both"/>
      </w:pPr>
      <w:r>
        <w:rPr>
          <w:sz w:val="22"/>
          <w:szCs w:val="22"/>
        </w:rPr>
        <w:t xml:space="preserve">Une question courte (10 mots) sur GPT-4 consomme environ 0,3 Wh. La même question avec un document de 100 000 tokens en pièce jointe peut atteindre 40 Wh — soit plus de 130 fois plus. Privilégier les prompts ciblés est le geste éco le plus efficace.</w:t>
      </w:r>
    </w:p>
    <w:p>
      <w:pPr>
        <w:spacing w:after="120" w:before="240"/>
      </w:pPr>
      <w:r>
        <w:rPr>
          <w:b/>
          <w:bCs/>
          <w:color w:val="2E75B6"/>
          <w:sz w:val="24"/>
          <w:szCs w:val="24"/>
        </w:rPr>
        <w:t xml:space="preserve">2. Mode raisonnement</w:t>
      </w:r>
    </w:p>
    <w:p>
      <w:pPr>
        <w:spacing w:after="100"/>
        <w:jc w:val="both"/>
      </w:pPr>
      <w:r>
        <w:rPr>
          <w:sz w:val="22"/>
          <w:szCs w:val="22"/>
        </w:rPr>
        <w:t xml:space="preserve">Les modèles dits « de raisonnement » (o1, o3, Claude avec extended thinking) génèrent un grand nombre de tokens internes invisibles à l'utilisateur. Leur consommation peut être 3 à 10 fois supérieure à un modèle classique pour une même requête. À réserver aux problèmes qui en ont vraiment besoin.</w:t>
      </w:r>
    </w:p>
    <w:p>
      <w:pPr>
        <w:spacing w:after="120" w:before="240"/>
      </w:pPr>
      <w:r>
        <w:rPr>
          <w:b/>
          <w:bCs/>
          <w:color w:val="2E75B6"/>
          <w:sz w:val="24"/>
          <w:szCs w:val="24"/>
        </w:rPr>
        <w:t xml:space="preserve">3. Localisation du datacenter</w:t>
      </w:r>
    </w:p>
    <w:p>
      <w:pPr>
        <w:spacing w:after="100"/>
        <w:jc w:val="both"/>
      </w:pPr>
      <w:r>
        <w:rPr>
          <w:sz w:val="22"/>
          <w:szCs w:val="22"/>
        </w:rPr>
        <w:t xml:space="preserve">Le mix énergétique du pays hébergeant le datacenter influence fortement les émissions de CO₂. En France (énergie majoritairement nucléaire, environ 27 g CO₂/kWh), une même requête émet environ 10 fois moins qu'aux États-Unis (368 g CO₂/kWh en moyenne).</w:t>
      </w:r>
    </w:p>
    <w:p>
      <w:pPr>
        <w:spacing w:after="120" w:before="240"/>
      </w:pPr>
      <w:r>
        <w:rPr>
          <w:b/>
          <w:bCs/>
          <w:color w:val="2E75B6"/>
          <w:sz w:val="24"/>
          <w:szCs w:val="24"/>
        </w:rPr>
        <w:t xml:space="preserve">4. Cloud vs local</w:t>
      </w:r>
    </w:p>
    <w:p>
      <w:pPr>
        <w:spacing w:after="100"/>
        <w:jc w:val="both"/>
      </w:pPr>
      <w:r>
        <w:rPr>
          <w:sz w:val="22"/>
          <w:szCs w:val="22"/>
        </w:rPr>
        <w:t xml:space="preserve">Un modèle exécuté en local sur Mac ou PC évite la consommation du datacenter et du transit réseau, mais ne bénéficie pas des optimisations de scale du cloud. Pour des usages ponctuels, le cloud reste souvent plus efficient. Pour des usages massifs et répétitifs, le local devient avantageux.</w:t>
      </w:r>
    </w:p>
    <w:p>
      <w:pPr>
        <w:spacing w:after="120" w:before="240"/>
      </w:pPr>
      <w:r>
        <w:rPr>
          <w:b/>
          <w:bCs/>
          <w:color w:val="2E75B6"/>
          <w:sz w:val="24"/>
          <w:szCs w:val="24"/>
        </w:rPr>
        <w:t xml:space="preserve">5. Quantization et compression</w:t>
      </w:r>
    </w:p>
    <w:p>
      <w:pPr>
        <w:spacing w:after="100"/>
        <w:jc w:val="both"/>
      </w:pPr>
      <w:r>
        <w:rPr>
          <w:sz w:val="22"/>
          <w:szCs w:val="22"/>
        </w:rPr>
        <w:t xml:space="preserve">La quantization (passage de 16 bits à 4 bits par paramètre) divise la consommation mémoire et énergétique d'un modèle par 3 à 4, avec une perte de qualité souvent négligeable. C'est ce qu'utilisent les SLM en local via llama.cpp ou Ollama.</w:t>
      </w:r>
    </w:p>
    <w:p>
      <w:pPr>
        <w:pStyle w:val="Heading1"/>
        <w:spacing w:after="200" w:before="400"/>
        <w:jc w:val="center"/>
      </w:pPr>
      <w:r>
        <w:rPr>
          <w:b/>
          <w:bCs/>
          <w:color w:val="1F3864"/>
          <w:sz w:val="36"/>
          <w:szCs w:val="36"/>
        </w:rPr>
        <w:t xml:space="preserve">Limites importantes des données</w:t>
      </w:r>
    </w:p>
    <w:p>
      <w:pPr>
        <w:spacing w:after="80"/>
        <w:ind w:left="360" w:hanging="200"/>
      </w:pPr>
      <w:r>
        <w:rPr>
          <w:sz w:val="22"/>
          <w:szCs w:val="22"/>
        </w:rPr>
        <w:t xml:space="preserve">•  </w:t>
      </w:r>
      <w:r>
        <w:rPr>
          <w:b/>
          <w:bCs/>
          <w:i w:val="false"/>
          <w:iCs w:val="false"/>
          <w:sz w:val="22"/>
          <w:szCs w:val="22"/>
        </w:rPr>
        <w:t xml:space="preserve">Données souvent estimées : </w:t>
      </w:r>
      <w:r>
        <w:rPr>
          <w:sz w:val="22"/>
          <w:szCs w:val="22"/>
        </w:rPr>
        <w:t xml:space="preserve">OpenAI, Anthropic et Google publient peu de données précises sur la consommation de leurs modèles. Beaucoup de chiffres sont des estimations indirectes (notamment pour Claude).</w:t>
      </w:r>
    </w:p>
    <w:p>
      <w:pPr>
        <w:spacing w:after="80"/>
        <w:ind w:left="360" w:hanging="200"/>
      </w:pPr>
      <w:r>
        <w:rPr>
          <w:sz w:val="22"/>
          <w:szCs w:val="22"/>
        </w:rPr>
        <w:t xml:space="preserve">•  </w:t>
      </w:r>
      <w:r>
        <w:rPr>
          <w:b/>
          <w:bCs/>
          <w:i w:val="false"/>
          <w:iCs w:val="false"/>
          <w:sz w:val="22"/>
          <w:szCs w:val="22"/>
        </w:rPr>
        <w:t xml:space="preserve">Effet Jevons : </w:t>
      </w:r>
      <w:r>
        <w:rPr>
          <w:sz w:val="22"/>
          <w:szCs w:val="22"/>
        </w:rPr>
        <w:t xml:space="preserve">un modèle plus efficient tend à être utilisé plus souvent, ce qui peut augmenter l'impact agrégé malgré l'amélioration unitaire.</w:t>
      </w:r>
    </w:p>
    <w:p>
      <w:pPr>
        <w:spacing w:after="80"/>
        <w:ind w:left="360" w:hanging="200"/>
      </w:pPr>
      <w:r>
        <w:rPr>
          <w:sz w:val="22"/>
          <w:szCs w:val="22"/>
        </w:rPr>
        <w:t xml:space="preserve">•  </w:t>
      </w:r>
      <w:r>
        <w:rPr>
          <w:b/>
          <w:bCs/>
          <w:i w:val="false"/>
          <w:iCs w:val="false"/>
          <w:sz w:val="22"/>
          <w:szCs w:val="22"/>
        </w:rPr>
        <w:t xml:space="preserve">Entraînement vs inférence : </w:t>
      </w:r>
      <w:r>
        <w:rPr>
          <w:sz w:val="22"/>
          <w:szCs w:val="22"/>
        </w:rPr>
        <w:t xml:space="preserve">ce comparatif porte sur l'usage (inférence). L'entraînement d'un GPT-4 a consommé entre 10 000 et 30 000 MWh — l'équivalent de plusieurs milliers de foyers pendant un an. Ce coût initial est ensuite amorti sur les milliards de requêtes effectuées.</w:t>
      </w:r>
    </w:p>
    <w:p>
      <w:pPr>
        <w:spacing w:after="80"/>
        <w:ind w:left="360" w:hanging="200"/>
      </w:pPr>
      <w:r>
        <w:rPr>
          <w:sz w:val="22"/>
          <w:szCs w:val="22"/>
        </w:rPr>
        <w:t xml:space="preserve">•  </w:t>
      </w:r>
      <w:r>
        <w:rPr>
          <w:b/>
          <w:bCs/>
          <w:i w:val="false"/>
          <w:iCs w:val="false"/>
          <w:sz w:val="22"/>
          <w:szCs w:val="22"/>
        </w:rPr>
        <w:t xml:space="preserve">Compensation carbone : </w:t>
      </w:r>
      <w:r>
        <w:rPr>
          <w:sz w:val="22"/>
          <w:szCs w:val="22"/>
        </w:rPr>
        <w:t xml:space="preserve">certains éditeurs (Anthropic via Google Cloud, Microsoft) compensent les émissions par des crédits carbone et de l'énergie renouvelable, mais la compensation reste imparfaite et controversée.</w:t>
      </w:r>
    </w:p>
    <w:p>
      <w:pPr>
        <w:spacing w:after="80"/>
        <w:ind w:left="360" w:hanging="200"/>
      </w:pPr>
      <w:r>
        <w:rPr>
          <w:sz w:val="22"/>
          <w:szCs w:val="22"/>
        </w:rPr>
        <w:t xml:space="preserve">•  </w:t>
      </w:r>
      <w:r>
        <w:rPr>
          <w:b/>
          <w:bCs/>
          <w:i w:val="false"/>
          <w:iCs w:val="false"/>
          <w:sz w:val="22"/>
          <w:szCs w:val="22"/>
        </w:rPr>
        <w:t xml:space="preserve">Mesures variables : </w:t>
      </w:r>
      <w:r>
        <w:rPr>
          <w:sz w:val="22"/>
          <w:szCs w:val="22"/>
        </w:rPr>
        <w:t xml:space="preserve">les benchmarks comme ML.Energy de l'Université du Michigan offrent des comparaisons fiables sur les modèles open-source, mais ne peuvent pas mesurer précisément les modèles propriétaires fermés.</w:t>
      </w:r>
    </w:p>
    <w:p>
      <w:pPr>
        <w:pStyle w:val="Heading1"/>
        <w:spacing w:after="200" w:before="400"/>
        <w:jc w:val="center"/>
      </w:pPr>
      <w:r>
        <w:rPr>
          <w:b/>
          <w:bCs/>
          <w:color w:val="1F3864"/>
          <w:sz w:val="36"/>
          <w:szCs w:val="36"/>
        </w:rPr>
        <w:t xml:space="preserve">Recommandations pratiques</w:t>
      </w:r>
    </w:p>
    <w:p>
      <w:pPr>
        <w:pStyle w:val="Heading2"/>
        <w:spacing w:after="160" w:before="360"/>
      </w:pPr>
      <w:r>
        <w:rPr>
          <w:b/>
          <w:bCs/>
          <w:color w:val="1F3864"/>
          <w:sz w:val="28"/>
          <w:szCs w:val="28"/>
        </w:rPr>
        <w:t xml:space="preserve">Pour un usage professionnel ESSMS</w:t>
      </w:r>
    </w:p>
    <w:p>
      <w:pPr>
        <w:spacing w:after="120" w:before="240"/>
      </w:pPr>
      <w:r>
        <w:rPr>
          <w:b/>
          <w:bCs/>
          <w:color w:val="2E75B6"/>
          <w:sz w:val="24"/>
          <w:szCs w:val="24"/>
        </w:rPr>
        <w:t xml:space="preserve">Productions finales (documents officiels, formations, QCM, RBPP)</w:t>
      </w:r>
    </w:p>
    <w:p>
      <w:pPr>
        <w:spacing w:after="100"/>
        <w:jc w:val="both"/>
      </w:pPr>
      <w:r>
        <w:rPr>
          <w:sz w:val="22"/>
          <w:szCs w:val="22"/>
        </w:rPr>
        <w:t xml:space="preserve">Privilégier un modèle cloud de pointe (Claude Opus, GPT-4) lorsque la qualité est essentielle. L'enjeu professionnel justifie le coût énergétique pour des productions destinées à publication ou à des établissements.</w:t>
      </w:r>
    </w:p>
    <w:p>
      <w:pPr>
        <w:spacing w:after="120" w:before="240"/>
      </w:pPr>
      <w:r>
        <w:rPr>
          <w:b/>
          <w:bCs/>
          <w:color w:val="2E75B6"/>
          <w:sz w:val="24"/>
          <w:szCs w:val="24"/>
        </w:rPr>
        <w:t xml:space="preserve">Travail intermédiaire et brouillons</w:t>
      </w:r>
    </w:p>
    <w:p>
      <w:pPr>
        <w:spacing w:after="100"/>
        <w:jc w:val="both"/>
      </w:pPr>
      <w:r>
        <w:rPr>
          <w:sz w:val="22"/>
          <w:szCs w:val="22"/>
        </w:rPr>
        <w:t xml:space="preserve">Utiliser un modèle local (Phi-4 Mini, Mistral 7B, Qwen 3B) pour les reformulations rapides, les ébauches, les tests de prompts. Cela divise la consommation par 30 à 100 et conserve les données en local — bonus RGPD pour les informations sensibles du secteur médico-social.</w:t>
      </w:r>
    </w:p>
    <w:p>
      <w:pPr>
        <w:spacing w:after="120" w:before="240"/>
      </w:pPr>
      <w:r>
        <w:rPr>
          <w:b/>
          <w:bCs/>
          <w:color w:val="2E75B6"/>
          <w:sz w:val="24"/>
          <w:szCs w:val="24"/>
        </w:rPr>
        <w:t xml:space="preserve">Données confidentielles (résidents, observations cliniques)</w:t>
      </w:r>
    </w:p>
    <w:p>
      <w:pPr>
        <w:spacing w:after="100"/>
        <w:jc w:val="both"/>
      </w:pPr>
      <w:r>
        <w:rPr>
          <w:sz w:val="22"/>
          <w:szCs w:val="22"/>
        </w:rPr>
        <w:t xml:space="preserve">Toujours privilégier le local. Aucune donnée nominative ne devrait transiter par un cloud externe. Les SLM locaux comme Mistral 7B ou Phi-4 Mini offrent une qualité largement suffisante pour cet usage.</w:t>
      </w:r>
    </w:p>
    <w:p>
      <w:pPr>
        <w:pStyle w:val="Heading2"/>
        <w:spacing w:after="160" w:before="360"/>
      </w:pPr>
      <w:r>
        <w:rPr>
          <w:b/>
          <w:bCs/>
          <w:color w:val="1F3864"/>
          <w:sz w:val="28"/>
          <w:szCs w:val="28"/>
        </w:rPr>
        <w:t xml:space="preserve">Gestes éco simples au quotidien</w:t>
      </w:r>
    </w:p>
    <w:p>
      <w:pPr>
        <w:spacing w:after="80"/>
        <w:ind w:left="360" w:hanging="200"/>
      </w:pPr>
      <w:r>
        <w:rPr>
          <w:sz w:val="22"/>
          <w:szCs w:val="22"/>
        </w:rPr>
        <w:t xml:space="preserve">•  Formuler des prompts courts et ciblés plutôt que joindre de longs documents quand ce n'est pas nécessaire.</w:t>
      </w:r>
    </w:p>
    <w:p>
      <w:pPr>
        <w:spacing w:after="80"/>
        <w:ind w:left="360" w:hanging="200"/>
      </w:pPr>
      <w:r>
        <w:rPr>
          <w:sz w:val="22"/>
          <w:szCs w:val="22"/>
        </w:rPr>
        <w:t xml:space="preserve">•  Utiliser le mode raisonnement uniquement pour les problèmes qui en ont besoin (analyse complexe, mathématiques, code délicat). Pas pour une simple reformulation.</w:t>
      </w:r>
    </w:p>
    <w:p>
      <w:pPr>
        <w:spacing w:after="80"/>
        <w:ind w:left="360" w:hanging="200"/>
      </w:pPr>
      <w:r>
        <w:rPr>
          <w:sz w:val="22"/>
          <w:szCs w:val="22"/>
        </w:rPr>
        <w:t xml:space="preserve">•  Choisir le modèle adapté à la tâche : Haiku/SLM pour les tâches simples, Opus/GPT-5 pour la complexité réelle.</w:t>
      </w:r>
    </w:p>
    <w:p>
      <w:pPr>
        <w:spacing w:after="80"/>
        <w:ind w:left="360" w:hanging="200"/>
      </w:pPr>
      <w:r>
        <w:rPr>
          <w:sz w:val="22"/>
          <w:szCs w:val="22"/>
        </w:rPr>
        <w:t xml:space="preserve">•  Réutiliser et affiner ses prompts plutôt que repartir de zéro à chaque tentative.</w:t>
      </w:r>
    </w:p>
    <w:p>
      <w:pPr>
        <w:spacing w:after="80"/>
        <w:ind w:left="360" w:hanging="200"/>
      </w:pPr>
      <w:r>
        <w:rPr>
          <w:sz w:val="22"/>
          <w:szCs w:val="22"/>
        </w:rPr>
        <w:t xml:space="preserve">•  Pour les tâches répétitives massives, automatiser via une API avec un modèle plus petit plutôt que faire des copier-coller manuels dans une interface chat.</w:t>
      </w:r>
    </w:p>
    <w:p>
      <w:pPr>
        <w:pStyle w:val="Heading1"/>
        <w:spacing w:after="200" w:before="400"/>
        <w:jc w:val="center"/>
      </w:pPr>
      <w:r>
        <w:rPr>
          <w:b/>
          <w:bCs/>
          <w:color w:val="1F3864"/>
          <w:sz w:val="36"/>
          <w:szCs w:val="36"/>
        </w:rPr>
        <w:t xml:space="preserve">Sources principales</w:t>
      </w:r>
    </w:p>
    <w:p>
      <w:pPr>
        <w:spacing w:after="80"/>
        <w:ind w:left="360" w:hanging="200"/>
      </w:pPr>
      <w:r>
        <w:rPr>
          <w:sz w:val="22"/>
          <w:szCs w:val="22"/>
        </w:rPr>
        <w:t xml:space="preserve">•  ML.Energy Leaderboard, Université du Michigan — benchmarks indépendants des modèles open-source.</w:t>
      </w:r>
    </w:p>
    <w:p>
      <w:pPr>
        <w:spacing w:after="80"/>
        <w:ind w:left="360" w:hanging="200"/>
      </w:pPr>
      <w:r>
        <w:rPr>
          <w:sz w:val="22"/>
          <w:szCs w:val="22"/>
        </w:rPr>
        <w:t xml:space="preserve">•  Étude Kennesaw State University (2025) sur l'efficacité énergétique des SLM en edge (Llama 3.2, Phi-3 Mini, TinyLlama, Gemma 2).</w:t>
      </w:r>
    </w:p>
    <w:p>
      <w:pPr>
        <w:spacing w:after="80"/>
        <w:ind w:left="360" w:hanging="200"/>
      </w:pPr>
      <w:r>
        <w:rPr>
          <w:sz w:val="22"/>
          <w:szCs w:val="22"/>
        </w:rPr>
        <w:t xml:space="preserve">•  Audit environnemental de Mistral Large 2 réalisé avec l'ADEME (Agence française de la transition écologique).</w:t>
      </w:r>
    </w:p>
    <w:p>
      <w:pPr>
        <w:spacing w:after="80"/>
        <w:ind w:left="360" w:hanging="200"/>
      </w:pPr>
      <w:r>
        <w:rPr>
          <w:sz w:val="22"/>
          <w:szCs w:val="22"/>
        </w:rPr>
        <w:t xml:space="preserve">•  Article EcoLLM (2025) sur l'empreinte écologique de GPT-4o.</w:t>
      </w:r>
    </w:p>
    <w:p>
      <w:pPr>
        <w:spacing w:after="80"/>
        <w:ind w:left="360" w:hanging="200"/>
      </w:pPr>
      <w:r>
        <w:rPr>
          <w:sz w:val="22"/>
          <w:szCs w:val="22"/>
        </w:rPr>
        <w:t xml:space="preserve">•  Energy Institute Knowledge Hub — How much energy does AI actually consume? (2025).</w:t>
      </w:r>
    </w:p>
    <w:p>
      <w:pPr>
        <w:spacing w:after="80"/>
        <w:ind w:left="360" w:hanging="200"/>
      </w:pPr>
      <w:r>
        <w:rPr>
          <w:sz w:val="22"/>
          <w:szCs w:val="22"/>
        </w:rPr>
        <w:t xml:space="preserve">•  Computer.org — The Sustainable Future of AI Language Models.</w:t>
      </w:r>
    </w:p>
    <w:p>
      <w:pPr>
        <w:spacing w:after="80"/>
        <w:ind w:left="360" w:hanging="200"/>
      </w:pPr>
      <w:r>
        <w:rPr>
          <w:sz w:val="22"/>
          <w:szCs w:val="22"/>
        </w:rPr>
        <w:t xml:space="preserve">•  OpenReview — Energy-Efficient Inference with Small Language Models (2026).</w:t>
      </w:r>
    </w:p>
    <w:p>
      <w:pPr>
        <w:spacing w:before="600"/>
        <w:jc w:val="center"/>
      </w:pPr>
      <w:r>
        <w:rPr>
          <w:i/>
          <w:iCs/>
          <w:color w:val="808080"/>
          <w:sz w:val="20"/>
          <w:szCs w:val="20"/>
        </w:rPr>
        <w:t xml:space="preserve">— Fin du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6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2026-05-03T21:45:55.950Z</dcterms:created>
  <dcterms:modified xsi:type="dcterms:W3CDTF">2026-05-03T21:45:55.967Z</dcterms:modified>
</cp:coreProperties>
</file>

<file path=docProps/custom.xml><?xml version="1.0" encoding="utf-8"?>
<Properties xmlns="http://schemas.openxmlformats.org/officeDocument/2006/custom-properties" xmlns:vt="http://schemas.openxmlformats.org/officeDocument/2006/docPropsVTypes"/>
</file>