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Revenus passifs n°4 — L'économie réelle</w:t>
      </w:r>
    </w:p>
    <w:p>
      <w:pPr>
        <w:spacing w:after="80"/>
        <w:jc w:val="center"/>
      </w:pPr>
      <w:r>
        <w:rPr>
          <w:rFonts w:ascii="Times New Roman" w:cs="Times New Roman" w:eastAsia="Times New Roman" w:hAnsi="Times New Roman"/>
          <w:color w:val="1B3A6B"/>
          <w:sz w:val="24"/>
          <w:szCs w:val="24"/>
        </w:rPr>
        <w:t xml:space="preserve">Coûts cachés · Maintenance · Fiscalité française · Taux d'échec</w:t>
      </w:r>
    </w:p>
    <w:p>
      <w:pPr>
        <w:spacing w:after="80"/>
        <w:jc w:val="center"/>
      </w:pPr>
      <w:r>
        <w:rPr>
          <w:rFonts w:ascii="Times New Roman" w:cs="Times New Roman" w:eastAsia="Times New Roman" w:hAnsi="Times New Roman"/>
          <w:color w:val="1F2937"/>
          <w:sz w:val="22"/>
          <w:szCs w:val="22"/>
        </w:rPr>
        <w:t xml:space="preserve">16 août 2026 — Leçon 4 / 10</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Cadre déontologique</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Cette leçon est ÉDUCATIVE et GÉNÉRALISTE. Elle n'a pas valeur de conseil en investissement ni de recommandation personnalisée.</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Le conseil en investissement financier est une activité réglementée en France (statut CIF, registre ORIAS) : je ne suis pas conseiller agréé.</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Toute décision d'investissement relève de ta propre responsabilité, le cas échéant avec un professionnel agréé.</w:t>
      </w:r>
    </w:p>
    <w:p>
      <w:pPr>
        <w:pBdr>
          <w:left w:val="thick" w:color="D97706" w:sz="12"/>
        </w:pBdr>
        <w:shd w:fill="FFF4E5" w:color="FFF4E5" w:val="solid"/>
        <w:spacing w:after="200"/>
        <w:ind w:left="360" w:right="360"/>
      </w:pPr>
      <w:r>
        <w:rPr>
          <w:rFonts w:ascii="Times New Roman" w:cs="Times New Roman" w:eastAsia="Times New Roman" w:hAnsi="Times New Roman"/>
          <w:color w:val="1F2937"/>
          <w:sz w:val="22"/>
          <w:szCs w:val="22"/>
        </w:rPr>
        <w:t xml:space="preserve">Cette leçon est délibérément axée sur les coûts, les échecs et les arnaques — parce que c'est exactement ce que la plupart des formations payantes minimisent ou dissimulent.</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120"/>
      </w:pPr>
      <w:r>
        <w:rPr>
          <w:rFonts w:ascii="Times New Roman" w:cs="Times New Roman" w:eastAsia="Times New Roman" w:hAnsi="Times New Roman"/>
          <w:b w:val="false"/>
          <w:bCs w:val="false"/>
          <w:color w:val="1F2937"/>
          <w:sz w:val="22"/>
          <w:szCs w:val="22"/>
        </w:rPr>
        <w:t xml:space="preserve">À l'issue de cette leçon, tu seras capable de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Calculer le rendement NET réel d'un modèle passif (après frais, impôts, maintenance)</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Identifier les coûts cachés propres à chaque grande famille de revenus passifs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Appliquer le barème fiscal français sur les revenus du capital et les revenus fonciers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Reconnaître les signaux d'alerte d'une arnaque ciblant les aspirants rentiers</w:t>
      </w:r>
    </w:p>
    <w:p>
      <w:pPr>
        <w:spacing w:after="120"/>
      </w:pPr>
    </w:p>
    <w:p>
      <w:pPr>
        <w:pBdr>
          <w:left w:val="thick" w:color="1B3A6B" w:sz="12"/>
        </w:pBdr>
        <w:shd w:fill="EEF2F7" w:color="EEF2F7" w:val="solid"/>
        <w:spacing w:after="200" w:before="100"/>
        <w:ind w:left="360" w:right="360"/>
      </w:pPr>
      <w:r>
        <w:rPr>
          <w:rFonts w:ascii="Times New Roman" w:cs="Times New Roman" w:eastAsia="Times New Roman" w:hAnsi="Times New Roman"/>
          <w:color w:val="1F2937"/>
          <w:sz w:val="22"/>
          <w:szCs w:val="22"/>
        </w:rPr>
        <w:t xml:space="preserve">Lien avec les leçons précédentes : la leçon 3 a modélisé les trois intrants (capital, temps, compétence) et le point de bascule vers la passivité. Cette leçon 4 applique l'économie réelle à ce modèle : combien ça coûte vraiment, comment c'est taxé, et à quelle fréquence ça échoue. C'est la leçon la plus dérangeante — et probablement la plus utile.</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Théorie (20%) — Ce que les formateurs ne disent pas</w:t>
      </w:r>
    </w:p>
    <w:p>
      <w:pPr>
        <w:pStyle w:val="Heading3"/>
        <w:spacing w:after="80" w:before="200"/>
      </w:pPr>
      <w:r>
        <w:rPr>
          <w:rFonts w:ascii="Times New Roman" w:cs="Times New Roman" w:eastAsia="Times New Roman" w:hAnsi="Times New Roman"/>
          <w:b/>
          <w:bCs/>
          <w:color w:val="1F2937"/>
          <w:sz w:val="26"/>
          <w:szCs w:val="26"/>
        </w:rPr>
        <w:t xml:space="preserve">1. La règle des couches de coûts</w:t>
      </w:r>
    </w:p>
    <w:p>
      <w:pPr>
        <w:spacing w:after="120"/>
      </w:pPr>
      <w:r>
        <w:rPr>
          <w:rFonts w:ascii="Times New Roman" w:cs="Times New Roman" w:eastAsia="Times New Roman" w:hAnsi="Times New Roman"/>
          <w:b w:val="false"/>
          <w:bCs w:val="false"/>
          <w:color w:val="1F2937"/>
          <w:sz w:val="22"/>
          <w:szCs w:val="22"/>
        </w:rPr>
        <w:t xml:space="preserve">Un revenu passif brut traverse systématiquement plusieurs couches de prélèvements avant d'arriver net dans ta poche :</w:t>
      </w:r>
    </w:p>
    <w:p>
      <w:pPr>
        <w:spacing w:after="12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Couche</w:t>
            </w:r>
          </w:p>
        </w:tc>
        <w:tc>
          <w:tcPr>
            <w:shd w:fill="1B3A6B" w:color="1B3A6B" w:val="solid"/>
          </w:tcPr>
          <w:p>
            <w:pPr>
              <w:jc w:val="center"/>
            </w:pPr>
            <w:r>
              <w:rPr>
                <w:rFonts w:ascii="Times New Roman" w:cs="Times New Roman" w:eastAsia="Times New Roman" w:hAnsi="Times New Roman"/>
                <w:b/>
                <w:bCs/>
                <w:color w:val="FFFFFF"/>
                <w:sz w:val="20"/>
                <w:szCs w:val="20"/>
              </w:rPr>
              <w:t xml:space="preserve">Ce qu'elle prend</w:t>
            </w:r>
          </w:p>
        </w:tc>
        <w:tc>
          <w:tcPr>
            <w:shd w:fill="1B3A6B" w:color="1B3A6B" w:val="solid"/>
          </w:tcPr>
          <w:p>
            <w:pPr>
              <w:jc w:val="center"/>
            </w:pPr>
            <w:r>
              <w:rPr>
                <w:rFonts w:ascii="Times New Roman" w:cs="Times New Roman" w:eastAsia="Times New Roman" w:hAnsi="Times New Roman"/>
                <w:b/>
                <w:bCs/>
                <w:color w:val="FFFFFF"/>
                <w:sz w:val="20"/>
                <w:szCs w:val="20"/>
              </w:rPr>
              <w:t xml:space="preserve">Exemple : SCPI à 4,92 % brut (ASPIM 2025)</w:t>
            </w:r>
          </w:p>
        </w:tc>
      </w:tr>
      <w:tr>
        <w:tc>
          <w:tcPr>
            <w:shd w:fill="FFFFFF" w:color="FFFFFF" w:val="solid"/>
          </w:tcPr>
          <w:p>
            <w:r>
              <w:rPr>
                <w:rFonts w:ascii="Times New Roman" w:cs="Times New Roman" w:eastAsia="Times New Roman" w:hAnsi="Times New Roman"/>
                <w:color w:val="1F2937"/>
                <w:sz w:val="20"/>
                <w:szCs w:val="20"/>
              </w:rPr>
              <w:t xml:space="preserve">Frais de souscription</w:t>
            </w:r>
          </w:p>
        </w:tc>
        <w:tc>
          <w:tcPr>
            <w:shd w:fill="FFFFFF" w:color="FFFFFF" w:val="solid"/>
          </w:tcPr>
          <w:p>
            <w:r>
              <w:rPr>
                <w:rFonts w:ascii="Times New Roman" w:cs="Times New Roman" w:eastAsia="Times New Roman" w:hAnsi="Times New Roman"/>
                <w:color w:val="1F2937"/>
                <w:sz w:val="20"/>
                <w:szCs w:val="20"/>
              </w:rPr>
              <w:t xml:space="preserve">5 à 12 % du capital investi (prélevés à l'entrée)</w:t>
            </w:r>
          </w:p>
        </w:tc>
        <w:tc>
          <w:tcPr>
            <w:shd w:fill="FFFFFF" w:color="FFFFFF" w:val="solid"/>
          </w:tcPr>
          <w:p>
            <w:r>
              <w:rPr>
                <w:rFonts w:ascii="Times New Roman" w:cs="Times New Roman" w:eastAsia="Times New Roman" w:hAnsi="Times New Roman"/>
                <w:color w:val="1F2937"/>
                <w:sz w:val="20"/>
                <w:szCs w:val="20"/>
              </w:rPr>
              <w:t xml:space="preserve">−8 % à l'achat → capital utile réduit</w:t>
            </w:r>
          </w:p>
        </w:tc>
      </w:tr>
      <w:tr>
        <w:tc>
          <w:tcPr>
            <w:shd w:fill="EEF2F7" w:color="EEF2F7" w:val="solid"/>
          </w:tcPr>
          <w:p>
            <w:r>
              <w:rPr>
                <w:rFonts w:ascii="Times New Roman" w:cs="Times New Roman" w:eastAsia="Times New Roman" w:hAnsi="Times New Roman"/>
                <w:color w:val="1F2937"/>
                <w:sz w:val="20"/>
                <w:szCs w:val="20"/>
              </w:rPr>
              <w:t xml:space="preserve">Frais de gestion annuels</w:t>
            </w:r>
          </w:p>
        </w:tc>
        <w:tc>
          <w:tcPr>
            <w:shd w:fill="EEF2F7" w:color="EEF2F7" w:val="solid"/>
          </w:tcPr>
          <w:p>
            <w:r>
              <w:rPr>
                <w:rFonts w:ascii="Times New Roman" w:cs="Times New Roman" w:eastAsia="Times New Roman" w:hAnsi="Times New Roman"/>
                <w:color w:val="1F2937"/>
                <w:sz w:val="20"/>
                <w:szCs w:val="20"/>
              </w:rPr>
              <w:t xml:space="preserve">8 à 12 % des loyers perçus</w:t>
            </w:r>
          </w:p>
        </w:tc>
        <w:tc>
          <w:tcPr>
            <w:shd w:fill="EEF2F7" w:color="EEF2F7" w:val="solid"/>
          </w:tcPr>
          <w:p>
            <w:r>
              <w:rPr>
                <w:rFonts w:ascii="Times New Roman" w:cs="Times New Roman" w:eastAsia="Times New Roman" w:hAnsi="Times New Roman"/>
                <w:color w:val="1F2937"/>
                <w:sz w:val="20"/>
                <w:szCs w:val="20"/>
              </w:rPr>
              <w:t xml:space="preserve">−1 % de rendement brut environ</w:t>
            </w:r>
          </w:p>
        </w:tc>
      </w:tr>
      <w:tr>
        <w:tc>
          <w:tcPr>
            <w:shd w:fill="FFFFFF" w:color="FFFFFF" w:val="solid"/>
          </w:tcPr>
          <w:p>
            <w:r>
              <w:rPr>
                <w:rFonts w:ascii="Times New Roman" w:cs="Times New Roman" w:eastAsia="Times New Roman" w:hAnsi="Times New Roman"/>
                <w:color w:val="1F2937"/>
                <w:sz w:val="20"/>
                <w:szCs w:val="20"/>
              </w:rPr>
              <w:t xml:space="preserve">Prélèvements sociaux</w:t>
            </w:r>
          </w:p>
        </w:tc>
        <w:tc>
          <w:tcPr>
            <w:shd w:fill="FFFFFF" w:color="FFFFFF" w:val="solid"/>
          </w:tcPr>
          <w:p>
            <w:r>
              <w:rPr>
                <w:rFonts w:ascii="Times New Roman" w:cs="Times New Roman" w:eastAsia="Times New Roman" w:hAnsi="Times New Roman"/>
                <w:color w:val="1F2937"/>
                <w:sz w:val="20"/>
                <w:szCs w:val="20"/>
              </w:rPr>
              <w:t xml:space="preserve">17,2 % sur les revenus fonciers (taux 2026)</w:t>
            </w:r>
          </w:p>
        </w:tc>
        <w:tc>
          <w:tcPr>
            <w:shd w:fill="FFFFFF" w:color="FFFFFF" w:val="solid"/>
          </w:tcPr>
          <w:p>
            <w:r>
              <w:rPr>
                <w:rFonts w:ascii="Times New Roman" w:cs="Times New Roman" w:eastAsia="Times New Roman" w:hAnsi="Times New Roman"/>
                <w:color w:val="1F2937"/>
                <w:sz w:val="20"/>
                <w:szCs w:val="20"/>
              </w:rPr>
              <w:t xml:space="preserve">−0,84 pt de rendement</w:t>
            </w:r>
          </w:p>
        </w:tc>
      </w:tr>
      <w:tr>
        <w:tc>
          <w:tcPr>
            <w:shd w:fill="EEF2F7" w:color="EEF2F7" w:val="solid"/>
          </w:tcPr>
          <w:p>
            <w:r>
              <w:rPr>
                <w:rFonts w:ascii="Times New Roman" w:cs="Times New Roman" w:eastAsia="Times New Roman" w:hAnsi="Times New Roman"/>
                <w:color w:val="1F2937"/>
                <w:sz w:val="20"/>
                <w:szCs w:val="20"/>
              </w:rPr>
              <w:t xml:space="preserve">Impôt sur le revenu</w:t>
            </w:r>
          </w:p>
        </w:tc>
        <w:tc>
          <w:tcPr>
            <w:shd w:fill="EEF2F7" w:color="EEF2F7" w:val="solid"/>
          </w:tcPr>
          <w:p>
            <w:r>
              <w:rPr>
                <w:rFonts w:ascii="Times New Roman" w:cs="Times New Roman" w:eastAsia="Times New Roman" w:hAnsi="Times New Roman"/>
                <w:color w:val="1F2937"/>
                <w:sz w:val="20"/>
                <w:szCs w:val="20"/>
              </w:rPr>
              <w:t xml:space="preserve">Barème progressif (11 %, 30 %, 41 %…)</w:t>
            </w:r>
          </w:p>
        </w:tc>
        <w:tc>
          <w:tcPr>
            <w:shd w:fill="EEF2F7" w:color="EEF2F7" w:val="solid"/>
          </w:tcPr>
          <w:p>
            <w:r>
              <w:rPr>
                <w:rFonts w:ascii="Times New Roman" w:cs="Times New Roman" w:eastAsia="Times New Roman" w:hAnsi="Times New Roman"/>
                <w:color w:val="1F2937"/>
                <w:sz w:val="20"/>
                <w:szCs w:val="20"/>
              </w:rPr>
              <w:t xml:space="preserve">Variable selon la tranche</w:t>
            </w:r>
          </w:p>
        </w:tc>
      </w:tr>
      <w:tr>
        <w:tc>
          <w:tcPr>
            <w:shd w:fill="FFFFFF" w:color="FFFFFF" w:val="solid"/>
          </w:tcPr>
          <w:p>
            <w:r>
              <w:rPr>
                <w:rFonts w:ascii="Times New Roman" w:cs="Times New Roman" w:eastAsia="Times New Roman" w:hAnsi="Times New Roman"/>
                <w:color w:val="1F2937"/>
                <w:sz w:val="20"/>
                <w:szCs w:val="20"/>
              </w:rPr>
              <w:t xml:space="preserve">Inflation</w:t>
            </w:r>
          </w:p>
        </w:tc>
        <w:tc>
          <w:tcPr>
            <w:shd w:fill="FFFFFF" w:color="FFFFFF" w:val="solid"/>
          </w:tcPr>
          <w:p>
            <w:r>
              <w:rPr>
                <w:rFonts w:ascii="Times New Roman" w:cs="Times New Roman" w:eastAsia="Times New Roman" w:hAnsi="Times New Roman"/>
                <w:color w:val="1F2937"/>
                <w:sz w:val="20"/>
                <w:szCs w:val="20"/>
              </w:rPr>
              <w:t xml:space="preserve">Érosion du pouvoir d'achat du capital</w:t>
            </w:r>
          </w:p>
        </w:tc>
        <w:tc>
          <w:tcPr>
            <w:shd w:fill="FFFFFF" w:color="FFFFFF" w:val="solid"/>
          </w:tcPr>
          <w:p>
            <w:r>
              <w:rPr>
                <w:rFonts w:ascii="Times New Roman" w:cs="Times New Roman" w:eastAsia="Times New Roman" w:hAnsi="Times New Roman"/>
                <w:color w:val="1F2937"/>
                <w:sz w:val="20"/>
                <w:szCs w:val="20"/>
              </w:rPr>
              <w:t xml:space="preserve">Non visible, non chiffrée dans les plaquettes</w:t>
            </w:r>
          </w:p>
        </w:tc>
      </w:tr>
    </w:tbl>
    <w:p>
      <w:pPr>
        <w:spacing w:after="120"/>
      </w:pPr>
    </w:p>
    <w:p>
      <w:pPr>
        <w:spacing w:after="120"/>
      </w:pPr>
      <w:r>
        <w:rPr>
          <w:rFonts w:ascii="Times New Roman" w:cs="Times New Roman" w:eastAsia="Times New Roman" w:hAnsi="Times New Roman"/>
          <w:b w:val="false"/>
          <w:bCs w:val="false"/>
          <w:color w:val="1F2937"/>
          <w:sz w:val="22"/>
          <w:szCs w:val="22"/>
        </w:rPr>
        <w:t xml:space="preserve">Le taux de distribution SCPI 2025 (source : ASPIM, communiqué Q1 2026) est de 4,92 % brut. Après frais de gestion (~1 %), prélèvements sociaux (17,2 % sur les revenus fonciers en 2026 — voir section fiscalité), et impôt sur le revenu à 30 % par exemple, le rendement net tombe autour de 2 % à 2,5 %. Ce n'est pas nul — mais c'est très différent du 4,92 % affiché.</w:t>
      </w:r>
    </w:p>
    <w:p>
      <w:pPr>
        <w:spacing w:after="120"/>
      </w:pPr>
    </w:p>
    <w:p>
      <w:pPr>
        <w:pStyle w:val="Heading3"/>
        <w:spacing w:after="80" w:before="200"/>
      </w:pPr>
      <w:r>
        <w:rPr>
          <w:rFonts w:ascii="Times New Roman" w:cs="Times New Roman" w:eastAsia="Times New Roman" w:hAnsi="Times New Roman"/>
          <w:b/>
          <w:bCs/>
          <w:color w:val="1F2937"/>
          <w:sz w:val="26"/>
          <w:szCs w:val="26"/>
        </w:rPr>
        <w:t xml:space="preserve">2. La fiscalité française des revenus passifs en 2026</w:t>
      </w:r>
    </w:p>
    <w:p>
      <w:pPr>
        <w:spacing w:after="120"/>
      </w:pPr>
      <w:r>
        <w:rPr>
          <w:rFonts w:ascii="Times New Roman" w:cs="Times New Roman" w:eastAsia="Times New Roman" w:hAnsi="Times New Roman"/>
          <w:b w:val="false"/>
          <w:bCs w:val="false"/>
          <w:color w:val="1F2937"/>
          <w:sz w:val="22"/>
          <w:szCs w:val="22"/>
        </w:rPr>
        <w:t xml:space="preserve">Les revenus passifs ne sont pas tous taxés de la même façon. Il existe deux grands régimes, plus des cas particuliers.</w:t>
      </w:r>
    </w:p>
    <w:p>
      <w:pPr>
        <w:spacing w:after="120"/>
      </w:pPr>
    </w:p>
    <w:p>
      <w:pPr>
        <w:spacing w:after="120"/>
      </w:pPr>
      <w:r>
        <w:rPr>
          <w:rFonts w:ascii="Times New Roman" w:cs="Times New Roman" w:eastAsia="Times New Roman" w:hAnsi="Times New Roman"/>
          <w:b/>
          <w:bCs/>
          <w:color w:val="1F2937"/>
          <w:sz w:val="22"/>
          <w:szCs w:val="22"/>
        </w:rPr>
        <w:t xml:space="preserve">A. Revenus de placements financiers (dividendes, intérêts, plus-values mobilières)</w:t>
      </w:r>
    </w:p>
    <w:p>
      <w:pPr>
        <w:spacing w:after="120"/>
      </w:pPr>
      <w:r>
        <w:rPr>
          <w:rFonts w:ascii="Times New Roman" w:cs="Times New Roman" w:eastAsia="Times New Roman" w:hAnsi="Times New Roman"/>
          <w:b w:val="false"/>
          <w:bCs w:val="false"/>
          <w:color w:val="1F2937"/>
          <w:sz w:val="22"/>
          <w:szCs w:val="22"/>
        </w:rPr>
        <w:t xml:space="preserve">Source : service-public.gouv.fr, fiche F34913, consultée le 16/08/2026 :</w:t>
      </w:r>
    </w:p>
    <w:p>
      <w:pPr>
        <w:spacing w:after="120"/>
      </w:pPr>
      <w:r>
        <w:rPr>
          <w:rFonts w:ascii="Times New Roman" w:cs="Times New Roman" w:eastAsia="Times New Roman" w:hAnsi="Times New Roman"/>
          <w:b w:val="false"/>
          <w:bCs w:val="false"/>
          <w:color w:val="1F2937"/>
          <w:sz w:val="22"/>
          <w:szCs w:val="22"/>
        </w:rPr>
        <w:t xml:space="preserve">Le Prélèvement Forfaitaire Unique (PFU) est composé de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12,8 % d'impôt sur le revenu</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18,6 % de prélèvements sociaux (taux en vigueur depuis le 1er janvier 2026)</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Soit un taux global de 31,4 %</w:t>
      </w:r>
    </w:p>
    <w:p>
      <w:pPr>
        <w:spacing w:after="120"/>
      </w:pPr>
      <w:r>
        <w:rPr>
          <w:rFonts w:ascii="Times New Roman" w:cs="Times New Roman" w:eastAsia="Times New Roman" w:hAnsi="Times New Roman"/>
          <w:b w:val="false"/>
          <w:bCs w:val="false"/>
          <w:color w:val="1F2937"/>
          <w:sz w:val="22"/>
          <w:szCs w:val="22"/>
        </w:rPr>
        <w:t xml:space="preserve">Option alternative : le barème progressif de l'IR, qui peut être plus favorable si l'on est non imposable ou dans la tranche à 11 %.</w:t>
      </w:r>
    </w:p>
    <w:p>
      <w:pPr>
        <w:spacing w:after="120"/>
      </w:pPr>
    </w:p>
    <w:p>
      <w:pPr>
        <w:spacing w:after="120"/>
      </w:pPr>
      <w:r>
        <w:rPr>
          <w:rFonts w:ascii="Times New Roman" w:cs="Times New Roman" w:eastAsia="Times New Roman" w:hAnsi="Times New Roman"/>
          <w:b/>
          <w:bCs/>
          <w:color w:val="1F2937"/>
          <w:sz w:val="22"/>
          <w:szCs w:val="22"/>
        </w:rPr>
        <w:t xml:space="preserve">B. Prélèvements sociaux — taux par type de produit (2026)</w:t>
      </w:r>
    </w:p>
    <w:p>
      <w:pPr>
        <w:spacing w:after="120"/>
      </w:pPr>
      <w:r>
        <w:rPr>
          <w:rFonts w:ascii="Times New Roman" w:cs="Times New Roman" w:eastAsia="Times New Roman" w:hAnsi="Times New Roman"/>
          <w:b w:val="false"/>
          <w:bCs w:val="false"/>
          <w:color w:val="1F2937"/>
          <w:sz w:val="22"/>
          <w:szCs w:val="22"/>
        </w:rPr>
        <w:t xml:space="preserve">Source : service-public.gouv.fr, fiche F2329 sur les prélèvements sociaux, consultée le 16/08/2026. Deux taux coexistent :</w:t>
      </w:r>
    </w:p>
    <w:p>
      <w:pPr>
        <w:spacing w:after="12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Produit</w:t>
            </w:r>
          </w:p>
        </w:tc>
        <w:tc>
          <w:tcPr>
            <w:shd w:fill="1B3A6B" w:color="1B3A6B" w:val="solid"/>
          </w:tcPr>
          <w:p>
            <w:pPr>
              <w:jc w:val="center"/>
            </w:pPr>
            <w:r>
              <w:rPr>
                <w:rFonts w:ascii="Times New Roman" w:cs="Times New Roman" w:eastAsia="Times New Roman" w:hAnsi="Times New Roman"/>
                <w:b/>
                <w:bCs/>
                <w:color w:val="FFFFFF"/>
                <w:sz w:val="20"/>
                <w:szCs w:val="20"/>
              </w:rPr>
              <w:t xml:space="preserve">Taux prélèvements sociaux 2026</w:t>
            </w:r>
          </w:p>
        </w:tc>
        <w:tc>
          <w:tcPr>
            <w:shd w:fill="1B3A6B" w:color="1B3A6B" w:val="solid"/>
          </w:tcPr>
          <w:p>
            <w:pPr>
              <w:jc w:val="center"/>
            </w:pPr>
            <w:r>
              <w:rPr>
                <w:rFonts w:ascii="Times New Roman" w:cs="Times New Roman" w:eastAsia="Times New Roman" w:hAnsi="Times New Roman"/>
                <w:b/>
                <w:bCs/>
                <w:color w:val="FFFFFF"/>
                <w:sz w:val="20"/>
                <w:szCs w:val="20"/>
              </w:rPr>
              <w:t xml:space="preserve">Composition</w:t>
            </w:r>
          </w:p>
        </w:tc>
      </w:tr>
      <w:tr>
        <w:tc>
          <w:tcPr>
            <w:shd w:fill="FFFFFF" w:color="FFFFFF" w:val="solid"/>
          </w:tcPr>
          <w:p>
            <w:r>
              <w:rPr>
                <w:rFonts w:ascii="Times New Roman" w:cs="Times New Roman" w:eastAsia="Times New Roman" w:hAnsi="Times New Roman"/>
                <w:color w:val="1F2937"/>
                <w:sz w:val="20"/>
                <w:szCs w:val="20"/>
              </w:rPr>
              <w:t xml:space="preserve">Dividendes, intérêts (taux général)</w:t>
            </w:r>
          </w:p>
        </w:tc>
        <w:tc>
          <w:tcPr>
            <w:shd w:fill="FFFFFF" w:color="FFFFFF" w:val="solid"/>
          </w:tcPr>
          <w:p>
            <w:r>
              <w:rPr>
                <w:rFonts w:ascii="Times New Roman" w:cs="Times New Roman" w:eastAsia="Times New Roman" w:hAnsi="Times New Roman"/>
                <w:color w:val="1F2937"/>
                <w:sz w:val="20"/>
                <w:szCs w:val="20"/>
              </w:rPr>
              <w:t xml:space="preserve">18,6 %</w:t>
            </w:r>
          </w:p>
        </w:tc>
        <w:tc>
          <w:tcPr>
            <w:shd w:fill="FFFFFF" w:color="FFFFFF" w:val="solid"/>
          </w:tcPr>
          <w:p>
            <w:r>
              <w:rPr>
                <w:rFonts w:ascii="Times New Roman" w:cs="Times New Roman" w:eastAsia="Times New Roman" w:hAnsi="Times New Roman"/>
                <w:color w:val="1F2937"/>
                <w:sz w:val="20"/>
                <w:szCs w:val="20"/>
              </w:rPr>
              <w:t xml:space="preserve">CSG 10,6 % + CRDS 0,5 % + solidarité 7,5 %</w:t>
            </w:r>
          </w:p>
        </w:tc>
      </w:tr>
      <w:tr>
        <w:tc>
          <w:tcPr>
            <w:shd w:fill="EEF2F7" w:color="EEF2F7" w:val="solid"/>
          </w:tcPr>
          <w:p>
            <w:r>
              <w:rPr>
                <w:rFonts w:ascii="Times New Roman" w:cs="Times New Roman" w:eastAsia="Times New Roman" w:hAnsi="Times New Roman"/>
                <w:color w:val="1F2937"/>
                <w:sz w:val="20"/>
                <w:szCs w:val="20"/>
              </w:rPr>
              <w:t xml:space="preserve">Revenus fonciers (loyers)</w:t>
            </w:r>
          </w:p>
        </w:tc>
        <w:tc>
          <w:tcPr>
            <w:shd w:fill="EEF2F7" w:color="EEF2F7" w:val="solid"/>
          </w:tcPr>
          <w:p>
            <w:r>
              <w:rPr>
                <w:rFonts w:ascii="Times New Roman" w:cs="Times New Roman" w:eastAsia="Times New Roman" w:hAnsi="Times New Roman"/>
                <w:color w:val="1F2937"/>
                <w:sz w:val="20"/>
                <w:szCs w:val="20"/>
              </w:rPr>
              <w:t xml:space="preserve">17,2 %</w:t>
            </w:r>
          </w:p>
        </w:tc>
        <w:tc>
          <w:tcPr>
            <w:shd w:fill="EEF2F7" w:color="EEF2F7" w:val="solid"/>
          </w:tcPr>
          <w:p>
            <w:r>
              <w:rPr>
                <w:rFonts w:ascii="Times New Roman" w:cs="Times New Roman" w:eastAsia="Times New Roman" w:hAnsi="Times New Roman"/>
                <w:color w:val="1F2937"/>
                <w:sz w:val="20"/>
                <w:szCs w:val="20"/>
              </w:rPr>
              <w:t xml:space="preserve">CSG 9,2 % + CRDS 0,5 % + solidarité 7,5 %</w:t>
            </w:r>
          </w:p>
        </w:tc>
      </w:tr>
      <w:tr>
        <w:tc>
          <w:tcPr>
            <w:shd w:fill="FFFFFF" w:color="FFFFFF" w:val="solid"/>
          </w:tcPr>
          <w:p>
            <w:r>
              <w:rPr>
                <w:rFonts w:ascii="Times New Roman" w:cs="Times New Roman" w:eastAsia="Times New Roman" w:hAnsi="Times New Roman"/>
                <w:color w:val="1F2937"/>
                <w:sz w:val="20"/>
                <w:szCs w:val="20"/>
              </w:rPr>
              <w:t xml:space="preserve">Plus-values immobilières</w:t>
            </w:r>
          </w:p>
        </w:tc>
        <w:tc>
          <w:tcPr>
            <w:shd w:fill="FFFFFF" w:color="FFFFFF" w:val="solid"/>
          </w:tcPr>
          <w:p>
            <w:r>
              <w:rPr>
                <w:rFonts w:ascii="Times New Roman" w:cs="Times New Roman" w:eastAsia="Times New Roman" w:hAnsi="Times New Roman"/>
                <w:color w:val="1F2937"/>
                <w:sz w:val="20"/>
                <w:szCs w:val="20"/>
              </w:rPr>
              <w:t xml:space="preserve">17,2 %</w:t>
            </w:r>
          </w:p>
        </w:tc>
        <w:tc>
          <w:tcPr>
            <w:shd w:fill="FFFFFF" w:color="FFFFFF" w:val="solid"/>
          </w:tcPr>
          <w:p>
            <w:r>
              <w:rPr>
                <w:rFonts w:ascii="Times New Roman" w:cs="Times New Roman" w:eastAsia="Times New Roman" w:hAnsi="Times New Roman"/>
                <w:color w:val="1F2937"/>
                <w:sz w:val="20"/>
                <w:szCs w:val="20"/>
              </w:rPr>
              <w:t xml:space="preserve">Idem</w:t>
            </w:r>
          </w:p>
        </w:tc>
      </w:tr>
      <w:tr>
        <w:tc>
          <w:tcPr>
            <w:shd w:fill="EEF2F7" w:color="EEF2F7" w:val="solid"/>
          </w:tcPr>
          <w:p>
            <w:r>
              <w:rPr>
                <w:rFonts w:ascii="Times New Roman" w:cs="Times New Roman" w:eastAsia="Times New Roman" w:hAnsi="Times New Roman"/>
                <w:color w:val="1F2937"/>
                <w:sz w:val="20"/>
                <w:szCs w:val="20"/>
              </w:rPr>
              <w:t xml:space="preserve">Assurance-vie, contrats de capitalisation</w:t>
            </w:r>
          </w:p>
        </w:tc>
        <w:tc>
          <w:tcPr>
            <w:shd w:fill="EEF2F7" w:color="EEF2F7" w:val="solid"/>
          </w:tcPr>
          <w:p>
            <w:r>
              <w:rPr>
                <w:rFonts w:ascii="Times New Roman" w:cs="Times New Roman" w:eastAsia="Times New Roman" w:hAnsi="Times New Roman"/>
                <w:color w:val="1F2937"/>
                <w:sz w:val="20"/>
                <w:szCs w:val="20"/>
              </w:rPr>
              <w:t xml:space="preserve">17,2 %</w:t>
            </w:r>
          </w:p>
        </w:tc>
        <w:tc>
          <w:tcPr>
            <w:shd w:fill="EEF2F7" w:color="EEF2F7" w:val="solid"/>
          </w:tcPr>
          <w:p>
            <w:r>
              <w:rPr>
                <w:rFonts w:ascii="Times New Roman" w:cs="Times New Roman" w:eastAsia="Times New Roman" w:hAnsi="Times New Roman"/>
                <w:color w:val="1F2937"/>
                <w:sz w:val="20"/>
                <w:szCs w:val="20"/>
              </w:rPr>
              <w:t xml:space="preserve">Idem</w:t>
            </w:r>
          </w:p>
        </w:tc>
      </w:tr>
      <w:tr>
        <w:tc>
          <w:tcPr>
            <w:shd w:fill="FFFFFF" w:color="FFFFFF" w:val="solid"/>
          </w:tcPr>
          <w:p>
            <w:r>
              <w:rPr>
                <w:rFonts w:ascii="Times New Roman" w:cs="Times New Roman" w:eastAsia="Times New Roman" w:hAnsi="Times New Roman"/>
                <w:color w:val="1F2937"/>
                <w:sz w:val="20"/>
                <w:szCs w:val="20"/>
              </w:rPr>
              <w:t xml:space="preserve">PEL, CEL (ouverts avant 2018), PEP</w:t>
            </w:r>
          </w:p>
        </w:tc>
        <w:tc>
          <w:tcPr>
            <w:shd w:fill="FFFFFF" w:color="FFFFFF" w:val="solid"/>
          </w:tcPr>
          <w:p>
            <w:r>
              <w:rPr>
                <w:rFonts w:ascii="Times New Roman" w:cs="Times New Roman" w:eastAsia="Times New Roman" w:hAnsi="Times New Roman"/>
                <w:color w:val="1F2937"/>
                <w:sz w:val="20"/>
                <w:szCs w:val="20"/>
              </w:rPr>
              <w:t xml:space="preserve">17,2 %</w:t>
            </w:r>
          </w:p>
        </w:tc>
        <w:tc>
          <w:tcPr>
            <w:shd w:fill="FFFFFF" w:color="FFFFFF" w:val="solid"/>
          </w:tcPr>
          <w:p>
            <w:r>
              <w:rPr>
                <w:rFonts w:ascii="Times New Roman" w:cs="Times New Roman" w:eastAsia="Times New Roman" w:hAnsi="Times New Roman"/>
                <w:color w:val="1F2937"/>
                <w:sz w:val="20"/>
                <w:szCs w:val="20"/>
              </w:rPr>
              <w:t xml:space="preserve">Idem</w:t>
            </w:r>
          </w:p>
        </w:tc>
      </w:tr>
      <w:tr>
        <w:tc>
          <w:tcPr>
            <w:shd w:fill="EEF2F7" w:color="EEF2F7" w:val="solid"/>
          </w:tcPr>
          <w:p>
            <w:r>
              <w:rPr>
                <w:rFonts w:ascii="Times New Roman" w:cs="Times New Roman" w:eastAsia="Times New Roman" w:hAnsi="Times New Roman"/>
                <w:color w:val="1F2937"/>
                <w:sz w:val="20"/>
                <w:szCs w:val="20"/>
              </w:rPr>
              <w:t xml:space="preserve">Livret A, LDDS, LEP, Livret Jeune, PEAC</w:t>
            </w:r>
          </w:p>
        </w:tc>
        <w:tc>
          <w:tcPr>
            <w:shd w:fill="EEF2F7" w:color="EEF2F7" w:val="solid"/>
          </w:tcPr>
          <w:p>
            <w:r>
              <w:rPr>
                <w:rFonts w:ascii="Times New Roman" w:cs="Times New Roman" w:eastAsia="Times New Roman" w:hAnsi="Times New Roman"/>
                <w:color w:val="1F2937"/>
                <w:sz w:val="20"/>
                <w:szCs w:val="20"/>
              </w:rPr>
              <w:t xml:space="preserve">0 %</w:t>
            </w:r>
          </w:p>
        </w:tc>
        <w:tc>
          <w:tcPr>
            <w:shd w:fill="EEF2F7" w:color="EEF2F7" w:val="solid"/>
          </w:tcPr>
          <w:p>
            <w:r>
              <w:rPr>
                <w:rFonts w:ascii="Times New Roman" w:cs="Times New Roman" w:eastAsia="Times New Roman" w:hAnsi="Times New Roman"/>
                <w:color w:val="1F2937"/>
                <w:sz w:val="20"/>
                <w:szCs w:val="20"/>
              </w:rPr>
              <w:t xml:space="preserve">Exonérés de prélèvements sociaux</w:t>
            </w:r>
          </w:p>
        </w:tc>
      </w:tr>
    </w:tbl>
    <w:p>
      <w:pPr>
        <w:spacing w:after="120"/>
      </w:pPr>
    </w:p>
    <w:p>
      <w:pPr>
        <w:pBdr>
          <w:left w:val="thick" w:color="D97706" w:sz="12"/>
        </w:pBdr>
        <w:shd w:fill="FFF4E5" w:color="FFF4E5" w:val="solid"/>
        <w:spacing w:after="200"/>
        <w:ind w:left="360" w:right="360"/>
      </w:pPr>
      <w:r>
        <w:rPr>
          <w:rFonts w:ascii="Times New Roman" w:cs="Times New Roman" w:eastAsia="Times New Roman" w:hAnsi="Times New Roman"/>
          <w:color w:val="1F2937"/>
          <w:sz w:val="22"/>
          <w:szCs w:val="22"/>
        </w:rPr>
        <w:t xml:space="preserve">⚠️ PIÈGE : La hausse des prélèvements sociaux de 17,2 % à 18,6 % au 01/01/2026 ne s'applique PAS à tous les produits. L'assurance-vie, les revenus fonciers, les PEL/CEL et le PEP conservent 17,2 %. Appliquer 18,6 % à l'assurance-vie est une erreur fréquente — et qui change le calcul réel.</w:t>
      </w:r>
    </w:p>
    <w:p>
      <w:pPr>
        <w:spacing w:after="120"/>
      </w:pPr>
    </w:p>
    <w:p>
      <w:pPr>
        <w:spacing w:after="120"/>
      </w:pPr>
      <w:r>
        <w:rPr>
          <w:rFonts w:ascii="Times New Roman" w:cs="Times New Roman" w:eastAsia="Times New Roman" w:hAnsi="Times New Roman"/>
          <w:b/>
          <w:bCs/>
          <w:color w:val="1F2937"/>
          <w:sz w:val="22"/>
          <w:szCs w:val="22"/>
        </w:rPr>
        <w:t xml:space="preserve">C. Revenus fonciers (loyers)</w:t>
      </w:r>
    </w:p>
    <w:p>
      <w:pPr>
        <w:spacing w:after="120"/>
      </w:pPr>
      <w:r>
        <w:rPr>
          <w:rFonts w:ascii="Times New Roman" w:cs="Times New Roman" w:eastAsia="Times New Roman" w:hAnsi="Times New Roman"/>
          <w:b w:val="false"/>
          <w:bCs w:val="false"/>
          <w:color w:val="1F2937"/>
          <w:sz w:val="22"/>
          <w:szCs w:val="22"/>
        </w:rPr>
        <w:t xml:space="preserve">Source : service-public.gouv.fr, fiche F1991, consultée le 16/08/2026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Micro-foncier (revenus &lt; 15 000 €/an) : abattement forfaitaire de 30 % sur les loyers bruts. Seuls 70 % des loyers sont imposés, au barème progressif de l'IR + 17,2 % de prélèvements sociaux.</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Régime réel (revenus ≥ 15 000 € ou option volontaire) : déduction des charges réelles (intérêts d'emprunt, travaux, assurances, frais de gestion, taxe foncière…)</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Déficit foncier : jusqu'à 10 700 € imputables sur le revenu global par an ; excédent reportable 6 ans sur les revenus fonciers.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Déficit lié aux travaux de rénovation énergétique : plafond relevé à 21 400 € jusqu'au 31/12/2027.</w:t>
      </w:r>
    </w:p>
    <w:p>
      <w:pPr>
        <w:spacing w:after="120"/>
      </w:pPr>
    </w:p>
    <w:p>
      <w:pPr>
        <w:spacing w:after="120"/>
      </w:pPr>
      <w:r>
        <w:rPr>
          <w:rFonts w:ascii="Times New Roman" w:cs="Times New Roman" w:eastAsia="Times New Roman" w:hAnsi="Times New Roman"/>
          <w:b/>
          <w:bCs/>
          <w:color w:val="1F2937"/>
          <w:sz w:val="22"/>
          <w:szCs w:val="22"/>
        </w:rPr>
        <w:t xml:space="preserve">D. Micro-entrepreneur (revenus d'activité à l'origine d'un flux passif)</w:t>
      </w:r>
    </w:p>
    <w:p>
      <w:pPr>
        <w:spacing w:after="120"/>
      </w:pPr>
      <w:r>
        <w:rPr>
          <w:rFonts w:ascii="Times New Roman" w:cs="Times New Roman" w:eastAsia="Times New Roman" w:hAnsi="Times New Roman"/>
          <w:b w:val="false"/>
          <w:bCs w:val="false"/>
          <w:color w:val="1F2937"/>
          <w:sz w:val="22"/>
          <w:szCs w:val="22"/>
        </w:rPr>
        <w:t xml:space="preserve">Les modèles numériques (ebook, formation en ligne, affiliation) impliquent souvent un statut de micro-entrepreneur. Cotisations sociales 2026 (source : autoentrepreneur.urssaf.fr — ⛔ site inaccessible lors de cette exécution ; données issues d'un résultat de recherche sur urssaf.fr, à vérifier directement sur autoentrepreneur.urssaf.fr)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Vente de marchandises (BIC) : 21,2 % du chiffre d'affaires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Prestation de services commerciaux ou artisanaux (BIC) : taux modifié au 1er janvier 2026 — « Autre prestation de services » à 25,6 % selon le communiqué urssaf.fr</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Professions libérales (BNC) : se référer directement à autoentrepreneur.urssaf.fr pour le taux 2026 exact</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 RAPPEL : les taux de cotisations sociales du micro-entrepreneur portent sur le CHIFFRE D'AFFAIRES, pas sur le bénéfice. Si tu vends un ebook 10 €, tu paies des cotisations sur ces 10 €, que tu aies ou non dépensé 8 € pour le produire. Ce mécanisme pénalise les modèles à faible marge.</w:t>
      </w:r>
    </w:p>
    <w:p>
      <w:pPr>
        <w:pBdr>
          <w:left w:val="thick" w:color="D97706" w:sz="12"/>
        </w:pBdr>
        <w:shd w:fill="FFF4E5" w:color="FFF4E5" w:val="solid"/>
        <w:spacing w:after="200"/>
        <w:ind w:left="360" w:right="360"/>
      </w:pPr>
      <w:r>
        <w:rPr>
          <w:rFonts w:ascii="Times New Roman" w:cs="Times New Roman" w:eastAsia="Times New Roman" w:hAnsi="Times New Roman"/>
          <w:color w:val="1F2937"/>
          <w:sz w:val="22"/>
          <w:szCs w:val="22"/>
        </w:rPr>
        <w:t xml:space="preserve">⚠️ Seuils de CA du micro-entrepreneur : modifiés en 2026. Consulte autoentrepreneur.urssaf.fr — site inaccessible lors de cette exécution.</w:t>
      </w:r>
    </w:p>
    <w:p>
      <w:pPr>
        <w:spacing w:after="120"/>
      </w:pPr>
    </w:p>
    <w:p>
      <w:pPr>
        <w:pStyle w:val="Heading3"/>
        <w:spacing w:after="80" w:before="200"/>
      </w:pPr>
      <w:r>
        <w:rPr>
          <w:rFonts w:ascii="Times New Roman" w:cs="Times New Roman" w:eastAsia="Times New Roman" w:hAnsi="Times New Roman"/>
          <w:b/>
          <w:bCs/>
          <w:color w:val="1F2937"/>
          <w:sz w:val="26"/>
          <w:szCs w:val="26"/>
        </w:rPr>
        <w:t xml:space="preserve">3. Les coûts cachés par famille de modèles</w:t>
      </w:r>
    </w:p>
    <w:p>
      <w:pPr>
        <w:spacing w:after="12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Modèle</w:t>
            </w:r>
          </w:p>
        </w:tc>
        <w:tc>
          <w:tcPr>
            <w:shd w:fill="1B3A6B" w:color="1B3A6B" w:val="solid"/>
          </w:tcPr>
          <w:p>
            <w:pPr>
              <w:jc w:val="center"/>
            </w:pPr>
            <w:r>
              <w:rPr>
                <w:rFonts w:ascii="Times New Roman" w:cs="Times New Roman" w:eastAsia="Times New Roman" w:hAnsi="Times New Roman"/>
                <w:b/>
                <w:bCs/>
                <w:color w:val="FFFFFF"/>
                <w:sz w:val="20"/>
                <w:szCs w:val="20"/>
              </w:rPr>
              <w:t xml:space="preserve">Coût visible</w:t>
            </w:r>
          </w:p>
        </w:tc>
        <w:tc>
          <w:tcPr>
            <w:shd w:fill="1B3A6B" w:color="1B3A6B" w:val="solid"/>
          </w:tcPr>
          <w:p>
            <w:pPr>
              <w:jc w:val="center"/>
            </w:pPr>
            <w:r>
              <w:rPr>
                <w:rFonts w:ascii="Times New Roman" w:cs="Times New Roman" w:eastAsia="Times New Roman" w:hAnsi="Times New Roman"/>
                <w:b/>
                <w:bCs/>
                <w:color w:val="FFFFFF"/>
                <w:sz w:val="20"/>
                <w:szCs w:val="20"/>
              </w:rPr>
              <w:t xml:space="preserve">Coûts cachés fréquents</w:t>
            </w:r>
          </w:p>
        </w:tc>
        <w:tc>
          <w:tcPr>
            <w:shd w:fill="1B3A6B" w:color="1B3A6B" w:val="solid"/>
          </w:tcPr>
          <w:p>
            <w:pPr>
              <w:jc w:val="center"/>
            </w:pPr>
            <w:r>
              <w:rPr>
                <w:rFonts w:ascii="Times New Roman" w:cs="Times New Roman" w:eastAsia="Times New Roman" w:hAnsi="Times New Roman"/>
                <w:b/>
                <w:bCs/>
                <w:color w:val="FFFFFF"/>
                <w:sz w:val="20"/>
                <w:szCs w:val="20"/>
              </w:rPr>
              <w:t xml:space="preserve">Maintenance réelle</w:t>
            </w:r>
          </w:p>
        </w:tc>
      </w:tr>
      <w:tr>
        <w:tc>
          <w:tcPr>
            <w:shd w:fill="FFFFFF" w:color="FFFFFF" w:val="solid"/>
          </w:tcPr>
          <w:p>
            <w:r>
              <w:rPr>
                <w:rFonts w:ascii="Times New Roman" w:cs="Times New Roman" w:eastAsia="Times New Roman" w:hAnsi="Times New Roman"/>
                <w:color w:val="1F2937"/>
                <w:sz w:val="20"/>
                <w:szCs w:val="20"/>
              </w:rPr>
              <w:t xml:space="preserve">SCPI / Pierre-papier</w:t>
            </w:r>
          </w:p>
        </w:tc>
        <w:tc>
          <w:tcPr>
            <w:shd w:fill="FFFFFF" w:color="FFFFFF" w:val="solid"/>
          </w:tcPr>
          <w:p>
            <w:r>
              <w:rPr>
                <w:rFonts w:ascii="Times New Roman" w:cs="Times New Roman" w:eastAsia="Times New Roman" w:hAnsi="Times New Roman"/>
                <w:color w:val="1F2937"/>
                <w:sz w:val="20"/>
                <w:szCs w:val="20"/>
              </w:rPr>
              <w:t xml:space="preserve">Frais de souscription 5–12 %</w:t>
            </w:r>
          </w:p>
        </w:tc>
        <w:tc>
          <w:tcPr>
            <w:shd w:fill="FFFFFF" w:color="FFFFFF" w:val="solid"/>
          </w:tcPr>
          <w:p>
            <w:r>
              <w:rPr>
                <w:rFonts w:ascii="Times New Roman" w:cs="Times New Roman" w:eastAsia="Times New Roman" w:hAnsi="Times New Roman"/>
                <w:color w:val="1F2937"/>
                <w:sz w:val="20"/>
                <w:szCs w:val="20"/>
              </w:rPr>
              <w:t xml:space="preserve">Fiscalité IR + 17,2 % PS, variation valeur parts</w:t>
            </w:r>
          </w:p>
        </w:tc>
        <w:tc>
          <w:tcPr>
            <w:shd w:fill="FFFFFF" w:color="FFFFFF" w:val="solid"/>
          </w:tcPr>
          <w:p>
            <w:r>
              <w:rPr>
                <w:rFonts w:ascii="Times New Roman" w:cs="Times New Roman" w:eastAsia="Times New Roman" w:hAnsi="Times New Roman"/>
                <w:color w:val="1F2937"/>
                <w:sz w:val="20"/>
                <w:szCs w:val="20"/>
              </w:rPr>
              <w:t xml:space="preserve">Faible (délégué à la société de gestion)</w:t>
            </w:r>
          </w:p>
        </w:tc>
      </w:tr>
      <w:tr>
        <w:tc>
          <w:tcPr>
            <w:shd w:fill="EEF2F7" w:color="EEF2F7" w:val="solid"/>
          </w:tcPr>
          <w:p>
            <w:r>
              <w:rPr>
                <w:rFonts w:ascii="Times New Roman" w:cs="Times New Roman" w:eastAsia="Times New Roman" w:hAnsi="Times New Roman"/>
                <w:color w:val="1F2937"/>
                <w:sz w:val="20"/>
                <w:szCs w:val="20"/>
              </w:rPr>
              <w:t xml:space="preserve">Immobilier locatif</w:t>
            </w:r>
          </w:p>
        </w:tc>
        <w:tc>
          <w:tcPr>
            <w:shd w:fill="EEF2F7" w:color="EEF2F7" w:val="solid"/>
          </w:tcPr>
          <w:p>
            <w:r>
              <w:rPr>
                <w:rFonts w:ascii="Times New Roman" w:cs="Times New Roman" w:eastAsia="Times New Roman" w:hAnsi="Times New Roman"/>
                <w:color w:val="1F2937"/>
                <w:sz w:val="20"/>
                <w:szCs w:val="20"/>
              </w:rPr>
              <w:t xml:space="preserve">Frais notaire 7–8 %, travaux</w:t>
            </w:r>
          </w:p>
        </w:tc>
        <w:tc>
          <w:tcPr>
            <w:shd w:fill="EEF2F7" w:color="EEF2F7" w:val="solid"/>
          </w:tcPr>
          <w:p>
            <w:r>
              <w:rPr>
                <w:rFonts w:ascii="Times New Roman" w:cs="Times New Roman" w:eastAsia="Times New Roman" w:hAnsi="Times New Roman"/>
                <w:color w:val="1F2937"/>
                <w:sz w:val="20"/>
                <w:szCs w:val="20"/>
              </w:rPr>
              <w:t xml:space="preserve">Vacance locative, impayés, entretien, taxe foncière, copropriété</w:t>
            </w:r>
          </w:p>
        </w:tc>
        <w:tc>
          <w:tcPr>
            <w:shd w:fill="EEF2F7" w:color="EEF2F7" w:val="solid"/>
          </w:tcPr>
          <w:p>
            <w:r>
              <w:rPr>
                <w:rFonts w:ascii="Times New Roman" w:cs="Times New Roman" w:eastAsia="Times New Roman" w:hAnsi="Times New Roman"/>
                <w:color w:val="1F2937"/>
                <w:sz w:val="20"/>
                <w:szCs w:val="20"/>
              </w:rPr>
              <w:t xml:space="preserve">Élevée : urgences, gestion locataire</w:t>
            </w:r>
          </w:p>
        </w:tc>
      </w:tr>
      <w:tr>
        <w:tc>
          <w:tcPr>
            <w:shd w:fill="FFFFFF" w:color="FFFFFF" w:val="solid"/>
          </w:tcPr>
          <w:p>
            <w:r>
              <w:rPr>
                <w:rFonts w:ascii="Times New Roman" w:cs="Times New Roman" w:eastAsia="Times New Roman" w:hAnsi="Times New Roman"/>
                <w:color w:val="1F2937"/>
                <w:sz w:val="20"/>
                <w:szCs w:val="20"/>
              </w:rPr>
              <w:t xml:space="preserve">Produits numériques (ebook, formation)</w:t>
            </w:r>
          </w:p>
        </w:tc>
        <w:tc>
          <w:tcPr>
            <w:shd w:fill="FFFFFF" w:color="FFFFFF" w:val="solid"/>
          </w:tcPr>
          <w:p>
            <w:r>
              <w:rPr>
                <w:rFonts w:ascii="Times New Roman" w:cs="Times New Roman" w:eastAsia="Times New Roman" w:hAnsi="Times New Roman"/>
                <w:color w:val="1F2937"/>
                <w:sz w:val="20"/>
                <w:szCs w:val="20"/>
              </w:rPr>
              <w:t xml:space="preserve">Plateforme, temps de création</w:t>
            </w:r>
          </w:p>
        </w:tc>
        <w:tc>
          <w:tcPr>
            <w:shd w:fill="FFFFFF" w:color="FFFFFF" w:val="solid"/>
          </w:tcPr>
          <w:p>
            <w:r>
              <w:rPr>
                <w:rFonts w:ascii="Times New Roman" w:cs="Times New Roman" w:eastAsia="Times New Roman" w:hAnsi="Times New Roman"/>
                <w:color w:val="1F2937"/>
                <w:sz w:val="20"/>
                <w:szCs w:val="20"/>
              </w:rPr>
              <w:t xml:space="preserve">SEO, pub pour générer trafic, mises à jour, SAV</w:t>
            </w:r>
          </w:p>
        </w:tc>
        <w:tc>
          <w:tcPr>
            <w:shd w:fill="FFFFFF" w:color="FFFFFF" w:val="solid"/>
          </w:tcPr>
          <w:p>
            <w:r>
              <w:rPr>
                <w:rFonts w:ascii="Times New Roman" w:cs="Times New Roman" w:eastAsia="Times New Roman" w:hAnsi="Times New Roman"/>
                <w:color w:val="1F2937"/>
                <w:sz w:val="20"/>
                <w:szCs w:val="20"/>
              </w:rPr>
              <w:t xml:space="preserve">Moyenne : contenu vieillit, concurrence augmente</w:t>
            </w:r>
          </w:p>
        </w:tc>
      </w:tr>
      <w:tr>
        <w:tc>
          <w:tcPr>
            <w:shd w:fill="EEF2F7" w:color="EEF2F7" w:val="solid"/>
          </w:tcPr>
          <w:p>
            <w:r>
              <w:rPr>
                <w:rFonts w:ascii="Times New Roman" w:cs="Times New Roman" w:eastAsia="Times New Roman" w:hAnsi="Times New Roman"/>
                <w:color w:val="1F2937"/>
                <w:sz w:val="20"/>
                <w:szCs w:val="20"/>
              </w:rPr>
              <w:t xml:space="preserve">Dividendes / ETF</w:t>
            </w:r>
          </w:p>
        </w:tc>
        <w:tc>
          <w:tcPr>
            <w:shd w:fill="EEF2F7" w:color="EEF2F7" w:val="solid"/>
          </w:tcPr>
          <w:p>
            <w:r>
              <w:rPr>
                <w:rFonts w:ascii="Times New Roman" w:cs="Times New Roman" w:eastAsia="Times New Roman" w:hAnsi="Times New Roman"/>
                <w:color w:val="1F2937"/>
                <w:sz w:val="20"/>
                <w:szCs w:val="20"/>
              </w:rPr>
              <w:t xml:space="preserve">Courtier, spread</w:t>
            </w:r>
          </w:p>
        </w:tc>
        <w:tc>
          <w:tcPr>
            <w:shd w:fill="EEF2F7" w:color="EEF2F7" w:val="solid"/>
          </w:tcPr>
          <w:p>
            <w:r>
              <w:rPr>
                <w:rFonts w:ascii="Times New Roman" w:cs="Times New Roman" w:eastAsia="Times New Roman" w:hAnsi="Times New Roman"/>
                <w:color w:val="1F2937"/>
                <w:sz w:val="20"/>
                <w:szCs w:val="20"/>
              </w:rPr>
              <w:t xml:space="preserve">31,4 % PFU sur dividendes, volatilité du capital</w:t>
            </w:r>
          </w:p>
        </w:tc>
        <w:tc>
          <w:tcPr>
            <w:shd w:fill="EEF2F7" w:color="EEF2F7" w:val="solid"/>
          </w:tcPr>
          <w:p>
            <w:r>
              <w:rPr>
                <w:rFonts w:ascii="Times New Roman" w:cs="Times New Roman" w:eastAsia="Times New Roman" w:hAnsi="Times New Roman"/>
                <w:color w:val="1F2937"/>
                <w:sz w:val="20"/>
                <w:szCs w:val="20"/>
              </w:rPr>
              <w:t xml:space="preserve">Faible : rééquilibrage occasionnel</w:t>
            </w:r>
          </w:p>
        </w:tc>
      </w:tr>
      <w:tr>
        <w:tc>
          <w:tcPr>
            <w:shd w:fill="FFFFFF" w:color="FFFFFF" w:val="solid"/>
          </w:tcPr>
          <w:p>
            <w:r>
              <w:rPr>
                <w:rFonts w:ascii="Times New Roman" w:cs="Times New Roman" w:eastAsia="Times New Roman" w:hAnsi="Times New Roman"/>
                <w:color w:val="1F2937"/>
                <w:sz w:val="20"/>
                <w:szCs w:val="20"/>
              </w:rPr>
              <w:t xml:space="preserve">Affiliation</w:t>
            </w:r>
          </w:p>
        </w:tc>
        <w:tc>
          <w:tcPr>
            <w:shd w:fill="FFFFFF" w:color="FFFFFF" w:val="solid"/>
          </w:tcPr>
          <w:p>
            <w:r>
              <w:rPr>
                <w:rFonts w:ascii="Times New Roman" w:cs="Times New Roman" w:eastAsia="Times New Roman" w:hAnsi="Times New Roman"/>
                <w:color w:val="1F2937"/>
                <w:sz w:val="20"/>
                <w:szCs w:val="20"/>
              </w:rPr>
              <w:t xml:space="preserve">Temps de création de contenu</w:t>
            </w:r>
          </w:p>
        </w:tc>
        <w:tc>
          <w:tcPr>
            <w:shd w:fill="FFFFFF" w:color="FFFFFF" w:val="solid"/>
          </w:tcPr>
          <w:p>
            <w:r>
              <w:rPr>
                <w:rFonts w:ascii="Times New Roman" w:cs="Times New Roman" w:eastAsia="Times New Roman" w:hAnsi="Times New Roman"/>
                <w:color w:val="1F2937"/>
                <w:sz w:val="20"/>
                <w:szCs w:val="20"/>
              </w:rPr>
              <w:t xml:space="preserve">Algorithmes changeants, commissions réduites sans préavis</w:t>
            </w:r>
          </w:p>
        </w:tc>
        <w:tc>
          <w:tcPr>
            <w:shd w:fill="FFFFFF" w:color="FFFFFF" w:val="solid"/>
          </w:tcPr>
          <w:p>
            <w:r>
              <w:rPr>
                <w:rFonts w:ascii="Times New Roman" w:cs="Times New Roman" w:eastAsia="Times New Roman" w:hAnsi="Times New Roman"/>
                <w:color w:val="1F2937"/>
                <w:sz w:val="20"/>
                <w:szCs w:val="20"/>
              </w:rPr>
              <w:t xml:space="preserve">Élevée : contenu à rafraîchir en permanence</w:t>
            </w:r>
          </w:p>
        </w:tc>
      </w:tr>
      <w:tr>
        <w:tc>
          <w:tcPr>
            <w:shd w:fill="EEF2F7" w:color="EEF2F7" w:val="solid"/>
          </w:tcPr>
          <w:p>
            <w:r>
              <w:rPr>
                <w:rFonts w:ascii="Times New Roman" w:cs="Times New Roman" w:eastAsia="Times New Roman" w:hAnsi="Times New Roman"/>
                <w:color w:val="1F2937"/>
                <w:sz w:val="20"/>
                <w:szCs w:val="20"/>
              </w:rPr>
              <w:t xml:space="preserve">Micro-SaaS / automatisation</w:t>
            </w:r>
          </w:p>
        </w:tc>
        <w:tc>
          <w:tcPr>
            <w:shd w:fill="EEF2F7" w:color="EEF2F7" w:val="solid"/>
          </w:tcPr>
          <w:p>
            <w:r>
              <w:rPr>
                <w:rFonts w:ascii="Times New Roman" w:cs="Times New Roman" w:eastAsia="Times New Roman" w:hAnsi="Times New Roman"/>
                <w:color w:val="1F2937"/>
                <w:sz w:val="20"/>
                <w:szCs w:val="20"/>
              </w:rPr>
              <w:t xml:space="preserve">Hébergement, outils no-code</w:t>
            </w:r>
          </w:p>
        </w:tc>
        <w:tc>
          <w:tcPr>
            <w:shd w:fill="EEF2F7" w:color="EEF2F7" w:val="solid"/>
          </w:tcPr>
          <w:p>
            <w:r>
              <w:rPr>
                <w:rFonts w:ascii="Times New Roman" w:cs="Times New Roman" w:eastAsia="Times New Roman" w:hAnsi="Times New Roman"/>
                <w:color w:val="1F2937"/>
                <w:sz w:val="20"/>
                <w:szCs w:val="20"/>
              </w:rPr>
              <w:t xml:space="preserve">Maintenance technique, abandon clients, API tierces instables</w:t>
            </w:r>
          </w:p>
        </w:tc>
        <w:tc>
          <w:tcPr>
            <w:shd w:fill="EEF2F7" w:color="EEF2F7" w:val="solid"/>
          </w:tcPr>
          <w:p>
            <w:r>
              <w:rPr>
                <w:rFonts w:ascii="Times New Roman" w:cs="Times New Roman" w:eastAsia="Times New Roman" w:hAnsi="Times New Roman"/>
                <w:color w:val="1F2937"/>
                <w:sz w:val="20"/>
                <w:szCs w:val="20"/>
              </w:rPr>
              <w:t xml:space="preserve">Élevée au démarrage, variable ensuite</w:t>
            </w:r>
          </w:p>
        </w:tc>
      </w:tr>
    </w:tbl>
    <w:p>
      <w:pPr>
        <w:spacing w:after="120"/>
      </w:pPr>
    </w:p>
    <w:p>
      <w:pPr>
        <w:pStyle w:val="Heading2"/>
        <w:spacing w:after="120" w:before="300"/>
      </w:pPr>
      <w:r>
        <w:rPr>
          <w:rFonts w:ascii="Times New Roman" w:cs="Times New Roman" w:eastAsia="Times New Roman" w:hAnsi="Times New Roman"/>
          <w:b/>
          <w:bCs/>
          <w:color w:val="1B3A6B"/>
          <w:sz w:val="30"/>
          <w:szCs w:val="30"/>
        </w:rPr>
        <w:t xml:space="preserve">📉 Ancrage réaliste — Ce que les chiffres disent vraiment</w:t>
      </w:r>
    </w:p>
    <w:p>
      <w:pPr>
        <w:pStyle w:val="Heading3"/>
        <w:spacing w:after="80" w:before="200"/>
      </w:pPr>
      <w:r>
        <w:rPr>
          <w:rFonts w:ascii="Times New Roman" w:cs="Times New Roman" w:eastAsia="Times New Roman" w:hAnsi="Times New Roman"/>
          <w:b/>
          <w:bCs/>
          <w:color w:val="1F2937"/>
          <w:sz w:val="26"/>
          <w:szCs w:val="26"/>
        </w:rPr>
        <w:t xml:space="preserve">Taux d'échec des modèles numériques</w:t>
      </w:r>
    </w:p>
    <w:p>
      <w:pPr>
        <w:spacing w:after="120"/>
      </w:pPr>
      <w:r>
        <w:rPr>
          <w:rFonts w:ascii="Times New Roman" w:cs="Times New Roman" w:eastAsia="Times New Roman" w:hAnsi="Times New Roman"/>
          <w:b w:val="false"/>
          <w:bCs w:val="false"/>
          <w:color w:val="1F2937"/>
          <w:sz w:val="22"/>
          <w:szCs w:val="22"/>
        </w:rPr>
        <w:t xml:space="preserve">Les données sur les taux d'échec dans ce secteur sont quasi exclusivement produites par des acteurs commerciaux (vendeurs de formations, plateformes de dropshipping). Aucune étude académique indépendante n'a pu être retrouvée lors de cette exécution. Les chiffres suivants sont issus de sources secondaires (blogs et comparateurs) et doivent être traités comme des ordres de grandeur, non comme des données vérifiées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E-commerce / dropshipping : 80 à 90 % des boutiques cessent leur activité dans les quatre premiers mois, selon des agrégateurs sectoriels (sources : kiwezo.com, thunderbit.com — sources secondaires commerciales, à prendre avec précaution)</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 taux de complétion des formations en ligne « self-paced » est de 15 à 25 % — la formation qui devait générer un revenu passif est d'abord une formation que la plupart abandonnent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Donnée non trouvée sur source primaire : taux d'échec global des créateurs qui cherchent à « vivre de leurs contenus »</w:t>
      </w:r>
    </w:p>
    <w:p>
      <w:pPr>
        <w:pBdr>
          <w:left w:val="thick" w:color="D97706" w:sz="12"/>
        </w:pBdr>
        <w:shd w:fill="FFF4E5" w:color="FFF4E5" w:val="solid"/>
        <w:spacing w:after="200"/>
        <w:ind w:left="360" w:right="360"/>
      </w:pPr>
      <w:r>
        <w:rPr>
          <w:rFonts w:ascii="Times New Roman" w:cs="Times New Roman" w:eastAsia="Times New Roman" w:hAnsi="Times New Roman"/>
          <w:color w:val="1F2937"/>
          <w:sz w:val="22"/>
          <w:szCs w:val="22"/>
        </w:rPr>
        <w:t xml:space="preserve">⚠️ MÉFIANCE MÉTHODOLOGIQUE : dans ce domaine, le taux d'échec est rarement publié par ceux qui vendent des formations pour éviter l'échec. Les chiffres de 80 % ou 90 % circulent massivement mais leur origine exacte est rarement vérifiable. Ce qui est certain : la grande majorité des projets ne génèrent pas le revenu espéré, et le délai avant que le flux soit « réellement passif » se compte en mois ou en années, pas en semaines.</w:t>
      </w:r>
    </w:p>
    <w:p>
      <w:pPr>
        <w:spacing w:after="120"/>
      </w:pPr>
    </w:p>
    <w:p>
      <w:pPr>
        <w:pStyle w:val="Heading3"/>
        <w:spacing w:after="80" w:before="200"/>
      </w:pPr>
      <w:r>
        <w:rPr>
          <w:rFonts w:ascii="Times New Roman" w:cs="Times New Roman" w:eastAsia="Times New Roman" w:hAnsi="Times New Roman"/>
          <w:b/>
          <w:bCs/>
          <w:color w:val="1F2937"/>
          <w:sz w:val="26"/>
          <w:szCs w:val="26"/>
        </w:rPr>
        <w:t xml:space="preserve">Les arnaques ciblant les aspirants rentiers — données AMF</w:t>
      </w:r>
    </w:p>
    <w:p>
      <w:pPr>
        <w:spacing w:after="120"/>
      </w:pPr>
      <w:r>
        <w:rPr>
          <w:rFonts w:ascii="Times New Roman" w:cs="Times New Roman" w:eastAsia="Times New Roman" w:hAnsi="Times New Roman"/>
          <w:b w:val="false"/>
          <w:bCs w:val="false"/>
          <w:color w:val="1F2937"/>
          <w:sz w:val="22"/>
          <w:szCs w:val="22"/>
        </w:rPr>
        <w:t xml:space="preserve">Source : AMF, Baromètre de l'épargne et de l'investissement 2025 — enquête Audirep, 2 120 personnes, terrain du 19 septembre au 3 octobre 2025 — amf-france.org/sites/institutionnel/files/private/2025-12/barometre-amf-2025.pdf (adresse ajoutée aux ressources le 12/09/2026) : ⚠️ Corrigé le 12/09/2026 — la leçon écrivait « baromètre 2025 — étude BVA Xsight, octobre 2024, 5 001 personnes ». Ce descriptif est celui d'une AUTRE étude de l'AMF, « Les arnaques à l'investissement » (BVA Xsight, octobre 2024, 5 001 personnes), dont le chiffre-clé est tout autre : 3,2 % de victimes PROBABLES, estimées par méthode. Le 16 % ci-dessous vient bien du baromètre, où il s'agit de victimes DÉCLARÉES.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16 % des Français interrogés déclarent avoir déjà été victimes d'une escroquerie sur un placement financier (15 % en 2024, selon le même baromètre ; l'étude BVA Xsight d'octobre 2024 estime, elle, à 3,2 % la proportion de victimes probables — deux mesures différentes d'une même réalité)</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Les escrocs exploitent la sensibilité aux thèmes tendance : intelligence artificielle, transition énergétique, cryptomonnaies, deepfakes de personnalités connues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L'AMF signale l'industrialisation des arnaques via l'IA (deepfakes, chatbots de démarchage)</w:t>
      </w:r>
    </w:p>
    <w:p>
      <w:pPr>
        <w:spacing w:after="120"/>
      </w:pPr>
    </w:p>
    <w:p>
      <w:pPr>
        <w:spacing w:after="120"/>
      </w:pPr>
      <w:r>
        <w:rPr>
          <w:rFonts w:ascii="Times New Roman" w:cs="Times New Roman" w:eastAsia="Times New Roman" w:hAnsi="Times New Roman"/>
          <w:b w:val="false"/>
          <w:bCs w:val="false"/>
          <w:color w:val="1F2937"/>
          <w:sz w:val="22"/>
          <w:szCs w:val="22"/>
        </w:rPr>
        <w:t xml:space="preserve">Signaux d'alerte génériques identifiés par l'AMF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Rendement élevé « garanti » ou « sans risque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Pression à agir vite, offre limitée dans le temps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Conseiller non inscrit sur un registre officiel (ORIAS, registre AMF)</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Difficulté à récupérer son argent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Promesse de récupération de fonds perdus moyennant une avance</w:t>
      </w:r>
    </w:p>
    <w:p>
      <w:pPr>
        <w:spacing w:after="120"/>
      </w:pPr>
    </w:p>
    <w:p>
      <w:pPr>
        <w:spacing w:after="120"/>
      </w:pPr>
      <w:r>
        <w:rPr>
          <w:rFonts w:ascii="Times New Roman" w:cs="Times New Roman" w:eastAsia="Times New Roman" w:hAnsi="Times New Roman"/>
          <w:b w:val="false"/>
          <w:bCs w:val="false"/>
          <w:color w:val="1F2937"/>
          <w:sz w:val="22"/>
          <w:szCs w:val="22"/>
        </w:rPr>
        <w:t xml:space="preserve">Vérification : site officiel AMF Protect Épargne → https://protectepargne.amf-france.org</w:t>
      </w:r>
    </w:p>
    <w:p>
      <w:pPr>
        <w:spacing w:after="120"/>
      </w:pPr>
    </w:p>
    <w:p>
      <w:pPr>
        <w:pStyle w:val="Heading3"/>
        <w:spacing w:after="80" w:before="200"/>
      </w:pPr>
      <w:r>
        <w:rPr>
          <w:rFonts w:ascii="Times New Roman" w:cs="Times New Roman" w:eastAsia="Times New Roman" w:hAnsi="Times New Roman"/>
          <w:b/>
          <w:bCs/>
          <w:color w:val="1F2937"/>
          <w:sz w:val="26"/>
          <w:szCs w:val="26"/>
        </w:rPr>
        <w:t xml:space="preserve">Le « travail passif » qui ne l'est pas vraiment</w:t>
      </w:r>
    </w:p>
    <w:p>
      <w:pPr>
        <w:spacing w:after="120"/>
      </w:pPr>
      <w:r>
        <w:rPr>
          <w:rFonts w:ascii="Times New Roman" w:cs="Times New Roman" w:eastAsia="Times New Roman" w:hAnsi="Times New Roman"/>
          <w:b w:val="false"/>
          <w:bCs w:val="false"/>
          <w:color w:val="1F2937"/>
          <w:sz w:val="22"/>
          <w:szCs w:val="22"/>
        </w:rPr>
        <w:t xml:space="preserve">Synthèse (non citation — aucune étude primaire retrouvée sur ce point lors de cette exécution) : les professionnels qui ont bâti des revenus passifs durables rapportent systématiquement une phase initiale très active. Quelques exemples concrets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Un ebook : 50 à 200 heures de rédaction, relecture, mise en page, lancement. Puis du marketing continu pour maintenir les ventes.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Un bien locatif : recherche, financement, négociation, travaux, gestion des locataires. Déléguer à une agence coûte 6 à 10 % des loyers annuels.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Une chaîne YouTube monétisée : des mois de création avant la première monétisation, puis un rythme régulier pour rester visible dans les algorithmes.</w:t>
      </w:r>
    </w:p>
    <w:p>
      <w:pPr>
        <w:pBdr>
          <w:left w:val="thick" w:color="1B3A6B" w:sz="12"/>
        </w:pBdr>
        <w:shd w:fill="EEF2F7" w:color="EEF2F7" w:val="solid"/>
        <w:spacing w:after="200" w:before="100"/>
        <w:ind w:left="360" w:right="360"/>
      </w:pPr>
      <w:r>
        <w:rPr>
          <w:rFonts w:ascii="Times New Roman" w:cs="Times New Roman" w:eastAsia="Times New Roman" w:hAnsi="Times New Roman"/>
          <w:color w:val="1F2937"/>
          <w:sz w:val="22"/>
          <w:szCs w:val="22"/>
        </w:rPr>
        <w:t xml:space="preserve">La définition usuelle dit « revenu passif = revenus sans effort continu ». La réalité dit : « revenu passif = revenus sans effort VISIBLE, mais avec un effort initial souvent sous-estimé et un effort de maintenance rarement comptabilisé. » — Synthèse, non citation.</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Pratique (80%) — Trois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Calcul du rendement net réel d'une SCPI</w:t>
      </w:r>
    </w:p>
    <w:p>
      <w:pPr>
        <w:spacing w:after="120"/>
      </w:pPr>
      <w:r>
        <w:rPr>
          <w:rFonts w:ascii="Times New Roman" w:cs="Times New Roman" w:eastAsia="Times New Roman" w:hAnsi="Times New Roman"/>
          <w:b w:val="false"/>
          <w:bCs w:val="false"/>
          <w:color w:val="1F2937"/>
          <w:sz w:val="22"/>
          <w:szCs w:val="22"/>
        </w:rPr>
        <w:t xml:space="preserve">Données de départ (réelles)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Capital investi : 10 000 €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Taux de distribution SCPI 2025 (source ASPIM, Q1 2026) : 4,92 %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Frais de souscription : 8 % prélevés à l'entrée</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Frais de gestion annuels : estimés à 10 % des loyers distribués (non retrouvés sur source primaire — indiqués comme ordre de grandeur non sourcé)</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Prélèvements sociaux sur revenus fonciers (2026) : 17,2 %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Imposition IR (hypothèse : tranche à 30 %)</w:t>
      </w:r>
    </w:p>
    <w:p>
      <w:pPr>
        <w:spacing w:after="120"/>
      </w:pPr>
    </w:p>
    <w:p>
      <w:pPr>
        <w:spacing w:after="120"/>
      </w:pPr>
      <w:r>
        <w:rPr>
          <w:rFonts w:ascii="Times New Roman" w:cs="Times New Roman" w:eastAsia="Times New Roman" w:hAnsi="Times New Roman"/>
          <w:b w:val="false"/>
          <w:bCs w:val="false"/>
          <w:color w:val="1F2937"/>
          <w:sz w:val="22"/>
          <w:szCs w:val="22"/>
        </w:rPr>
        <w:t xml:space="preserve">Étapes à réaliser :</w:t>
      </w:r>
    </w:p>
    <w:p>
      <w:pPr>
        <w:pStyle w:val="ListParagraph"/>
        <w:numPr>
          <w:ilvl w:val="1"/>
          <w:numId w:val="1"/>
        </w:numPr>
        <w:spacing w:after="60"/>
      </w:pPr>
      <w:r>
        <w:rPr>
          <w:rFonts w:ascii="Times New Roman" w:cs="Times New Roman" w:eastAsia="Times New Roman" w:hAnsi="Times New Roman"/>
          <w:color w:val="1F2937"/>
          <w:sz w:val="22"/>
          <w:szCs w:val="22"/>
        </w:rPr>
        <w:t xml:space="preserve">a) Calcule le capital réellement investi après frais de souscription</w:t>
      </w:r>
    </w:p>
    <w:p>
      <w:pPr>
        <w:pStyle w:val="ListParagraph"/>
        <w:numPr>
          <w:ilvl w:val="1"/>
          <w:numId w:val="1"/>
        </w:numPr>
        <w:spacing w:after="60"/>
      </w:pPr>
      <w:r>
        <w:rPr>
          <w:rFonts w:ascii="Times New Roman" w:cs="Times New Roman" w:eastAsia="Times New Roman" w:hAnsi="Times New Roman"/>
          <w:color w:val="1F2937"/>
          <w:sz w:val="22"/>
          <w:szCs w:val="22"/>
        </w:rPr>
        <w:t xml:space="preserve">b) Calcule le revenu brut annuel au taux de distribution</w:t>
      </w:r>
    </w:p>
    <w:p>
      <w:pPr>
        <w:pStyle w:val="ListParagraph"/>
        <w:numPr>
          <w:ilvl w:val="1"/>
          <w:numId w:val="1"/>
        </w:numPr>
        <w:spacing w:after="60"/>
      </w:pPr>
      <w:r>
        <w:rPr>
          <w:rFonts w:ascii="Times New Roman" w:cs="Times New Roman" w:eastAsia="Times New Roman" w:hAnsi="Times New Roman"/>
          <w:color w:val="1F2937"/>
          <w:sz w:val="22"/>
          <w:szCs w:val="22"/>
        </w:rPr>
        <w:t xml:space="preserve">c) Déduis les frais de gestion annuels</w:t>
      </w:r>
    </w:p>
    <w:p>
      <w:pPr>
        <w:pStyle w:val="ListParagraph"/>
        <w:numPr>
          <w:ilvl w:val="1"/>
          <w:numId w:val="1"/>
        </w:numPr>
        <w:spacing w:after="60"/>
      </w:pPr>
      <w:r>
        <w:rPr>
          <w:rFonts w:ascii="Times New Roman" w:cs="Times New Roman" w:eastAsia="Times New Roman" w:hAnsi="Times New Roman"/>
          <w:color w:val="1F2937"/>
          <w:sz w:val="22"/>
          <w:szCs w:val="22"/>
        </w:rPr>
        <w:t xml:space="preserve">d) Applique les prélèvements sociaux (17,2 %) sur le revenu net de frais</w:t>
      </w:r>
    </w:p>
    <w:p>
      <w:pPr>
        <w:pStyle w:val="ListParagraph"/>
        <w:numPr>
          <w:ilvl w:val="1"/>
          <w:numId w:val="1"/>
        </w:numPr>
        <w:spacing w:after="60"/>
      </w:pPr>
      <w:r>
        <w:rPr>
          <w:rFonts w:ascii="Times New Roman" w:cs="Times New Roman" w:eastAsia="Times New Roman" w:hAnsi="Times New Roman"/>
          <w:color w:val="1F2937"/>
          <w:sz w:val="22"/>
          <w:szCs w:val="22"/>
        </w:rPr>
        <w:t xml:space="preserve">e) Applique l'IR à 30 % sur ce qui reste après prélèvements sociaux</w:t>
      </w:r>
    </w:p>
    <w:p>
      <w:pPr>
        <w:pStyle w:val="ListParagraph"/>
        <w:numPr>
          <w:ilvl w:val="1"/>
          <w:numId w:val="1"/>
        </w:numPr>
        <w:spacing w:after="60"/>
      </w:pPr>
      <w:r>
        <w:rPr>
          <w:rFonts w:ascii="Times New Roman" w:cs="Times New Roman" w:eastAsia="Times New Roman" w:hAnsi="Times New Roman"/>
          <w:color w:val="1F2937"/>
          <w:sz w:val="22"/>
          <w:szCs w:val="22"/>
        </w:rPr>
        <w:t xml:space="preserve">f) Calcule le rendement net final (revenu net / capital initial)</w:t>
      </w:r>
    </w:p>
    <w:p>
      <w:pPr>
        <w:pStyle w:val="ListParagraph"/>
        <w:numPr>
          <w:ilvl w:val="1"/>
          <w:numId w:val="1"/>
        </w:numPr>
        <w:spacing w:after="60"/>
      </w:pPr>
      <w:r>
        <w:rPr>
          <w:rFonts w:ascii="Times New Roman" w:cs="Times New Roman" w:eastAsia="Times New Roman" w:hAnsi="Times New Roman"/>
          <w:color w:val="1F2937"/>
          <w:sz w:val="22"/>
          <w:szCs w:val="22"/>
        </w:rPr>
        <w:t xml:space="preserve">g) Compare avec le 4,92 % affiché et tire une conclusion</w:t>
      </w:r>
    </w:p>
    <w:p>
      <w:pPr>
        <w:spacing w:after="120"/>
      </w:pPr>
    </w:p>
    <w:p>
      <w:pPr>
        <w:spacing w:after="120"/>
      </w:pPr>
      <w:r>
        <w:rPr>
          <w:rFonts w:ascii="Times New Roman" w:cs="Times New Roman" w:eastAsia="Times New Roman" w:hAnsi="Times New Roman"/>
          <w:b w:val="false"/>
          <w:bCs w:val="false"/>
          <w:color w:val="1F2937"/>
          <w:sz w:val="22"/>
          <w:szCs w:val="22"/>
        </w:rPr>
        <w:t xml:space="preserve">Corrigé :</w:t>
      </w:r>
    </w:p>
    <w:p>
      <w:pPr>
        <w:pStyle w:val="ListParagraph"/>
        <w:numPr>
          <w:ilvl w:val="1"/>
          <w:numId w:val="1"/>
        </w:numPr>
        <w:spacing w:after="60"/>
      </w:pPr>
      <w:r>
        <w:rPr>
          <w:rFonts w:ascii="Times New Roman" w:cs="Times New Roman" w:eastAsia="Times New Roman" w:hAnsi="Times New Roman"/>
          <w:color w:val="1F2937"/>
          <w:sz w:val="22"/>
          <w:szCs w:val="22"/>
        </w:rPr>
        <w:t xml:space="preserve">a) Capital après frais de souscription : 10 000 × (1 − 0,08) = 9 200 €</w:t>
      </w:r>
    </w:p>
    <w:p>
      <w:pPr>
        <w:pStyle w:val="ListParagraph"/>
        <w:numPr>
          <w:ilvl w:val="1"/>
          <w:numId w:val="1"/>
        </w:numPr>
        <w:spacing w:after="60"/>
      </w:pPr>
      <w:r>
        <w:rPr>
          <w:rFonts w:ascii="Times New Roman" w:cs="Times New Roman" w:eastAsia="Times New Roman" w:hAnsi="Times New Roman"/>
          <w:color w:val="1F2937"/>
          <w:sz w:val="22"/>
          <w:szCs w:val="22"/>
        </w:rPr>
        <w:t xml:space="preserve">b) Revenu brut annuel : 9 200 × 4,92 % = 452,64 €</w:t>
      </w:r>
    </w:p>
    <w:p>
      <w:pPr>
        <w:pStyle w:val="ListParagraph"/>
        <w:numPr>
          <w:ilvl w:val="1"/>
          <w:numId w:val="1"/>
        </w:numPr>
        <w:spacing w:after="60"/>
      </w:pPr>
      <w:r>
        <w:rPr>
          <w:rFonts w:ascii="Times New Roman" w:cs="Times New Roman" w:eastAsia="Times New Roman" w:hAnsi="Times New Roman"/>
          <w:color w:val="1F2937"/>
          <w:sz w:val="22"/>
          <w:szCs w:val="22"/>
        </w:rPr>
        <w:t xml:space="preserve">c) Frais de gestion (10 % des loyers distribués — ordre de grandeur non sourcé) : 452,64 × 10 % = 45,26 €. Revenu après frais : 452,64 − 45,26 = 407,38 €</w:t>
      </w:r>
    </w:p>
    <w:p>
      <w:pPr>
        <w:pStyle w:val="ListParagraph"/>
        <w:numPr>
          <w:ilvl w:val="1"/>
          <w:numId w:val="1"/>
        </w:numPr>
        <w:spacing w:after="60"/>
      </w:pPr>
      <w:r>
        <w:rPr>
          <w:rFonts w:ascii="Times New Roman" w:cs="Times New Roman" w:eastAsia="Times New Roman" w:hAnsi="Times New Roman"/>
          <w:color w:val="1F2937"/>
          <w:sz w:val="22"/>
          <w:szCs w:val="22"/>
        </w:rPr>
        <w:t xml:space="preserve">d) Prélèvements sociaux (17,2 %) : 407,38 × 17,2 % = 70,07 €. Base IR : 407,38 − 70,07 = 337,31 €</w:t>
      </w:r>
    </w:p>
    <w:p>
      <w:pPr>
        <w:pStyle w:val="ListParagraph"/>
        <w:numPr>
          <w:ilvl w:val="1"/>
          <w:numId w:val="1"/>
        </w:numPr>
        <w:spacing w:after="60"/>
      </w:pPr>
      <w:r>
        <w:rPr>
          <w:rFonts w:ascii="Times New Roman" w:cs="Times New Roman" w:eastAsia="Times New Roman" w:hAnsi="Times New Roman"/>
          <w:color w:val="1F2937"/>
          <w:sz w:val="22"/>
          <w:szCs w:val="22"/>
        </w:rPr>
        <w:t xml:space="preserve">e) IR à 30 % : 337,31 × 30 % = 101,19 €. Revenu net final : 337,31 − 101,19 = 236,12 €</w:t>
      </w:r>
    </w:p>
    <w:p>
      <w:pPr>
        <w:pStyle w:val="ListParagraph"/>
        <w:numPr>
          <w:ilvl w:val="1"/>
          <w:numId w:val="1"/>
        </w:numPr>
        <w:spacing w:after="60"/>
      </w:pPr>
      <w:r>
        <w:rPr>
          <w:rFonts w:ascii="Times New Roman" w:cs="Times New Roman" w:eastAsia="Times New Roman" w:hAnsi="Times New Roman"/>
          <w:color w:val="1F2937"/>
          <w:sz w:val="22"/>
          <w:szCs w:val="22"/>
        </w:rPr>
        <w:t xml:space="preserve">f) Rendement net sur capital initial : 236,12 / 10 000 = 2,36 %</w:t>
      </w:r>
    </w:p>
    <w:p>
      <w:pPr>
        <w:pStyle w:val="ListParagraph"/>
        <w:numPr>
          <w:ilvl w:val="1"/>
          <w:numId w:val="1"/>
        </w:numPr>
        <w:spacing w:after="60"/>
      </w:pPr>
      <w:r>
        <w:rPr>
          <w:rFonts w:ascii="Times New Roman" w:cs="Times New Roman" w:eastAsia="Times New Roman" w:hAnsi="Times New Roman"/>
          <w:color w:val="1F2937"/>
          <w:sz w:val="22"/>
          <w:szCs w:val="22"/>
        </w:rPr>
        <w:t xml:space="preserve">g) Conclusion : le 4,92 % affiché devient 2,36 % net réel — soit un rapport de 1 à 2. Le capital de 10 000 € rapporte 236 € par an, soit moins de 20 € par mois.</w:t>
      </w:r>
    </w:p>
    <w:p>
      <w:pPr>
        <w:spacing w:after="120"/>
      </w:pPr>
    </w:p>
    <w:p>
      <w:pPr>
        <w:pBdr>
          <w:left w:val="thick" w:color="D97706" w:sz="12"/>
        </w:pBdr>
        <w:shd w:fill="FFF4E5" w:color="FFF4E5" w:val="solid"/>
        <w:spacing w:after="200"/>
        <w:ind w:left="360" w:right="360"/>
      </w:pPr>
      <w:r>
        <w:rPr>
          <w:rFonts w:ascii="Times New Roman" w:cs="Times New Roman" w:eastAsia="Times New Roman" w:hAnsi="Times New Roman"/>
          <w:color w:val="1F2937"/>
          <w:sz w:val="22"/>
          <w:szCs w:val="22"/>
        </w:rPr>
        <w:t xml:space="preserve">Ce corrigé s'appuie sur le taux de distribution ASPIM (source primaire vérifiée), le taux PS de 17,2 % sur les revenus fonciers (source service-public.fr vérifiée) et l'IR à 30 % (hypothèse de tranche, non personnalisée). Les frais de gestion de 10 % sont une hypothèse non sourcée — à vérifier sur la notice de chaque SCPI. Le résultat exact varie selon la SCPI et ta situation fiscale. Ne prends aucune décision sur cette base sans consulter les prospectus officiels et un professionnel.</w:t>
      </w:r>
    </w:p>
    <w:p>
      <w:pPr>
        <w:spacing w:after="120"/>
      </w:pPr>
    </w:p>
    <w:p>
      <w:pPr>
        <w:pStyle w:val="Heading3"/>
        <w:spacing w:after="80" w:before="200"/>
      </w:pPr>
      <w:r>
        <w:rPr>
          <w:rFonts w:ascii="Times New Roman" w:cs="Times New Roman" w:eastAsia="Times New Roman" w:hAnsi="Times New Roman"/>
          <w:b/>
          <w:bCs/>
          <w:color w:val="1F2937"/>
          <w:sz w:val="26"/>
          <w:szCs w:val="26"/>
        </w:rPr>
        <w:t xml:space="preserve">Exercice 2 — Analyse critique d'une offre réelle</w:t>
      </w:r>
    </w:p>
    <w:p>
      <w:pPr>
        <w:spacing w:after="120"/>
      </w:pPr>
      <w:r>
        <w:rPr>
          <w:rFonts w:ascii="Times New Roman" w:cs="Times New Roman" w:eastAsia="Times New Roman" w:hAnsi="Times New Roman"/>
          <w:b w:val="false"/>
          <w:bCs w:val="false"/>
          <w:color w:val="1F2937"/>
          <w:sz w:val="22"/>
          <w:szCs w:val="22"/>
        </w:rPr>
        <w:t xml:space="preserve">Objectif : décoder le langage marketing d'une offre de « revenu passif ».</w:t>
      </w:r>
    </w:p>
    <w:p>
      <w:pPr>
        <w:spacing w:after="120"/>
      </w:pPr>
      <w:r>
        <w:rPr>
          <w:rFonts w:ascii="Times New Roman" w:cs="Times New Roman" w:eastAsia="Times New Roman" w:hAnsi="Times New Roman"/>
          <w:b w:val="false"/>
          <w:bCs w:val="false"/>
          <w:color w:val="1F2937"/>
          <w:sz w:val="22"/>
          <w:szCs w:val="22"/>
        </w:rPr>
        <w:t xml:space="preserve">Imagine l'annonce suivante (offre fictive type, construite à partir des patterns observés dans le secteur) :</w:t>
      </w:r>
    </w:p>
    <w:p>
      <w:pPr>
        <w:pBdr>
          <w:left w:val="thick" w:color="1B3A6B" w:sz="12"/>
        </w:pBdr>
        <w:shd w:fill="EEF2F7" w:color="EEF2F7" w:val="solid"/>
        <w:spacing w:after="200" w:before="100"/>
        <w:ind w:left="360" w:right="360"/>
      </w:pPr>
      <w:r>
        <w:rPr>
          <w:rFonts w:ascii="Times New Roman" w:cs="Times New Roman" w:eastAsia="Times New Roman" w:hAnsi="Times New Roman"/>
          <w:color w:val="1F2937"/>
          <w:sz w:val="22"/>
          <w:szCs w:val="22"/>
        </w:rPr>
        <w:t xml:space="preserve">« Formation complète — Vivez de votre passion ! Créez votre ebook en 7 jours et générez 500 € par mois automatiquement. Plus de 300 élèves satisfaits. Accès à vie. Bonus : template prêt à l'emploi. Prix de lancement : 297 € au lieu de 997 €. »</w:t>
      </w:r>
    </w:p>
    <w:p>
      <w:pPr>
        <w:spacing w:after="120"/>
      </w:pPr>
      <w:r>
        <w:rPr>
          <w:rFonts w:ascii="Times New Roman" w:cs="Times New Roman" w:eastAsia="Times New Roman" w:hAnsi="Times New Roman"/>
          <w:b w:val="false"/>
          <w:bCs w:val="false"/>
          <w:color w:val="1F2937"/>
          <w:sz w:val="22"/>
          <w:szCs w:val="22"/>
        </w:rPr>
        <w:t xml:space="preserve">Travail à faire :</w:t>
      </w:r>
    </w:p>
    <w:p>
      <w:pPr>
        <w:pStyle w:val="ListParagraph"/>
        <w:numPr>
          <w:ilvl w:val="1"/>
          <w:numId w:val="1"/>
        </w:numPr>
        <w:spacing w:after="60"/>
      </w:pPr>
      <w:r>
        <w:rPr>
          <w:rFonts w:ascii="Times New Roman" w:cs="Times New Roman" w:eastAsia="Times New Roman" w:hAnsi="Times New Roman"/>
          <w:color w:val="1F2937"/>
          <w:sz w:val="22"/>
          <w:szCs w:val="22"/>
        </w:rPr>
        <w:t xml:space="preserve">a) Identifie les 5 affirmations de l'annonce qui méritent d'être questionnées</w:t>
      </w:r>
    </w:p>
    <w:p>
      <w:pPr>
        <w:pStyle w:val="ListParagraph"/>
        <w:numPr>
          <w:ilvl w:val="1"/>
          <w:numId w:val="1"/>
        </w:numPr>
        <w:spacing w:after="60"/>
      </w:pPr>
      <w:r>
        <w:rPr>
          <w:rFonts w:ascii="Times New Roman" w:cs="Times New Roman" w:eastAsia="Times New Roman" w:hAnsi="Times New Roman"/>
          <w:color w:val="1F2937"/>
          <w:sz w:val="22"/>
          <w:szCs w:val="22"/>
        </w:rPr>
        <w:t xml:space="preserve">b) Pour chacune, formule la question précise que tu devrais poser au vendeur AVANT d'acheter</w:t>
      </w:r>
    </w:p>
    <w:p>
      <w:pPr>
        <w:pStyle w:val="ListParagraph"/>
        <w:numPr>
          <w:ilvl w:val="1"/>
          <w:numId w:val="1"/>
        </w:numPr>
        <w:spacing w:after="60"/>
      </w:pPr>
      <w:r>
        <w:rPr>
          <w:rFonts w:ascii="Times New Roman" w:cs="Times New Roman" w:eastAsia="Times New Roman" w:hAnsi="Times New Roman"/>
          <w:color w:val="1F2937"/>
          <w:sz w:val="22"/>
          <w:szCs w:val="22"/>
        </w:rPr>
        <w:t xml:space="preserve">c) Identifie les coûts invisibles que l'annonce ne mentionne pas</w:t>
      </w:r>
    </w:p>
    <w:p>
      <w:pPr>
        <w:pStyle w:val="ListParagraph"/>
        <w:numPr>
          <w:ilvl w:val="1"/>
          <w:numId w:val="1"/>
        </w:numPr>
        <w:spacing w:after="60"/>
      </w:pPr>
      <w:r>
        <w:rPr>
          <w:rFonts w:ascii="Times New Roman" w:cs="Times New Roman" w:eastAsia="Times New Roman" w:hAnsi="Times New Roman"/>
          <w:color w:val="1F2937"/>
          <w:sz w:val="22"/>
          <w:szCs w:val="22"/>
        </w:rPr>
        <w:t xml:space="preserve">d) Évalue si cette formation mérite l'investissement de 297 € — sans oublier le coût de ton temps</w:t>
      </w:r>
    </w:p>
    <w:p>
      <w:pPr>
        <w:spacing w:after="120"/>
      </w:pPr>
    </w:p>
    <w:p>
      <w:pPr>
        <w:spacing w:after="120"/>
      </w:pPr>
      <w:r>
        <w:rPr>
          <w:rFonts w:ascii="Times New Roman" w:cs="Times New Roman" w:eastAsia="Times New Roman" w:hAnsi="Times New Roman"/>
          <w:b w:val="false"/>
          <w:bCs w:val="false"/>
          <w:color w:val="1F2937"/>
          <w:sz w:val="22"/>
          <w:szCs w:val="22"/>
        </w:rPr>
        <w:t xml:space="preserve">Éléments de réponse (non exhaustif) :</w:t>
      </w:r>
    </w:p>
    <w:p>
      <w:pPr>
        <w:pStyle w:val="ListParagraph"/>
        <w:numPr>
          <w:ilvl w:val="1"/>
          <w:numId w:val="1"/>
        </w:numPr>
        <w:spacing w:after="60"/>
      </w:pPr>
      <w:r>
        <w:rPr>
          <w:rFonts w:ascii="Times New Roman" w:cs="Times New Roman" w:eastAsia="Times New Roman" w:hAnsi="Times New Roman"/>
          <w:color w:val="1F2937"/>
          <w:sz w:val="22"/>
          <w:szCs w:val="22"/>
        </w:rPr>
        <w:t xml:space="preserve">a) Affirmations à questionner : « 7 jours » (temps de création réel ?), « 500 €/mois automatiquement » (sur combien de temps ? ventes réelles démontrables ?), « 300 élèves satisfaits » (taux de réussite parmi eux ?), « accès à vie » (la plateforme existera dans 5 ans ?), prix barré « 997 € » (prix jamais pratiqué ?)</w:t>
      </w:r>
    </w:p>
    <w:p>
      <w:pPr>
        <w:pStyle w:val="ListParagraph"/>
        <w:numPr>
          <w:ilvl w:val="1"/>
          <w:numId w:val="1"/>
        </w:numPr>
        <w:spacing w:after="60"/>
      </w:pPr>
      <w:r>
        <w:rPr>
          <w:rFonts w:ascii="Times New Roman" w:cs="Times New Roman" w:eastAsia="Times New Roman" w:hAnsi="Times New Roman"/>
          <w:color w:val="1F2937"/>
          <w:sz w:val="22"/>
          <w:szCs w:val="22"/>
        </w:rPr>
        <w:t xml:space="preserve">b) Questions à poser : Combien d'élèves gagnent réellement 500 €/mois ? Puis-je parler à 3 anciens élèves ? Quelle est la politique de remboursement ? Quel est ton SIRET ?</w:t>
      </w:r>
    </w:p>
    <w:p>
      <w:pPr>
        <w:pStyle w:val="ListParagraph"/>
        <w:numPr>
          <w:ilvl w:val="1"/>
          <w:numId w:val="1"/>
        </w:numPr>
        <w:spacing w:after="60"/>
      </w:pPr>
      <w:r>
        <w:rPr>
          <w:rFonts w:ascii="Times New Roman" w:cs="Times New Roman" w:eastAsia="Times New Roman" w:hAnsi="Times New Roman"/>
          <w:color w:val="1F2937"/>
          <w:sz w:val="22"/>
          <w:szCs w:val="22"/>
        </w:rPr>
        <w:t xml:space="preserve">c) Coûts invisibles : ton temps (50 à 200 h minimum), plateforme de vente (5 à 30 €/mois), marketing (pub Facebook ou Google pour générer des ventes = budget à part), fiscalité (cotisations micro-entrepreneur + IR sur les ventes)</w:t>
      </w:r>
    </w:p>
    <w:p>
      <w:pPr>
        <w:pStyle w:val="ListParagraph"/>
        <w:numPr>
          <w:ilvl w:val="1"/>
          <w:numId w:val="1"/>
        </w:numPr>
        <w:spacing w:after="60"/>
      </w:pPr>
      <w:r>
        <w:rPr>
          <w:rFonts w:ascii="Times New Roman" w:cs="Times New Roman" w:eastAsia="Times New Roman" w:hAnsi="Times New Roman"/>
          <w:color w:val="1F2937"/>
          <w:sz w:val="22"/>
          <w:szCs w:val="22"/>
        </w:rPr>
        <w:t xml:space="preserve">d) À 297 €, si tu génères 100 ventes à 10 € (hypothèse basse), le chiffre d'affaires brut est 1 000 €. Après cotisations micro (21,2 % pour du BIC vente) : 788 €. Après IR : variable. Net : peut-être 550 €. Sans compter les heures passées ni le coût pub. L'équilibre économique est serré — et repose entièrement sur ta capacité à générer du trafic.</w:t>
      </w:r>
    </w:p>
    <w:p>
      <w:pPr>
        <w:spacing w:after="120"/>
      </w:pPr>
    </w:p>
    <w:p>
      <w:pPr>
        <w:pStyle w:val="Heading3"/>
        <w:spacing w:after="80" w:before="200"/>
      </w:pPr>
      <w:r>
        <w:rPr>
          <w:rFonts w:ascii="Times New Roman" w:cs="Times New Roman" w:eastAsia="Times New Roman" w:hAnsi="Times New Roman"/>
          <w:b/>
          <w:bCs/>
          <w:color w:val="1F2937"/>
          <w:sz w:val="26"/>
          <w:szCs w:val="26"/>
        </w:rPr>
        <w:t xml:space="preserve">Exercice 3 — Cartographie de tes charges réelles (modèle personnel)</w:t>
      </w:r>
    </w:p>
    <w:p>
      <w:pPr>
        <w:spacing w:after="120"/>
      </w:pPr>
      <w:r>
        <w:rPr>
          <w:rFonts w:ascii="Times New Roman" w:cs="Times New Roman" w:eastAsia="Times New Roman" w:hAnsi="Times New Roman"/>
          <w:b w:val="false"/>
          <w:bCs w:val="false"/>
          <w:color w:val="1F2937"/>
          <w:sz w:val="22"/>
          <w:szCs w:val="22"/>
        </w:rPr>
        <w:t xml:space="preserve">Travail de réflexion personnelle — aucune réponse type ne peut être donnée ici.</w:t>
      </w:r>
    </w:p>
    <w:p>
      <w:pPr>
        <w:spacing w:after="120"/>
      </w:pPr>
      <w:r>
        <w:rPr>
          <w:rFonts w:ascii="Times New Roman" w:cs="Times New Roman" w:eastAsia="Times New Roman" w:hAnsi="Times New Roman"/>
          <w:b w:val="false"/>
          <w:bCs w:val="false"/>
          <w:color w:val="1F2937"/>
          <w:sz w:val="22"/>
          <w:szCs w:val="22"/>
        </w:rPr>
        <w:t xml:space="preserve">Choisis UN modèle passif qui t'intéresse (immobilier locatif, SCPI, ebook, ETF à dividendes…). Construis un tableau en 4 colonnes :</w:t>
      </w:r>
    </w:p>
    <w:p>
      <w:pPr>
        <w:spacing w:after="12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Poste de coût</w:t>
            </w:r>
          </w:p>
        </w:tc>
        <w:tc>
          <w:tcPr>
            <w:shd w:fill="1B3A6B" w:color="1B3A6B" w:val="solid"/>
          </w:tcPr>
          <w:p>
            <w:pPr>
              <w:jc w:val="center"/>
            </w:pPr>
            <w:r>
              <w:rPr>
                <w:rFonts w:ascii="Times New Roman" w:cs="Times New Roman" w:eastAsia="Times New Roman" w:hAnsi="Times New Roman"/>
                <w:b/>
                <w:bCs/>
                <w:color w:val="FFFFFF"/>
                <w:sz w:val="20"/>
                <w:szCs w:val="20"/>
              </w:rPr>
              <w:t xml:space="preserve">Montant estimé (€)</w:t>
            </w:r>
          </w:p>
        </w:tc>
        <w:tc>
          <w:tcPr>
            <w:shd w:fill="1B3A6B" w:color="1B3A6B" w:val="solid"/>
          </w:tcPr>
          <w:p>
            <w:pPr>
              <w:jc w:val="center"/>
            </w:pPr>
            <w:r>
              <w:rPr>
                <w:rFonts w:ascii="Times New Roman" w:cs="Times New Roman" w:eastAsia="Times New Roman" w:hAnsi="Times New Roman"/>
                <w:b/>
                <w:bCs/>
                <w:color w:val="FFFFFF"/>
                <w:sz w:val="20"/>
                <w:szCs w:val="20"/>
              </w:rPr>
              <w:t xml:space="preserve">Fréquence</w:t>
            </w:r>
          </w:p>
        </w:tc>
        <w:tc>
          <w:tcPr>
            <w:shd w:fill="1B3A6B" w:color="1B3A6B" w:val="solid"/>
          </w:tcPr>
          <w:p>
            <w:pPr>
              <w:jc w:val="center"/>
            </w:pPr>
            <w:r>
              <w:rPr>
                <w:rFonts w:ascii="Times New Roman" w:cs="Times New Roman" w:eastAsia="Times New Roman" w:hAnsi="Times New Roman"/>
                <w:b/>
                <w:bCs/>
                <w:color w:val="FFFFFF"/>
                <w:sz w:val="20"/>
                <w:szCs w:val="20"/>
              </w:rPr>
              <w:t xml:space="preserve">Source de l'estimation</w:t>
            </w:r>
          </w:p>
        </w:tc>
      </w:tr>
      <w:tr>
        <w:tc>
          <w:tcPr>
            <w:shd w:fill="FFFFFF" w:color="FFFFFF" w:val="solid"/>
          </w:tcPr>
          <w:p>
            <w:r>
              <w:rPr>
                <w:rFonts w:ascii="Times New Roman" w:cs="Times New Roman" w:eastAsia="Times New Roman" w:hAnsi="Times New Roman"/>
                <w:color w:val="1F2937"/>
                <w:sz w:val="20"/>
                <w:szCs w:val="20"/>
              </w:rPr>
              <w:t xml:space="preserve">Investissement initial</w:t>
            </w:r>
          </w:p>
        </w:tc>
        <w:tc>
          <w:tcPr>
            <w:shd w:fill="FFFFFF" w:color="FFFFFF" w:val="solid"/>
          </w:tcPr>
          <w:p>
            <w:r>
              <w:rPr>
                <w:rFonts w:ascii="Times New Roman" w:cs="Times New Roman" w:eastAsia="Times New Roman" w:hAnsi="Times New Roman"/>
                <w:color w:val="1F2937"/>
                <w:sz w:val="20"/>
                <w:szCs w:val="20"/>
              </w:rPr>
              <w:t xml:space="preserve">...</w:t>
            </w:r>
          </w:p>
        </w:tc>
        <w:tc>
          <w:tcPr>
            <w:shd w:fill="FFFFFF" w:color="FFFFFF" w:val="solid"/>
          </w:tcPr>
          <w:p>
            <w:r>
              <w:rPr>
                <w:rFonts w:ascii="Times New Roman" w:cs="Times New Roman" w:eastAsia="Times New Roman" w:hAnsi="Times New Roman"/>
                <w:color w:val="1F2937"/>
                <w:sz w:val="20"/>
                <w:szCs w:val="20"/>
              </w:rPr>
              <w:t xml:space="preserve">Unique</w:t>
            </w:r>
          </w:p>
        </w:tc>
        <w:tc>
          <w:tcPr>
            <w:shd w:fill="FFFFFF" w:color="FFFFFF" w:val="solid"/>
          </w:tcPr>
          <w:p>
            <w:r>
              <w:rPr>
                <w:rFonts w:ascii="Times New Roman" w:cs="Times New Roman" w:eastAsia="Times New Roman" w:hAnsi="Times New Roman"/>
                <w:color w:val="1F2937"/>
                <w:sz w:val="20"/>
                <w:szCs w:val="20"/>
              </w:rPr>
              <w:t xml:space="preserve">...</w:t>
            </w:r>
          </w:p>
        </w:tc>
      </w:tr>
      <w:tr>
        <w:tc>
          <w:tcPr>
            <w:shd w:fill="EEF2F7" w:color="EEF2F7" w:val="solid"/>
          </w:tcPr>
          <w:p>
            <w:r>
              <w:rPr>
                <w:rFonts w:ascii="Times New Roman" w:cs="Times New Roman" w:eastAsia="Times New Roman" w:hAnsi="Times New Roman"/>
                <w:color w:val="1F2937"/>
                <w:sz w:val="20"/>
                <w:szCs w:val="20"/>
              </w:rPr>
              <w:t xml:space="preserve">Frais récurrents (plateforme, assurance, etc.)</w:t>
            </w:r>
          </w:p>
        </w:tc>
        <w:tc>
          <w:tcPr>
            <w:shd w:fill="EEF2F7" w:color="EEF2F7" w:val="solid"/>
          </w:tcPr>
          <w:p>
            <w:r>
              <w:rPr>
                <w:rFonts w:ascii="Times New Roman" w:cs="Times New Roman" w:eastAsia="Times New Roman" w:hAnsi="Times New Roman"/>
                <w:color w:val="1F2937"/>
                <w:sz w:val="20"/>
                <w:szCs w:val="20"/>
              </w:rPr>
              <w:t xml:space="preserve">...</w:t>
            </w:r>
          </w:p>
        </w:tc>
        <w:tc>
          <w:tcPr>
            <w:shd w:fill="EEF2F7" w:color="EEF2F7" w:val="solid"/>
          </w:tcPr>
          <w:p>
            <w:r>
              <w:rPr>
                <w:rFonts w:ascii="Times New Roman" w:cs="Times New Roman" w:eastAsia="Times New Roman" w:hAnsi="Times New Roman"/>
                <w:color w:val="1F2937"/>
                <w:sz w:val="20"/>
                <w:szCs w:val="20"/>
              </w:rPr>
              <w:t xml:space="preserve">Mensuel / annuel</w:t>
            </w:r>
          </w:p>
        </w:tc>
        <w:tc>
          <w:tcPr>
            <w:shd w:fill="EEF2F7" w:color="EEF2F7" w:val="solid"/>
          </w:tcPr>
          <w:p>
            <w:r>
              <w:rPr>
                <w:rFonts w:ascii="Times New Roman" w:cs="Times New Roman" w:eastAsia="Times New Roman" w:hAnsi="Times New Roman"/>
                <w:color w:val="1F2937"/>
                <w:sz w:val="20"/>
                <w:szCs w:val="20"/>
              </w:rPr>
              <w:t xml:space="preserve">...</w:t>
            </w:r>
          </w:p>
        </w:tc>
      </w:tr>
      <w:tr>
        <w:tc>
          <w:tcPr>
            <w:shd w:fill="FFFFFF" w:color="FFFFFF" w:val="solid"/>
          </w:tcPr>
          <w:p>
            <w:r>
              <w:rPr>
                <w:rFonts w:ascii="Times New Roman" w:cs="Times New Roman" w:eastAsia="Times New Roman" w:hAnsi="Times New Roman"/>
                <w:color w:val="1F2937"/>
                <w:sz w:val="20"/>
                <w:szCs w:val="20"/>
              </w:rPr>
              <w:t xml:space="preserve">Fiscalité (PS + IR estimé)</w:t>
            </w:r>
          </w:p>
        </w:tc>
        <w:tc>
          <w:tcPr>
            <w:shd w:fill="FFFFFF" w:color="FFFFFF" w:val="solid"/>
          </w:tcPr>
          <w:p>
            <w:r>
              <w:rPr>
                <w:rFonts w:ascii="Times New Roman" w:cs="Times New Roman" w:eastAsia="Times New Roman" w:hAnsi="Times New Roman"/>
                <w:color w:val="1F2937"/>
                <w:sz w:val="20"/>
                <w:szCs w:val="20"/>
              </w:rPr>
              <w:t xml:space="preserve">...</w:t>
            </w:r>
          </w:p>
        </w:tc>
        <w:tc>
          <w:tcPr>
            <w:shd w:fill="FFFFFF" w:color="FFFFFF" w:val="solid"/>
          </w:tcPr>
          <w:p>
            <w:r>
              <w:rPr>
                <w:rFonts w:ascii="Times New Roman" w:cs="Times New Roman" w:eastAsia="Times New Roman" w:hAnsi="Times New Roman"/>
                <w:color w:val="1F2937"/>
                <w:sz w:val="20"/>
                <w:szCs w:val="20"/>
              </w:rPr>
              <w:t xml:space="preserve">Annuel</w:t>
            </w:r>
          </w:p>
        </w:tc>
        <w:tc>
          <w:tcPr>
            <w:shd w:fill="FFFFFF" w:color="FFFFFF" w:val="solid"/>
          </w:tcPr>
          <w:p>
            <w:r>
              <w:rPr>
                <w:rFonts w:ascii="Times New Roman" w:cs="Times New Roman" w:eastAsia="Times New Roman" w:hAnsi="Times New Roman"/>
                <w:color w:val="1F2937"/>
                <w:sz w:val="20"/>
                <w:szCs w:val="20"/>
              </w:rPr>
              <w:t xml:space="preserve">...</w:t>
            </w:r>
          </w:p>
        </w:tc>
      </w:tr>
      <w:tr>
        <w:tc>
          <w:tcPr>
            <w:shd w:fill="EEF2F7" w:color="EEF2F7" w:val="solid"/>
          </w:tcPr>
          <w:p>
            <w:r>
              <w:rPr>
                <w:rFonts w:ascii="Times New Roman" w:cs="Times New Roman" w:eastAsia="Times New Roman" w:hAnsi="Times New Roman"/>
                <w:color w:val="1F2937"/>
                <w:sz w:val="20"/>
                <w:szCs w:val="20"/>
              </w:rPr>
              <w:t xml:space="preserve">Temps de maintenance (en heures × ton taux horaire)</w:t>
            </w:r>
          </w:p>
        </w:tc>
        <w:tc>
          <w:tcPr>
            <w:shd w:fill="EEF2F7" w:color="EEF2F7" w:val="solid"/>
          </w:tcPr>
          <w:p>
            <w:r>
              <w:rPr>
                <w:rFonts w:ascii="Times New Roman" w:cs="Times New Roman" w:eastAsia="Times New Roman" w:hAnsi="Times New Roman"/>
                <w:color w:val="1F2937"/>
                <w:sz w:val="20"/>
                <w:szCs w:val="20"/>
              </w:rPr>
              <w:t xml:space="preserve">...</w:t>
            </w:r>
          </w:p>
        </w:tc>
        <w:tc>
          <w:tcPr>
            <w:shd w:fill="EEF2F7" w:color="EEF2F7" w:val="solid"/>
          </w:tcPr>
          <w:p>
            <w:r>
              <w:rPr>
                <w:rFonts w:ascii="Times New Roman" w:cs="Times New Roman" w:eastAsia="Times New Roman" w:hAnsi="Times New Roman"/>
                <w:color w:val="1F2937"/>
                <w:sz w:val="20"/>
                <w:szCs w:val="20"/>
              </w:rPr>
              <w:t xml:space="preserve">Mensuel</w:t>
            </w:r>
          </w:p>
        </w:tc>
        <w:tc>
          <w:tcPr>
            <w:shd w:fill="EEF2F7" w:color="EEF2F7" w:val="solid"/>
          </w:tcPr>
          <w:p>
            <w:r>
              <w:rPr>
                <w:rFonts w:ascii="Times New Roman" w:cs="Times New Roman" w:eastAsia="Times New Roman" w:hAnsi="Times New Roman"/>
                <w:color w:val="1F2937"/>
                <w:sz w:val="20"/>
                <w:szCs w:val="20"/>
              </w:rPr>
              <w:t xml:space="preserve">...</w:t>
            </w:r>
          </w:p>
        </w:tc>
      </w:tr>
      <w:tr>
        <w:tc>
          <w:tcPr>
            <w:shd w:fill="FFFFFF" w:color="FFFFFF" w:val="solid"/>
          </w:tcPr>
          <w:p>
            <w:r>
              <w:rPr>
                <w:rFonts w:ascii="Times New Roman" w:cs="Times New Roman" w:eastAsia="Times New Roman" w:hAnsi="Times New Roman"/>
                <w:color w:val="1F2937"/>
                <w:sz w:val="20"/>
                <w:szCs w:val="20"/>
              </w:rPr>
              <w:t xml:space="preserve">Provisions (réparations, vacance, mise à jour)</w:t>
            </w:r>
          </w:p>
        </w:tc>
        <w:tc>
          <w:tcPr>
            <w:shd w:fill="FFFFFF" w:color="FFFFFF" w:val="solid"/>
          </w:tcPr>
          <w:p>
            <w:r>
              <w:rPr>
                <w:rFonts w:ascii="Times New Roman" w:cs="Times New Roman" w:eastAsia="Times New Roman" w:hAnsi="Times New Roman"/>
                <w:color w:val="1F2937"/>
                <w:sz w:val="20"/>
                <w:szCs w:val="20"/>
              </w:rPr>
              <w:t xml:space="preserve">...</w:t>
            </w:r>
          </w:p>
        </w:tc>
        <w:tc>
          <w:tcPr>
            <w:shd w:fill="FFFFFF" w:color="FFFFFF" w:val="solid"/>
          </w:tcPr>
          <w:p>
            <w:r>
              <w:rPr>
                <w:rFonts w:ascii="Times New Roman" w:cs="Times New Roman" w:eastAsia="Times New Roman" w:hAnsi="Times New Roman"/>
                <w:color w:val="1F2937"/>
                <w:sz w:val="20"/>
                <w:szCs w:val="20"/>
              </w:rPr>
              <w:t xml:space="preserve">Annuel</w:t>
            </w:r>
          </w:p>
        </w:tc>
        <w:tc>
          <w:tcPr>
            <w:shd w:fill="FFFFFF" w:color="FFFFFF" w:val="solid"/>
          </w:tcPr>
          <w:p>
            <w:r>
              <w:rPr>
                <w:rFonts w:ascii="Times New Roman" w:cs="Times New Roman" w:eastAsia="Times New Roman" w:hAnsi="Times New Roman"/>
                <w:color w:val="1F2937"/>
                <w:sz w:val="20"/>
                <w:szCs w:val="20"/>
              </w:rPr>
              <w:t xml:space="preserve">...</w:t>
            </w:r>
          </w:p>
        </w:tc>
      </w:tr>
      <w:tr>
        <w:tc>
          <w:tcPr>
            <w:shd w:fill="EEF2F7" w:color="EEF2F7" w:val="solid"/>
          </w:tcPr>
          <w:p>
            <w:r>
              <w:rPr>
                <w:rFonts w:ascii="Times New Roman" w:cs="Times New Roman" w:eastAsia="Times New Roman" w:hAnsi="Times New Roman"/>
                <w:color w:val="1F2937"/>
                <w:sz w:val="20"/>
                <w:szCs w:val="20"/>
              </w:rPr>
              <w:t xml:space="preserve">TOTAL charges</w:t>
            </w:r>
          </w:p>
        </w:tc>
        <w:tc>
          <w:tcPr>
            <w:shd w:fill="EEF2F7" w:color="EEF2F7" w:val="solid"/>
          </w:tcPr>
          <w:p>
            <w:r>
              <w:rPr>
                <w:rFonts w:ascii="Times New Roman" w:cs="Times New Roman" w:eastAsia="Times New Roman" w:hAnsi="Times New Roman"/>
                <w:color w:val="1F2937"/>
                <w:sz w:val="20"/>
                <w:szCs w:val="20"/>
              </w:rPr>
              <w:t xml:space="preserve">...</w:t>
            </w:r>
          </w:p>
        </w:tc>
        <w:tc>
          <w:tcPr>
            <w:shd w:fill="EEF2F7" w:color="EEF2F7" w:val="solid"/>
          </w:tcPr>
          <w:p>
            <w:r>
              <w:rPr>
                <w:rFonts w:ascii="Times New Roman" w:cs="Times New Roman" w:eastAsia="Times New Roman" w:hAnsi="Times New Roman"/>
                <w:color w:val="1F2937"/>
                <w:sz w:val="20"/>
                <w:szCs w:val="20"/>
              </w:rPr>
              <w:t xml:space="preserve">Annuel</w:t>
            </w:r>
          </w:p>
        </w:tc>
        <w:tc>
          <w:tcPr>
            <w:shd w:fill="EEF2F7" w:color="EEF2F7" w:val="solid"/>
          </w:tcPr>
          <w:p>
            <w:r>
              <w:rPr>
                <w:rFonts w:ascii="Times New Roman" w:cs="Times New Roman" w:eastAsia="Times New Roman" w:hAnsi="Times New Roman"/>
                <w:color w:val="1F2937"/>
                <w:sz w:val="20"/>
                <w:szCs w:val="20"/>
              </w:rPr>
              <w:t xml:space="preserve">...</w:t>
            </w:r>
          </w:p>
        </w:tc>
      </w:tr>
      <w:tr>
        <w:tc>
          <w:tcPr>
            <w:shd w:fill="FFFFFF" w:color="FFFFFF" w:val="solid"/>
          </w:tcPr>
          <w:p>
            <w:r>
              <w:rPr>
                <w:rFonts w:ascii="Times New Roman" w:cs="Times New Roman" w:eastAsia="Times New Roman" w:hAnsi="Times New Roman"/>
                <w:color w:val="1F2937"/>
                <w:sz w:val="20"/>
                <w:szCs w:val="20"/>
              </w:rPr>
              <w:t xml:space="preserve">Revenu brut annuel attendu</w:t>
            </w:r>
          </w:p>
        </w:tc>
        <w:tc>
          <w:tcPr>
            <w:shd w:fill="FFFFFF" w:color="FFFFFF" w:val="solid"/>
          </w:tcPr>
          <w:p>
            <w:r>
              <w:rPr>
                <w:rFonts w:ascii="Times New Roman" w:cs="Times New Roman" w:eastAsia="Times New Roman" w:hAnsi="Times New Roman"/>
                <w:color w:val="1F2937"/>
                <w:sz w:val="20"/>
                <w:szCs w:val="20"/>
              </w:rPr>
              <w:t xml:space="preserve">...</w:t>
            </w:r>
          </w:p>
        </w:tc>
        <w:tc>
          <w:tcPr>
            <w:shd w:fill="FFFFFF" w:color="FFFFFF" w:val="solid"/>
          </w:tcPr>
          <w:p>
            <w:r>
              <w:rPr>
                <w:rFonts w:ascii="Times New Roman" w:cs="Times New Roman" w:eastAsia="Times New Roman" w:hAnsi="Times New Roman"/>
                <w:color w:val="1F2937"/>
                <w:sz w:val="20"/>
                <w:szCs w:val="20"/>
              </w:rPr>
              <w:t xml:space="preserve">Annuel</w:t>
            </w:r>
          </w:p>
        </w:tc>
        <w:tc>
          <w:tcPr>
            <w:shd w:fill="FFFFFF" w:color="FFFFFF" w:val="solid"/>
          </w:tcPr>
          <w:p>
            <w:r>
              <w:rPr>
                <w:rFonts w:ascii="Times New Roman" w:cs="Times New Roman" w:eastAsia="Times New Roman" w:hAnsi="Times New Roman"/>
                <w:color w:val="1F2937"/>
                <w:sz w:val="20"/>
                <w:szCs w:val="20"/>
              </w:rPr>
              <w:t xml:space="preserve">...</w:t>
            </w:r>
          </w:p>
        </w:tc>
      </w:tr>
      <w:tr>
        <w:tc>
          <w:tcPr>
            <w:shd w:fill="EEF2F7" w:color="EEF2F7" w:val="solid"/>
          </w:tcPr>
          <w:p>
            <w:r>
              <w:rPr>
                <w:rFonts w:ascii="Times New Roman" w:cs="Times New Roman" w:eastAsia="Times New Roman" w:hAnsi="Times New Roman"/>
                <w:color w:val="1F2937"/>
                <w:sz w:val="20"/>
                <w:szCs w:val="20"/>
              </w:rPr>
              <w:t xml:space="preserve">Revenu NET réel annuel (brut − charges)</w:t>
            </w:r>
          </w:p>
        </w:tc>
        <w:tc>
          <w:tcPr>
            <w:shd w:fill="EEF2F7" w:color="EEF2F7" w:val="solid"/>
          </w:tcPr>
          <w:p>
            <w:r>
              <w:rPr>
                <w:rFonts w:ascii="Times New Roman" w:cs="Times New Roman" w:eastAsia="Times New Roman" w:hAnsi="Times New Roman"/>
                <w:color w:val="1F2937"/>
                <w:sz w:val="20"/>
                <w:szCs w:val="20"/>
              </w:rPr>
              <w:t xml:space="preserve">...</w:t>
            </w:r>
          </w:p>
        </w:tc>
        <w:tc>
          <w:tcPr>
            <w:shd w:fill="EEF2F7" w:color="EEF2F7" w:val="solid"/>
          </w:tcPr>
          <w:p>
            <w:r>
              <w:rPr>
                <w:rFonts w:ascii="Times New Roman" w:cs="Times New Roman" w:eastAsia="Times New Roman" w:hAnsi="Times New Roman"/>
                <w:color w:val="1F2937"/>
                <w:sz w:val="20"/>
                <w:szCs w:val="20"/>
              </w:rPr>
              <w:t xml:space="preserve">Annuel</w:t>
            </w:r>
          </w:p>
        </w:tc>
        <w:tc>
          <w:tcPr>
            <w:shd w:fill="EEF2F7" w:color="EEF2F7" w:val="solid"/>
          </w:tcPr>
          <w:p>
            <w:r>
              <w:rPr>
                <w:rFonts w:ascii="Times New Roman" w:cs="Times New Roman" w:eastAsia="Times New Roman" w:hAnsi="Times New Roman"/>
                <w:color w:val="1F2937"/>
                <w:sz w:val="20"/>
                <w:szCs w:val="20"/>
              </w:rPr>
              <w:t xml:space="preserve">...</w:t>
            </w:r>
          </w:p>
        </w:tc>
      </w:tr>
      <w:tr>
        <w:tc>
          <w:tcPr>
            <w:shd w:fill="FFFFFF" w:color="FFFFFF" w:val="solid"/>
          </w:tcPr>
          <w:p>
            <w:r>
              <w:rPr>
                <w:rFonts w:ascii="Times New Roman" w:cs="Times New Roman" w:eastAsia="Times New Roman" w:hAnsi="Times New Roman"/>
                <w:color w:val="1F2937"/>
                <w:sz w:val="20"/>
                <w:szCs w:val="20"/>
              </w:rPr>
              <w:t xml:space="preserve">Rendement net réel (%)</w:t>
            </w:r>
          </w:p>
        </w:tc>
        <w:tc>
          <w:tcPr>
            <w:shd w:fill="FFFFFF" w:color="FFFFFF" w:val="solid"/>
          </w:tcPr>
          <w:p>
            <w:r>
              <w:rPr>
                <w:rFonts w:ascii="Times New Roman" w:cs="Times New Roman" w:eastAsia="Times New Roman" w:hAnsi="Times New Roman"/>
                <w:color w:val="1F2937"/>
                <w:sz w:val="20"/>
                <w:szCs w:val="20"/>
              </w:rPr>
              <w:t xml:space="preserve">...</w:t>
            </w:r>
          </w:p>
        </w:tc>
        <w:tc>
          <w:tcPr>
            <w:shd w:fill="FFFFFF" w:color="FFFFFF" w:val="solid"/>
          </w:tcPr>
          <w:p>
            <w:r>
              <w:rPr>
                <w:rFonts w:ascii="Times New Roman" w:cs="Times New Roman" w:eastAsia="Times New Roman" w:hAnsi="Times New Roman"/>
                <w:color w:val="1F2937"/>
                <w:sz w:val="20"/>
                <w:szCs w:val="20"/>
              </w:rPr>
              <w:t xml:space="preserve">—</w:t>
            </w:r>
          </w:p>
        </w:tc>
        <w:tc>
          <w:tcPr>
            <w:shd w:fill="FFFFFF" w:color="FFFFFF" w:val="solid"/>
          </w:tcPr>
          <w:p>
            <w:r>
              <w:rPr>
                <w:rFonts w:ascii="Times New Roman" w:cs="Times New Roman" w:eastAsia="Times New Roman" w:hAnsi="Times New Roman"/>
                <w:color w:val="1F2937"/>
                <w:sz w:val="20"/>
                <w:szCs w:val="20"/>
              </w:rPr>
              <w:t xml:space="preserve">...</w:t>
            </w:r>
          </w:p>
        </w:tc>
      </w:tr>
    </w:tbl>
    <w:p>
      <w:pPr>
        <w:spacing w:after="120"/>
      </w:pPr>
    </w:p>
    <w:p>
      <w:pPr>
        <w:spacing w:after="120"/>
      </w:pPr>
      <w:r>
        <w:rPr>
          <w:rFonts w:ascii="Times New Roman" w:cs="Times New Roman" w:eastAsia="Times New Roman" w:hAnsi="Times New Roman"/>
          <w:b w:val="false"/>
          <w:bCs w:val="false"/>
          <w:color w:val="1F2937"/>
          <w:sz w:val="22"/>
          <w:szCs w:val="22"/>
        </w:rPr>
        <w:t xml:space="preserve">Règle : si tu n'as pas de source pour estimer un poste, marque-le « à rechercher » plutôt que d'inventer un chiffre.</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Challenge — Déconstruire une promesse de rendement</w:t>
      </w:r>
    </w:p>
    <w:p>
      <w:pPr>
        <w:spacing w:after="120"/>
      </w:pPr>
      <w:r>
        <w:rPr>
          <w:rFonts w:ascii="Times New Roman" w:cs="Times New Roman" w:eastAsia="Times New Roman" w:hAnsi="Times New Roman"/>
          <w:b w:val="false"/>
          <w:bCs w:val="false"/>
          <w:color w:val="1F2937"/>
          <w:sz w:val="22"/>
          <w:szCs w:val="22"/>
        </w:rPr>
        <w:t xml:space="preserve">Une connaissance te présente un projet qui te rapporterait 600 € par mois en « totalement passif »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Achat de parts de SCPI pour 50 000 € (frais de souscription 8 %)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Taux de distribution annoncé : 5 % brut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Financement partiel par emprunt : 30 000 € à 3,5 % sur 15 ans</w:t>
      </w:r>
    </w:p>
    <w:p>
      <w:pPr>
        <w:spacing w:after="120"/>
      </w:pPr>
    </w:p>
    <w:p>
      <w:pPr>
        <w:spacing w:after="120"/>
      </w:pPr>
      <w:r>
        <w:rPr>
          <w:rFonts w:ascii="Times New Roman" w:cs="Times New Roman" w:eastAsia="Times New Roman" w:hAnsi="Times New Roman"/>
          <w:b w:val="false"/>
          <w:bCs w:val="false"/>
          <w:color w:val="1F2937"/>
          <w:sz w:val="22"/>
          <w:szCs w:val="22"/>
        </w:rPr>
        <w:t xml:space="preserve">Ta mission (4 parties) :</w:t>
      </w:r>
    </w:p>
    <w:p>
      <w:pPr>
        <w:pStyle w:val="ListParagraph"/>
        <w:numPr>
          <w:ilvl w:val="1"/>
          <w:numId w:val="1"/>
        </w:numPr>
        <w:spacing w:after="60"/>
      </w:pPr>
      <w:r>
        <w:rPr>
          <w:rFonts w:ascii="Times New Roman" w:cs="Times New Roman" w:eastAsia="Times New Roman" w:hAnsi="Times New Roman"/>
          <w:color w:val="1F2937"/>
          <w:sz w:val="22"/>
          <w:szCs w:val="22"/>
        </w:rPr>
        <w:t xml:space="preserve">1. Calcule le revenu brut annuel réel (sur le capital utile après frais de souscription)</w:t>
      </w:r>
    </w:p>
    <w:p>
      <w:pPr>
        <w:pStyle w:val="ListParagraph"/>
        <w:numPr>
          <w:ilvl w:val="1"/>
          <w:numId w:val="1"/>
        </w:numPr>
        <w:spacing w:after="60"/>
      </w:pPr>
      <w:r>
        <w:rPr>
          <w:rFonts w:ascii="Times New Roman" w:cs="Times New Roman" w:eastAsia="Times New Roman" w:hAnsi="Times New Roman"/>
          <w:color w:val="1F2937"/>
          <w:sz w:val="22"/>
          <w:szCs w:val="22"/>
        </w:rPr>
        <w:t xml:space="preserve">2. Calcule la charge d'intérêts annuelle de l'emprunt (approximation acceptable : 3,5 % × 30 000 €)</w:t>
      </w:r>
    </w:p>
    <w:p>
      <w:pPr>
        <w:pStyle w:val="ListParagraph"/>
        <w:numPr>
          <w:ilvl w:val="1"/>
          <w:numId w:val="1"/>
        </w:numPr>
        <w:spacing w:after="60"/>
      </w:pPr>
      <w:r>
        <w:rPr>
          <w:rFonts w:ascii="Times New Roman" w:cs="Times New Roman" w:eastAsia="Times New Roman" w:hAnsi="Times New Roman"/>
          <w:color w:val="1F2937"/>
          <w:sz w:val="22"/>
          <w:szCs w:val="22"/>
        </w:rPr>
        <w:t xml:space="preserve">3. Applique les prélèvements sociaux à 17,2 % (revenus fonciers SCPI) et l'IR à 30 % sur le revenu net</w:t>
      </w:r>
    </w:p>
    <w:p>
      <w:pPr>
        <w:pStyle w:val="ListParagraph"/>
        <w:numPr>
          <w:ilvl w:val="1"/>
          <w:numId w:val="1"/>
        </w:numPr>
        <w:spacing w:after="60"/>
      </w:pPr>
      <w:r>
        <w:rPr>
          <w:rFonts w:ascii="Times New Roman" w:cs="Times New Roman" w:eastAsia="Times New Roman" w:hAnsi="Times New Roman"/>
          <w:color w:val="1F2937"/>
          <w:sz w:val="22"/>
          <w:szCs w:val="22"/>
        </w:rPr>
        <w:t xml:space="preserve">4. Détermine si les 600 €/mois sont réalistes, et explique l'écart</w:t>
      </w:r>
    </w:p>
    <w:p>
      <w:pPr>
        <w:spacing w:after="120"/>
      </w:pPr>
    </w:p>
    <w:p>
      <w:pPr>
        <w:spacing w:after="120"/>
      </w:pPr>
      <w:r>
        <w:rPr>
          <w:rFonts w:ascii="Times New Roman" w:cs="Times New Roman" w:eastAsia="Times New Roman" w:hAnsi="Times New Roman"/>
          <w:b w:val="false"/>
          <w:bCs w:val="false"/>
          <w:color w:val="1F2937"/>
          <w:sz w:val="22"/>
          <w:szCs w:val="22"/>
        </w:rPr>
        <w:t xml:space="preserve">Éléments de corrigé :</w:t>
      </w:r>
    </w:p>
    <w:p>
      <w:pPr>
        <w:pStyle w:val="ListParagraph"/>
        <w:numPr>
          <w:ilvl w:val="1"/>
          <w:numId w:val="1"/>
        </w:numPr>
        <w:spacing w:after="60"/>
      </w:pPr>
      <w:r>
        <w:rPr>
          <w:rFonts w:ascii="Times New Roman" w:cs="Times New Roman" w:eastAsia="Times New Roman" w:hAnsi="Times New Roman"/>
          <w:color w:val="1F2937"/>
          <w:sz w:val="22"/>
          <w:szCs w:val="22"/>
        </w:rPr>
        <w:t xml:space="preserve">1. Capital après frais de souscription : 50 000 − 4 000 = 46 000 €. Revenu brut annuel : 46 000 × 5 % = 2 300 €</w:t>
      </w:r>
    </w:p>
    <w:p>
      <w:pPr>
        <w:pStyle w:val="ListParagraph"/>
        <w:numPr>
          <w:ilvl w:val="1"/>
          <w:numId w:val="1"/>
        </w:numPr>
        <w:spacing w:after="60"/>
      </w:pPr>
      <w:r>
        <w:rPr>
          <w:rFonts w:ascii="Times New Roman" w:cs="Times New Roman" w:eastAsia="Times New Roman" w:hAnsi="Times New Roman"/>
          <w:color w:val="1F2937"/>
          <w:sz w:val="22"/>
          <w:szCs w:val="22"/>
        </w:rPr>
        <w:t xml:space="preserve">2. Charge d'intérêts approximative : 30 000 × 3,5 % = 1 050 €/an (hors remboursement du capital)</w:t>
      </w:r>
    </w:p>
    <w:p>
      <w:pPr>
        <w:pStyle w:val="ListParagraph"/>
        <w:numPr>
          <w:ilvl w:val="1"/>
          <w:numId w:val="1"/>
        </w:numPr>
        <w:spacing w:after="60"/>
      </w:pPr>
      <w:r>
        <w:rPr>
          <w:rFonts w:ascii="Times New Roman" w:cs="Times New Roman" w:eastAsia="Times New Roman" w:hAnsi="Times New Roman"/>
          <w:color w:val="1F2937"/>
          <w:sz w:val="22"/>
          <w:szCs w:val="22"/>
        </w:rPr>
        <w:t xml:space="preserve">3. Revenu après intérêts : 2 300 − 1 050 = 1 250 €. Prélèvements sociaux 17,2 % : 1 250 × 17,2 % = 215 €. Base IR : 1 250 − 215 = 1 035 €. IR à 30 % : 311 €. Revenu net : 1 035 − 311 = 724 €</w:t>
      </w:r>
    </w:p>
    <w:p>
      <w:pPr>
        <w:pStyle w:val="ListParagraph"/>
        <w:numPr>
          <w:ilvl w:val="1"/>
          <w:numId w:val="1"/>
        </w:numPr>
        <w:spacing w:after="60"/>
      </w:pPr>
      <w:r>
        <w:rPr>
          <w:rFonts w:ascii="Times New Roman" w:cs="Times New Roman" w:eastAsia="Times New Roman" w:hAnsi="Times New Roman"/>
          <w:color w:val="1F2937"/>
          <w:sz w:val="22"/>
          <w:szCs w:val="22"/>
        </w:rPr>
        <w:t xml:space="preserve">4. 724 € / 12 = 60 € par mois — très loin des 600 € annoncés. L'écart vient de : l'effet des frais de souscription, du coût de l'emprunt, et de la fiscalité. En réalité, sur un investissement à 100 % fonds propres (sans emprunt), le résultat est 1 750 €/an soit ~146 €/mois — toujours pas 600 €. Pour atteindre 600 €/mois net, il faudrait un capital d'environ 250 000 € investi à ce rendement net, soit 5 fois plus.</w:t>
      </w:r>
    </w:p>
    <w:p>
      <w:pPr>
        <w:pBdr>
          <w:left w:val="thick" w:color="D97706" w:sz="12"/>
        </w:pBdr>
        <w:shd w:fill="FFF4E5" w:color="FFF4E5" w:val="solid"/>
        <w:spacing w:after="200"/>
        <w:ind w:left="360" w:right="360"/>
      </w:pPr>
      <w:r>
        <w:rPr>
          <w:rFonts w:ascii="Times New Roman" w:cs="Times New Roman" w:eastAsia="Times New Roman" w:hAnsi="Times New Roman"/>
          <w:color w:val="1F2937"/>
          <w:sz w:val="22"/>
          <w:szCs w:val="22"/>
        </w:rPr>
        <w:t xml:space="preserve">Ce corrigé repose sur des hypothèses simplificatrices (intérêts calculés sur le capital initial, frais de gestion SCPI non déduits faute de source, remboursement de capital non inclus dans le calcul de flux). Un plan de financement réel est plus complexe. La valeur de ce challenge n'est pas dans le chiffre exact, mais dans la méthode : couche par couche, l'écart entre rendement brut affiché et revenu net réel se révèle.</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b w:val="false"/>
          <w:bCs w:val="false"/>
          <w:color w:val="1F2937"/>
          <w:sz w:val="22"/>
          <w:szCs w:val="22"/>
        </w:rPr>
        <w:t xml:space="preserve">Toutes ces URLs ont été testées et répondaient 200 le 16/08/2026 :</w:t>
      </w:r>
    </w:p>
    <w:p>
      <w:pPr>
        <w:spacing w:after="120"/>
      </w:pPr>
    </w:p>
    <w:p>
      <w:pPr>
        <w:pStyle w:val="ListParagraph"/>
        <w:numPr>
          <w:ilvl w:val="0"/>
          <w:numId w:val="1"/>
        </w:numPr>
        <w:spacing w:after="80"/>
      </w:pPr>
      <w:hyperlink w:history="1" r:id="rId_gggaz-sujbd-v0dpjd1r">
        <w:r>
          <w:rPr>
            <w:rFonts w:ascii="Times New Roman" w:cs="Times New Roman" w:eastAsia="Times New Roman" w:hAnsi="Times New Roman"/>
            <w:color w:val="1155CC"/>
            <w:sz w:val="22"/>
            <w:szCs w:val="22"/>
            <w:u w:val="single"/>
          </w:rPr>
          <w:t xml:space="preserve">Service-public.fr — Impôt sur les revenus d'épargne et de placement (PFU, taux 2026)</w:t>
        </w:r>
      </w:hyperlink>
    </w:p>
    <w:p>
      <w:pPr>
        <w:pStyle w:val="ListParagraph"/>
        <w:numPr>
          <w:ilvl w:val="0"/>
          <w:numId w:val="1"/>
        </w:numPr>
        <w:spacing w:after="80"/>
      </w:pPr>
      <w:hyperlink w:history="1" r:id="rIdptgrnehd3m4vsl4arrsjb">
        <w:r>
          <w:rPr>
            <w:rFonts w:ascii="Times New Roman" w:cs="Times New Roman" w:eastAsia="Times New Roman" w:hAnsi="Times New Roman"/>
            <w:color w:val="1155CC"/>
            <w:sz w:val="22"/>
            <w:szCs w:val="22"/>
            <w:u w:val="single"/>
          </w:rPr>
          <w:t xml:space="preserve">Service-public.fr — Prélèvements sociaux sur les revenus du capital (F2329)</w:t>
        </w:r>
      </w:hyperlink>
    </w:p>
    <w:p>
      <w:pPr>
        <w:pStyle w:val="ListParagraph"/>
        <w:numPr>
          <w:ilvl w:val="0"/>
          <w:numId w:val="1"/>
        </w:numPr>
        <w:spacing w:after="80"/>
      </w:pPr>
      <w:hyperlink w:history="1" r:id="rIdfoiee_mjrijwbagq1qxar">
        <w:r>
          <w:rPr>
            <w:rFonts w:ascii="Times New Roman" w:cs="Times New Roman" w:eastAsia="Times New Roman" w:hAnsi="Times New Roman"/>
            <w:color w:val="1155CC"/>
            <w:sz w:val="22"/>
            <w:szCs w:val="22"/>
            <w:u w:val="single"/>
          </w:rPr>
          <w:t xml:space="preserve">Service-public.fr — Revenus fonciers : régimes micro-foncier et réel (F1991)</w:t>
        </w:r>
      </w:hyperlink>
    </w:p>
    <w:p>
      <w:pPr>
        <w:pStyle w:val="ListParagraph"/>
        <w:numPr>
          <w:ilvl w:val="0"/>
          <w:numId w:val="1"/>
        </w:numPr>
        <w:spacing w:after="80"/>
      </w:pPr>
      <w:hyperlink w:history="1" r:id="rId8mtsoyl133u8hrqtseq0j">
        <w:r>
          <w:rPr>
            <w:rFonts w:ascii="Times New Roman" w:cs="Times New Roman" w:eastAsia="Times New Roman" w:hAnsi="Times New Roman"/>
            <w:color w:val="1155CC"/>
            <w:sz w:val="22"/>
            <w:szCs w:val="22"/>
            <w:u w:val="single"/>
          </w:rPr>
          <w:t xml:space="preserve">ASPIM — Collecte et performance des fonds immobiliers grand public, principaux indicateurs SCPI 2025</w:t>
        </w:r>
      </w:hyperlink>
    </w:p>
    <w:p>
      <w:pPr>
        <w:pStyle w:val="ListParagraph"/>
        <w:numPr>
          <w:ilvl w:val="0"/>
          <w:numId w:val="1"/>
        </w:numPr>
        <w:spacing w:after="80"/>
      </w:pPr>
      <w:hyperlink w:history="1" r:id="rId8tgmd5z1gio1qtject1na">
        <w:r>
          <w:rPr>
            <w:rFonts w:ascii="Times New Roman" w:cs="Times New Roman" w:eastAsia="Times New Roman" w:hAnsi="Times New Roman"/>
            <w:color w:val="1155CC"/>
            <w:sz w:val="22"/>
            <w:szCs w:val="22"/>
            <w:u w:val="single"/>
          </w:rPr>
          <w:t xml:space="preserve">AMF — Espace épargnants (mises en garde, arnaques, listes noires)</w:t>
        </w:r>
      </w:hyperlink>
    </w:p>
    <w:p>
      <w:pPr>
        <w:pStyle w:val="ListParagraph"/>
        <w:numPr>
          <w:ilvl w:val="0"/>
          <w:numId w:val="1"/>
        </w:numPr>
        <w:spacing w:after="80"/>
      </w:pPr>
      <w:hyperlink w:history="1" r:id="rIdboqrj_lverj5ofitiarla">
        <w:r>
          <w:rPr>
            <w:rFonts w:ascii="Times New Roman" w:cs="Times New Roman" w:eastAsia="Times New Roman" w:hAnsi="Times New Roman"/>
            <w:color w:val="1155CC"/>
            <w:sz w:val="22"/>
            <w:szCs w:val="22"/>
            <w:u w:val="single"/>
          </w:rPr>
          <w:t xml:space="preserve">AMF Protect Épargne — « Suis-je victime d'une arnaque ? »</w:t>
        </w:r>
      </w:hyperlink>
    </w:p>
    <w:p>
      <w:pPr>
        <w:pStyle w:val="ListParagraph"/>
        <w:numPr>
          <w:ilvl w:val="0"/>
          <w:numId w:val="1"/>
        </w:numPr>
        <w:spacing w:after="80"/>
      </w:pPr>
      <w:hyperlink w:history="1" r:id="rId3ewiub1szjkyjj0b7lblp">
        <w:r>
          <w:rPr>
            <w:rFonts w:ascii="Times New Roman" w:cs="Times New Roman" w:eastAsia="Times New Roman" w:hAnsi="Times New Roman"/>
            <w:color w:val="1155CC"/>
            <w:sz w:val="22"/>
            <w:szCs w:val="22"/>
            <w:u w:val="single"/>
          </w:rPr>
          <w:t xml:space="preserve">Service Public Entreprendre — Évolution du taux du PFU</w:t>
        </w:r>
      </w:hyperlink>
    </w:p>
    <w:p>
      <w:pPr>
        <w:pStyle w:val="ListParagraph"/>
        <w:numPr>
          <w:ilvl w:val="0"/>
          <w:numId w:val="1"/>
        </w:numPr>
        <w:spacing w:after="80"/>
      </w:pPr>
      <w:hyperlink w:history="1" r:id="rIdbaro2025pdf">
        <w:r>
          <w:rPr>
            <w:rFonts w:ascii="Times New Roman" w:cs="Times New Roman" w:eastAsia="Times New Roman" w:hAnsi="Times New Roman"/>
            <w:color w:val="1155CC"/>
            <w:sz w:val="22"/>
            <w:szCs w:val="22"/>
            <w:u w:val="single"/>
          </w:rPr>
          <w:t xml:space="preserve">AMF — Baromètre de l'épargne et de l'investissement 2025 (PDF, Audirep, n = 2 120)</w:t>
        </w:r>
      </w:hyperlink>
      <w:r>
        <w:rPr>
          <w:rFonts w:ascii="Times New Roman" w:cs="Times New Roman" w:eastAsia="Times New Roman" w:hAnsi="Times New Roman"/>
          <w:color w:val="1F2937"/>
          <w:sz w:val="22"/>
          <w:szCs w:val="22"/>
        </w:rPr>
        <w:t xml:space="preserve"> — AJOUTÉE LE 12/09/2026 : c'est la source du « 16 % de victimes déclarées » (15 % en 2024). Testée le 12/09/2026 : HTTP 200, 62 pages, 73 632 caractères de texte extrait ; le chiffre y figure page « arnaques aux placements », base n = 2 120.</w:t>
      </w:r>
    </w:p>
    <w:p>
      <w:pPr>
        <w:pStyle w:val="ListParagraph"/>
        <w:numPr>
          <w:ilvl w:val="0"/>
          <w:numId w:val="1"/>
        </w:numPr>
        <w:spacing w:after="80"/>
      </w:pPr>
      <w:hyperlink w:history="1" r:id="rIdbva2024">
        <w:r>
          <w:rPr>
            <w:rFonts w:ascii="Times New Roman" w:cs="Times New Roman" w:eastAsia="Times New Roman" w:hAnsi="Times New Roman"/>
            <w:color w:val="1155CC"/>
            <w:sz w:val="22"/>
            <w:szCs w:val="22"/>
            <w:u w:val="single"/>
          </w:rPr>
          <w:t xml:space="preserve">AMF — Les arnaques à l'investissement, BVA Xsight pour l'AMF, octobre 2024 (5 001 personnes)</w:t>
        </w:r>
      </w:hyperlink>
      <w:r>
        <w:rPr>
          <w:rFonts w:ascii="Times New Roman" w:cs="Times New Roman" w:eastAsia="Times New Roman" w:hAnsi="Times New Roman"/>
          <w:color w:val="1F2937"/>
          <w:sz w:val="22"/>
          <w:szCs w:val="22"/>
        </w:rPr>
        <w:t xml:space="preserve"> — AJOUTÉE LE 12/09/2026 : l'étude dont la leçon avait emprunté le descriptif (BVA Xsight, octobre 2024, 5 001) en le collant au chiffre du baromètre. Son chiffre-clé est 3,2 % de victimes probables. Testée le 12/09/2026 : HTTP 200, 4 845 caractères utiles, « 3,2 % » et « 5 001 » présents.</w:t>
      </w:r>
    </w:p>
    <w:p>
      <w:pPr>
        <w:spacing w:after="120"/>
      </w:pPr>
    </w:p>
    <w:p>
      <w:pPr>
        <w:spacing w:after="120"/>
      </w:pPr>
      <w:r>
        <w:rPr>
          <w:rFonts w:ascii="Times New Roman" w:cs="Times New Roman" w:eastAsia="Times New Roman" w:hAnsi="Times New Roman"/>
          <w:b w:val="false"/>
          <w:bCs w:val="false"/>
          <w:color w:val="1F2937"/>
          <w:sz w:val="22"/>
          <w:szCs w:val="22"/>
        </w:rPr>
        <w:t xml:space="preserve">Source non accessible lors de cette exécution (⛔ ECONNRESET)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autoentrepreneur.urssaf.fr — Taux de cotisations sociales micro-entrepreneur 2026 : consulter directement https://www.autoentrepreneur.urssaf.fr/portail/accueil/sinformer-sur-le-statut/lessentiel-du-statut.html</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Relecture finale — Points non sourcés à signaler</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1. Frais de gestion SCPI à 10 % des loyers : ordre de grandeur non retrouvé sur source primaire lors de cette exécution. À vérifier dans les notices des SCPI que tu envisages.</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2. Cotisations sociales micro-entrepreneur 2026 : le site autoentrepreneur.urssaf.fr était inaccessible (ECONNRESET). Les taux cités (25,6 % prestation de services, 21,2 % vente) viennent d'un résultat de recherche WebSearch pointant vers urssaf.fr — non lus directement sur la page primaire.</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3. Seuils de CA micro-entrepreneur 2026 : modifiés en 2026 selon un communiqué autoentrepreneur.urssaf.fr trouvé en recherche, mais non consultés faute d'accès. À vérifier.</w:t>
      </w:r>
    </w:p>
    <w:p>
      <w:pPr>
        <w:pBdr>
          <w:left w:val="thick" w:color="D97706" w:sz="12"/>
        </w:pBdr>
        <w:shd w:fill="FFF4E5" w:color="FFF4E5" w:val="solid"/>
        <w:spacing w:after="80"/>
        <w:ind w:left="360" w:right="360"/>
      </w:pPr>
      <w:r>
        <w:rPr>
          <w:rFonts w:ascii="Times New Roman" w:cs="Times New Roman" w:eastAsia="Times New Roman" w:hAnsi="Times New Roman"/>
          <w:color w:val="1F2937"/>
          <w:sz w:val="22"/>
          <w:szCs w:val="22"/>
        </w:rPr>
        <w:t xml:space="preserve">4. Taux d'échec e-commerce / dropshipping 80–90 % : sources secondaires commerciales, non vérifiables sur sources primaires académiques. Présentés comme ordres de grandeur.</w:t>
      </w:r>
    </w:p>
    <w:p>
      <w:pPr>
        <w:pBdr>
          <w:left w:val="thick" w:color="D97706" w:sz="12"/>
        </w:pBdr>
        <w:shd w:fill="FFF4E5" w:color="FFF4E5" w:val="solid"/>
        <w:spacing w:after="200"/>
        <w:ind w:left="360" w:right="360"/>
      </w:pPr>
      <w:r>
        <w:rPr>
          <w:rFonts w:ascii="Times New Roman" w:cs="Times New Roman" w:eastAsia="Times New Roman" w:hAnsi="Times New Roman"/>
          <w:color w:val="1F2937"/>
          <w:sz w:val="22"/>
          <w:szCs w:val="22"/>
        </w:rPr>
        <w:t xml:space="preserve">5. Temps de maintenance moyen : synthèse non sourcée, présentée explicitement comme telle.</w:t>
      </w:r>
    </w:p>
    <w:p>
      <w:pPr>
        <w:spacing w:after="120"/>
      </w:pPr>
    </w:p>
    <w:p>
      <w:pPr>
        <w:pStyle w:val="Heading2"/>
        <w:spacing w:after="120" w:before="300"/>
      </w:pPr>
      <w:r>
        <w:rPr>
          <w:rFonts w:ascii="Times New Roman" w:cs="Times New Roman" w:eastAsia="Times New Roman" w:hAnsi="Times New Roman"/>
          <w:b/>
          <w:bCs/>
          <w:color w:val="1B3A6B"/>
          <w:sz w:val="30"/>
          <w:szCs w:val="30"/>
        </w:rPr>
        <w:t xml:space="preserve">🔜 Prochaine leçon — Leçon 5</w:t>
      </w:r>
    </w:p>
    <w:p>
      <w:pPr>
        <w:spacing w:after="120"/>
      </w:pPr>
      <w:r>
        <w:rPr>
          <w:rFonts w:ascii="Times New Roman" w:cs="Times New Roman" w:eastAsia="Times New Roman" w:hAnsi="Times New Roman"/>
          <w:b w:val="false"/>
          <w:bCs w:val="false"/>
          <w:color w:val="1F2937"/>
          <w:sz w:val="22"/>
          <w:szCs w:val="22"/>
        </w:rPr>
        <w:t xml:space="preserve">Thème : Idées 1 et 2 — Produits numériques (ebooks, formations, templates) et contenus monétisés / affiliation</w:t>
      </w:r>
    </w:p>
    <w:p>
      <w:pPr>
        <w:spacing w:after="120"/>
      </w:pPr>
      <w:r>
        <w:rPr>
          <w:rFonts w:ascii="Times New Roman" w:cs="Times New Roman" w:eastAsia="Times New Roman" w:hAnsi="Times New Roman"/>
          <w:b w:val="false"/>
          <w:bCs w:val="false"/>
          <w:color w:val="1F2937"/>
          <w:sz w:val="22"/>
          <w:szCs w:val="22"/>
        </w:rPr>
        <w:t xml:space="preserve">Nous quitterons le registre de l'économie générale pour entrer dans la pratique : comment crée-t-on un produit numérique viable, comment l'affiliation fonctionne-t-elle vraiment, et quels sont les chiffres réels de revenus pour des créateurs ordinaires (pas les success stories)?</w:t>
      </w:r>
    </w:p>
    <w:p>
      <w:pPr>
        <w:spacing w:after="120"/>
      </w:pP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Journal des corrections — 12 septembre 2026</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Relue le 12/09/2026 par la passe A4 du contrôle d'attribution. UNE correction, et elle n'était pas qu'une adresse manquante.</w:t>
      </w:r>
    </w:p>
    <w:p>
      <w:pPr>
        <w:pStyle w:val="ListParagraph"/>
        <w:numPr>
          <w:ilvl w:val="0"/>
          <w:numId w:val="1"/>
        </w:numPr>
        <w:spacing w:after="80"/>
      </w:pPr>
      <w:r>
        <w:rPr>
          <w:rFonts w:ascii="Times New Roman" w:cs="Times New Roman" w:eastAsia="Times New Roman" w:hAnsi="Times New Roman"/>
          <w:color w:val="1F2937"/>
          <w:sz w:val="22"/>
          <w:szCs w:val="22"/>
        </w:rPr>
        <w:t xml:space="preserve">① Deux études de l'AMF soudées l'une à l'autre. La ligne « Source : AMF, baromètre 2025 — étude BVA Xsight, octobre 2024, 5 001 personnes interrogées » ne portait aucune adresse. En allant la chercher, on découvre qu'elle décrit DEUX documents distincts : le Baromètre de l'épargne et de l'investissement 2025 (Audirep, 2 120 personnes, terrain du 19 septembre au 3 octobre 2025), d'où vient le « 16 % déclarent avoir déjà été victimes » (15 % en 2024) ; et « Les arnaques à l'investissement » (BVA Xsight, octobre 2024, 5 001 personnes), dont le chiffre-clé est 3,2 % de victimes PROBABLES. Le chiffre de la leçon était juste et venait du premier ; son descriptif venait du second. Un lecteur qui aurait ouvert l'étude BVA en cherchant le 16 % y aurait trouvé 3,2 % — cinq fois moins — et conclu à une erreur. Les deux études sont désormais nommées, distinguées, et ajoutées aux ressources.</w:t>
      </w:r>
    </w:p>
    <w:p>
      <w:pPr>
        <w:pStyle w:val="ListParagraph"/>
        <w:numPr>
          <w:ilvl w:val="0"/>
          <w:numId w:val="1"/>
        </w:numPr>
        <w:spacing w:after="80"/>
      </w:pPr>
      <w:r>
        <w:rPr>
          <w:rFonts w:ascii="Times New Roman" w:cs="Times New Roman" w:eastAsia="Times New Roman" w:hAnsi="Times New Roman"/>
          <w:color w:val="1F2937"/>
          <w:sz w:val="22"/>
          <w:szCs w:val="22"/>
        </w:rPr>
        <w:t xml:space="preserve">Ce que ce cas apprend, et qui vaut pour tout le parcours : une ligne « Source : » sans adresse ne se vérifie pas — et c'est justement quand on ne la vérifie pas que deux références se mélangent. Le « stable depuis deux ans », que rien ne sourçait, devient « 15 % en 2024 », qui est ce que le baromètre dit.</w:t>
      </w:r>
    </w:p>
    <w:p>
      <w:pPr>
        <w:pBdr>
          <w:top w:val="single" w:color="CCCCCC" w:sz="1"/>
        </w:pBdr>
        <w:spacing w:after="60" w:before="300"/>
        <w:jc w:val="center"/>
      </w:pPr>
      <w:r>
        <w:rPr>
          <w:rFonts w:ascii="Times New Roman" w:cs="Times New Roman" w:eastAsia="Times New Roman" w:hAnsi="Times New Roman"/>
          <w:color w:val="888888"/>
          <w:sz w:val="18"/>
          <w:szCs w:val="18"/>
        </w:rPr>
        <w:t xml:space="preserve">Leçon Revenus passifs n°4 / 10 — 16 août 2026 — Usage éducatif et personnel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gggaz-sujbd-v0dpjd1r" Type="http://schemas.openxmlformats.org/officeDocument/2006/relationships/hyperlink" Target="https://www.service-public.gouv.fr/particuliers/vosdroits/F34913/1_7" TargetMode="External"/><Relationship Id="rIdptgrnehd3m4vsl4arrsjb" Type="http://schemas.openxmlformats.org/officeDocument/2006/relationships/hyperlink" Target="https://www.service-public.gouv.fr/particuliers/vosdroits/F2329" TargetMode="External"/><Relationship Id="rIdfoiee_mjrijwbagq1qxar" Type="http://schemas.openxmlformats.org/officeDocument/2006/relationships/hyperlink" Target="https://www.service-public.gouv.fr/particuliers/vosdroits/F1991" TargetMode="External"/><Relationship Id="rId8mtsoyl133u8hrqtseq0j" Type="http://schemas.openxmlformats.org/officeDocument/2006/relationships/hyperlink" Target="https://www.aspim.fr/actualites/collecte-et-performance-des-fonds-immobiliers-grand-public-au-premier-trimestre-2026-et-principaux-indicateurs-des-scpi-en-2025/" TargetMode="External"/><Relationship Id="rId8tgmd5z1gio1qtject1na" Type="http://schemas.openxmlformats.org/officeDocument/2006/relationships/hyperlink" Target="https://www.amf-france.org/fr/espace-epargnants" TargetMode="External"/><Relationship Id="rIdboqrj_lverj5ofitiarla" Type="http://schemas.openxmlformats.org/officeDocument/2006/relationships/hyperlink" Target="https://protectepargne.amf-france.org/questionnaire-arnaque/questions" TargetMode="External"/><Relationship Id="rId3ewiub1szjkyjj0b7lblp" Type="http://schemas.openxmlformats.org/officeDocument/2006/relationships/hyperlink" Target="https://entreprendre.service-public.gouv.fr/actualites/A18796" TargetMode="External"/><Relationship Id="rId14" Type="http://schemas.openxmlformats.org/officeDocument/2006/relationships/fontTable" Target="fontTable.xml"/><Relationship Id="rIdbaro2025pdf" Type="http://schemas.openxmlformats.org/officeDocument/2006/relationships/hyperlink" Target="https://www.amf-france.org/sites/institutionnel/files/private/2025-12/barometre-amf-2025.pdf" TargetMode="External"/><Relationship Id="rIdbva2024" Type="http://schemas.openxmlformats.org/officeDocument/2006/relationships/hyperlink" Target="https://www.amf-france.org/fr/actualites-publications/publications/rapports-etudes-et-analyses/les-arnaques-linvestissement-bva-xsight-pour-lamf-octobre-202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2026-08-16T05:10:56.997Z</dcterms:created>
  <dcterms:modified xsi:type="dcterms:W3CDTF">2026-08-16T05:10:57.008Z</dcterms:modified>
</cp:coreProperties>
</file>

<file path=docProps/custom.xml><?xml version="1.0" encoding="utf-8"?>
<Properties xmlns="http://schemas.openxmlformats.org/officeDocument/2006/custom-properties" xmlns:vt="http://schemas.openxmlformats.org/officeDocument/2006/docPropsVTypes"/>
</file>