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1B3A6B"/>
          <w:sz w:val="52"/>
          <w:szCs w:val="52"/>
        </w:rPr>
        <w:t xml:space="preserve">Leçon Revenus passifs n°07</w:t>
      </w:r>
    </w:p>
    <w:p>
      <w:pPr>
        <w:spacing w:after="100"/>
        <w:jc w:val="center"/>
      </w:pPr>
      <w:r>
        <w:rPr>
          <w:rFonts w:ascii="Times New Roman" w:cs="Times New Roman" w:eastAsia="Times New Roman" w:hAnsi="Times New Roman"/>
          <w:b/>
          <w:bCs/>
          <w:color w:val="1B3A6B"/>
          <w:sz w:val="52"/>
          <w:szCs w:val="52"/>
        </w:rPr>
        <w:t xml:space="preserve">Idée 5 : Automatisations no-code, micro-SaaS et agents IA</w:t>
      </w:r>
    </w:p>
    <w:p>
      <w:pPr>
        <w:spacing w:after="200"/>
        <w:jc w:val="center"/>
      </w:pPr>
      <w:r>
        <w:rPr>
          <w:rFonts w:ascii="Times New Roman" w:cs="Times New Roman" w:eastAsia="Times New Roman" w:hAnsi="Times New Roman"/>
          <w:i/>
          <w:iCs/>
          <w:color w:val="6B7280"/>
          <w:sz w:val="22"/>
          <w:szCs w:val="22"/>
        </w:rPr>
        <w:t xml:space="preserve">6 septembre 2026  •  Leçon 07 / 10</w:t>
      </w:r>
    </w:p>
    <w:p>
      <w:pPr>
        <w:pBdr>
          <w:bottom w:val="single" w:color="E5E7EB" w:sz="4"/>
        </w:pBdr>
        <w:spacing w:after="120" w:before="12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Cadre déontologique</w:t>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AVERTISSEMENT ÉDUCATIF — Cette leçon est éducative et généraliste. Elle n’a pas valeur de conseil en investissement ni de recommandation personnalisée. En France, le conseil en investissement financier est une activité réglementée (statut CIF, registre ORIAS). Aucune leçon de ce parcours ne prescrit quoi acheter, quand, ni pour quel montant.</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Le secteur « revenus passifs via outils numériques » est saturé de promesses trompeuses et de formations creuses. Cette leçon expose sans complaisance les taux d’échec documentés, le travail non-passif exigé, les coûts réels et les signaux d’arnaque propres au secteur. Toute décision relève de votre responsabilité, le cas échéant avec un professionnel agréé.</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Objectif &amp; continuité</w:t>
      </w:r>
    </w:p>
    <w:p>
      <w:pPr>
        <w:spacing w:after="80" w:before="200"/>
      </w:pPr>
      <w:r>
        <w:rPr>
          <w:rFonts w:ascii="Times New Roman" w:cs="Times New Roman" w:eastAsia="Times New Roman" w:hAnsi="Times New Roman"/>
          <w:b/>
          <w:bCs/>
          <w:color w:val="1F2937"/>
          <w:sz w:val="26"/>
          <w:szCs w:val="26"/>
        </w:rPr>
        <w:t xml:space="preserve">Ce que vous saurez faire après cette leçon</w:t>
      </w:r>
    </w:p>
    <w:p>
      <w:pPr>
        <w:pStyle w:val="ListParagraph"/>
        <w:numPr>
          <w:ilvl w:val="0"/>
          <w:numId w:val="2"/>
        </w:numPr>
        <w:spacing w:after="60"/>
      </w:pPr>
      <w:r>
        <w:rPr>
          <w:rFonts w:ascii="Times New Roman" w:cs="Times New Roman" w:eastAsia="Times New Roman" w:hAnsi="Times New Roman"/>
          <w:color w:val="1F2937"/>
          <w:sz w:val="22"/>
          <w:szCs w:val="22"/>
        </w:rPr>
        <w:t xml:space="preserve">Distinguer les trois variantes du modèle numérique : automatisation no-code, micro-SaaS, AI wrapper</w:t>
      </w:r>
    </w:p>
    <w:p>
      <w:pPr>
        <w:pStyle w:val="ListParagraph"/>
        <w:numPr>
          <w:ilvl w:val="0"/>
          <w:numId w:val="2"/>
        </w:numPr>
        <w:spacing w:after="60"/>
      </w:pPr>
      <w:r>
        <w:rPr>
          <w:rFonts w:ascii="Times New Roman" w:cs="Times New Roman" w:eastAsia="Times New Roman" w:hAnsi="Times New Roman"/>
          <w:color w:val="1F2937"/>
          <w:sz w:val="22"/>
          <w:szCs w:val="22"/>
        </w:rPr>
        <w:t xml:space="preserve">Comprendre comment se structure un revenu récurrent (MRR) dans ces modèles</w:t>
      </w:r>
    </w:p>
    <w:p>
      <w:pPr>
        <w:pStyle w:val="ListParagraph"/>
        <w:numPr>
          <w:ilvl w:val="0"/>
          <w:numId w:val="2"/>
        </w:numPr>
        <w:spacing w:after="60"/>
      </w:pPr>
      <w:r>
        <w:rPr>
          <w:rFonts w:ascii="Times New Roman" w:cs="Times New Roman" w:eastAsia="Times New Roman" w:hAnsi="Times New Roman"/>
          <w:color w:val="1F2937"/>
          <w:sz w:val="22"/>
          <w:szCs w:val="22"/>
        </w:rPr>
        <w:t xml:space="preserve">Évaluer réalistement la charge de travail, les coûts et les risques propres à chaque variante</w:t>
      </w:r>
    </w:p>
    <w:p>
      <w:pPr>
        <w:pStyle w:val="ListParagraph"/>
        <w:numPr>
          <w:ilvl w:val="0"/>
          <w:numId w:val="2"/>
        </w:numPr>
        <w:spacing w:after="60"/>
      </w:pPr>
      <w:r>
        <w:rPr>
          <w:rFonts w:ascii="Times New Roman" w:cs="Times New Roman" w:eastAsia="Times New Roman" w:hAnsi="Times New Roman"/>
          <w:color w:val="1F2937"/>
          <w:sz w:val="22"/>
          <w:szCs w:val="22"/>
        </w:rPr>
        <w:t xml:space="preserve">Identifier les signaux d’arnaque AMF spécifiques au secteur « formation no-code / IA »</w:t>
      </w:r>
    </w:p>
    <w:p>
      <w:pPr>
        <w:pStyle w:val="ListParagraph"/>
        <w:numPr>
          <w:ilvl w:val="0"/>
          <w:numId w:val="2"/>
        </w:numPr>
        <w:spacing w:after="60"/>
      </w:pPr>
      <w:r>
        <w:rPr>
          <w:rFonts w:ascii="Times New Roman" w:cs="Times New Roman" w:eastAsia="Times New Roman" w:hAnsi="Times New Roman"/>
          <w:color w:val="1F2937"/>
          <w:sz w:val="22"/>
          <w:szCs w:val="22"/>
        </w:rPr>
        <w:t xml:space="preserve">Calculer la rentabilité d’un micro-SaaS à partir de données concrètes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Lien avec la leçon précédente (n°06)</w:t>
      </w:r>
    </w:p>
    <w:p>
      <w:pPr>
        <w:spacing w:after="80"/>
      </w:pPr>
      <w:r>
        <w:rPr>
          <w:rFonts w:ascii="Times New Roman" w:cs="Times New Roman" w:eastAsia="Times New Roman" w:hAnsi="Times New Roman"/>
          <w:color w:val="1F2937"/>
          <w:sz w:val="22"/>
          <w:szCs w:val="22"/>
        </w:rPr>
        <w:t xml:space="preserve">La leçon 06 portait sur les placements à revenu (ETF distribuants, SCPI) : des modèles fondés sur le capital financier. Cette leçon explore l’autre extrémité du spectre : des modèles fondés sur la compétence technique et le temps de construction, avec peu ou pas de capital initial. Ces deux logiques sont profondément différentes — et leur comparaison est l’un des apprentissages clés du parcours.</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Théorie (20 %) — Les trois variantes du modèle numérique</w:t>
      </w:r>
    </w:p>
    <w:p>
      <w:pPr>
        <w:spacing w:after="80" w:before="200"/>
      </w:pPr>
      <w:r>
        <w:rPr>
          <w:rFonts w:ascii="Times New Roman" w:cs="Times New Roman" w:eastAsia="Times New Roman" w:hAnsi="Times New Roman"/>
          <w:b/>
          <w:bCs/>
          <w:color w:val="1F2937"/>
          <w:sz w:val="26"/>
          <w:szCs w:val="26"/>
        </w:rPr>
        <w:t xml:space="preserve">1. L’automatisation no-code</w:t>
      </w:r>
    </w:p>
    <w:p>
      <w:pPr>
        <w:spacing w:after="80"/>
      </w:pPr>
      <w:r>
        <w:rPr>
          <w:rFonts w:ascii="Times New Roman" w:cs="Times New Roman" w:eastAsia="Times New Roman" w:hAnsi="Times New Roman"/>
          <w:color w:val="1F2937"/>
          <w:sz w:val="22"/>
          <w:szCs w:val="22"/>
        </w:rPr>
        <w:t xml:space="preserve">Une automatisation no-code relie des applications entre elles sans écrire de code : un déclencheur (trigger) active une séquence d’actions prédéfinies. Exemple : chaque nouveau formulaire reçu déclenche l’envoi d’un email de confirmation, la création d’une ligne dans un tableur et l’ajout d’un contact dans un CRM.</w:t>
      </w:r>
    </w:p>
    <w:p>
      <w:pPr>
        <w:spacing w:after="80"/>
      </w:pPr>
      <w:r>
        <w:rPr>
          <w:rFonts w:ascii="Times New Roman" w:cs="Times New Roman" w:eastAsia="Times New Roman" w:hAnsi="Times New Roman"/>
          <w:color w:val="1F2937"/>
          <w:sz w:val="22"/>
          <w:szCs w:val="22"/>
        </w:rPr>
        <w:t xml:space="preserve">Les outils dominants du marché en 2026 sont Zapier, Make.com et n8n. Ils s’adressent à des profils non-développeurs. On peut les utiliser pour vendre des automatisations sur mesure comme prestataire, ou pour opérer les flux internes d’un micro-SaaS sans infrastructure de développement.</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L’automatisation no-code est souvent présentée comme « le revenu passif le plus accessible ». C’est également le plus limité en scalabilité : automatiser pour un client crée de la valeur, mais ne génère pas automatiquement de revenu récurrent — il faut encore trouver et fidéliser des clients (synthèse, non citation).</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2. Le micro-SaaS</w:t>
      </w:r>
    </w:p>
    <w:p>
      <w:pPr>
        <w:spacing w:after="80"/>
      </w:pPr>
      <w:r>
        <w:rPr>
          <w:rFonts w:ascii="Times New Roman" w:cs="Times New Roman" w:eastAsia="Times New Roman" w:hAnsi="Times New Roman"/>
          <w:color w:val="1F2937"/>
          <w:sz w:val="22"/>
          <w:szCs w:val="22"/>
        </w:rPr>
        <w:t xml:space="preserve">Un micro-SaaS (Software as a Service de petite échelle) est un logiciel ciblant une niche très précise, vendu en abonnement mensuel ou annuel. Il est typiquement développé et opéré par une seule personne (solo founder) ou une très petite équipe.</w:t>
      </w:r>
    </w:p>
    <w:p>
      <w:pPr>
        <w:spacing w:after="80"/>
      </w:pPr>
      <w:r>
        <w:rPr>
          <w:rFonts w:ascii="Times New Roman" w:cs="Times New Roman" w:eastAsia="Times New Roman" w:hAnsi="Times New Roman"/>
          <w:color w:val="1F2937"/>
          <w:sz w:val="22"/>
          <w:szCs w:val="22"/>
        </w:rPr>
        <w:t xml:space="preserve">Ce qui le distingue d’un SaaS classique : l’ambition de croissance est délibérément limitée. L’objectif n’est pas de lever des fonds ni de scaler à grande échelle, mais d’atteindre un MRR couvrant les charges et générant un revenu stable.</w:t>
      </w:r>
    </w:p>
    <w:p>
      <w:pPr>
        <w:spacing w:after="80"/>
      </w:pPr>
      <w:r>
        <w:rPr>
          <w:rFonts w:ascii="Times New Roman" w:cs="Times New Roman" w:eastAsia="Times New Roman" w:hAnsi="Times New Roman"/>
          <w:color w:val="1F2937"/>
          <w:sz w:val="22"/>
          <w:szCs w:val="22"/>
        </w:rPr>
        <w:t xml:space="preserve">Exemples de niches typiques : outil de génération de factures pour auto-entrepreneurs, plugin de gestion de listes d’attente pour restaurants, système d’emails automatisés pour blogueurs.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3. L’AI wrapper</w:t>
      </w:r>
    </w:p>
    <w:p>
      <w:pPr>
        <w:spacing w:after="80"/>
      </w:pPr>
      <w:r>
        <w:rPr>
          <w:rFonts w:ascii="Times New Roman" w:cs="Times New Roman" w:eastAsia="Times New Roman" w:hAnsi="Times New Roman"/>
          <w:color w:val="1F2937"/>
          <w:sz w:val="22"/>
          <w:szCs w:val="22"/>
        </w:rPr>
        <w:t xml:space="preserve">Un AI wrapper est une application qui encapsule l’accès à une API d’IA générative (OpenAI, Anthropic, Google Gemini…) dans une interface ou un workflow spécifique à un cas d’usage. L’utilisateur accède à une interface pré-paramétrée pour sa niche, sans maîtriser l’API brute.</w:t>
      </w:r>
    </w:p>
    <w:p>
      <w:pPr>
        <w:spacing w:after="80"/>
      </w:pPr>
      <w:r>
        <w:rPr>
          <w:rFonts w:ascii="Times New Roman" w:cs="Times New Roman" w:eastAsia="Times New Roman" w:hAnsi="Times New Roman"/>
          <w:color w:val="1F2937"/>
          <w:sz w:val="22"/>
          <w:szCs w:val="22"/>
        </w:rPr>
        <w:t xml:space="preserve">Exemples : générateur de fiches produit pour e-commerçants, assistant de rédaction pour agences immobilières, chatbot de FAQ interne pour PME.</w:t>
      </w:r>
    </w:p>
    <w:p>
      <w:pPr>
        <w:spacing w:after="80"/>
      </w:pPr>
      <w:r>
        <w:rPr>
          <w:rFonts w:ascii="Times New Roman" w:cs="Times New Roman" w:eastAsia="Times New Roman" w:hAnsi="Times New Roman"/>
          <w:color w:val="1F2937"/>
          <w:sz w:val="22"/>
          <w:szCs w:val="22"/>
        </w:rPr>
        <w:t xml:space="preserve">C’est le modèle le plus récent et le plus volatil : les barrières à l’entrée sont très faibles (quelques heures pour un prototype), ce qui entraîne une saturation rapide des niches. La concurrence directe avec les fournisseurs d’IA eux-mêmes est un risque structurel : ils enrichissent régulièrement leurs produits natifs et absorbent les cas d’usage des wrappers.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La mécanique commune : le MRR et le revenu récurrent</w:t>
      </w:r>
    </w:p>
    <w:p>
      <w:pPr>
        <w:spacing w:after="80"/>
      </w:pPr>
      <w:r>
        <w:rPr>
          <w:rFonts w:ascii="Times New Roman" w:cs="Times New Roman" w:eastAsia="Times New Roman" w:hAnsi="Times New Roman"/>
          <w:color w:val="1F2937"/>
          <w:sz w:val="22"/>
          <w:szCs w:val="22"/>
        </w:rPr>
        <w:t xml:space="preserve">Les trois variantes partagent le même attrait : le revenu récurrent. Si 30 clients paient 15 €/mois, cela génère 450 € de MRR sans refacturer chaque mois. C’est la promesse de la passivité : une fois le produit construit, les revenus arrivent automatiquement.</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La réalité est plus nuancée. Le MRR est récurrent, mais la maintenance, le support client, les mises à jour et la lutte contre le churn (désabonnements) ne le sont pas dans le sens « passif » du terme. Ils représentent une charge continue, difficile à déléguer en phase précoce, et souvent sous-estimée. (Synthèse, non citation.)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Ancrage réaliste — Ce que les données disent vraiment</w:t>
      </w:r>
    </w:p>
    <w:p>
      <w:pPr>
        <w:spacing w:after="80" w:before="200"/>
      </w:pPr>
      <w:r>
        <w:rPr>
          <w:rFonts w:ascii="Times New Roman" w:cs="Times New Roman" w:eastAsia="Times New Roman" w:hAnsi="Times New Roman"/>
          <w:b/>
          <w:bCs/>
          <w:color w:val="1F2937"/>
          <w:sz w:val="26"/>
          <w:szCs w:val="26"/>
        </w:rPr>
        <w:t xml:space="preserve">Taux d’échec documentés (sources testées le 6 septembre 2026)</w:t>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92 % des SaaS échouent en 3 ans, et 45 % des échecs se concentrent entre le 18e et le 24e mois — Rockingweb.com.au, « 18-Month Rule », page relue le 06/09/2026. ⚠️ Cette source se contredit elle-même : son titre annonce « 92% of Micro SaaS Fail Within 18 Months », son corps écrit « 92% of SaaS startups die within 3 years » et « 45% of all startup failures occur between months 18-24 ». Les chiffres retenus ici sont ceux du corps, pas du titre. La page s’appuie sur CB Insights (483 post-mortems), Harvard Business Review et 1 000 entreprises défaillantes. Source secondaire (blog d’agence web australienne), non un organisme officiel : estimation de marché, non statistique certifiée.</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Distribution des revenus (Rockingweb.com.au, « 1,000 Micro SaaS Analysed », page relue mot pour mot le 06/09/2026) : 70 % restent sous 1 000 $/mois — la « validation zone » de 0 à 1 000 $ | 18 % seulement atteignent la « sustainability zone » de 1 000 à 5 000 $ de MRR | 1 à 2 % dépassent 50 000 $/mois. La source ajoute deux repères : 95 % des micro-SaaS deviennent rentables en moins de 12 mois, et la moyenne de 83 300 $/mois qu’elle cite ne porte que sur les « top performers », pas sur l’ensemble.</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Lecture : la barre des 1 000 $/mois n’est pas un seuil de démarrage, c’est le plafond de 7 produits sur 10. Le modèle chiffré de l’exercice 3 ci-dessous — 30 abonnés à 15 €, soit 450 € de MRR — se situerait, s’il était atteint, dans les 30 % supérieurs de cette distribution.</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Pour les AI wrappers : un taux d’échec de 90 % est évoqué dans des analyses de marché 2025. Donnée issue de sources secondaires non vérifiées directement pendant cette exécution — ordre de grandeur indicatif, non chiffre officiel.</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Le travail non-passif caché</w:t>
      </w:r>
    </w:p>
    <w:p>
      <w:pPr>
        <w:pStyle w:val="ListParagraph"/>
        <w:numPr>
          <w:ilvl w:val="0"/>
          <w:numId w:val="2"/>
        </w:numPr>
        <w:spacing w:after="60"/>
      </w:pPr>
      <w:r>
        <w:rPr>
          <w:rFonts w:ascii="Times New Roman" w:cs="Times New Roman" w:eastAsia="Times New Roman" w:hAnsi="Times New Roman"/>
          <w:color w:val="1F2937"/>
          <w:sz w:val="22"/>
          <w:szCs w:val="22"/>
        </w:rPr>
        <w:t xml:space="preserve">Support client : répondre aux questions, gérer les bugs signalés, rédiger et mettre à jour la documentation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Mises à jour techniques : les API tierces (IA, outils no-code) évoluent et cassent régulièrement les intégrations existantes</w:t>
      </w:r>
    </w:p>
    <w:p>
      <w:pPr>
        <w:pStyle w:val="ListParagraph"/>
        <w:numPr>
          <w:ilvl w:val="0"/>
          <w:numId w:val="2"/>
        </w:numPr>
        <w:spacing w:after="60"/>
      </w:pPr>
      <w:r>
        <w:rPr>
          <w:rFonts w:ascii="Times New Roman" w:cs="Times New Roman" w:eastAsia="Times New Roman" w:hAnsi="Times New Roman"/>
          <w:color w:val="1F2937"/>
          <w:sz w:val="22"/>
          <w:szCs w:val="22"/>
        </w:rPr>
        <w:t xml:space="preserve">Marketing et acquisition : sans trafic qualifié, aucun client. Un micro-SaaS sans stratégie d’acquisition reste à 0 € de MRR</w:t>
      </w:r>
    </w:p>
    <w:p>
      <w:pPr>
        <w:pStyle w:val="ListParagraph"/>
        <w:numPr>
          <w:ilvl w:val="0"/>
          <w:numId w:val="2"/>
        </w:numPr>
        <w:spacing w:after="60"/>
      </w:pPr>
      <w:r>
        <w:rPr>
          <w:rFonts w:ascii="Times New Roman" w:cs="Times New Roman" w:eastAsia="Times New Roman" w:hAnsi="Times New Roman"/>
          <w:color w:val="1F2937"/>
          <w:sz w:val="22"/>
          <w:szCs w:val="22"/>
        </w:rPr>
        <w:t xml:space="preserve">Gestion du churn : les désabonnements érodent le MRR chaque mois. Les retenir exige d’améliorer le produit en continu</w:t>
      </w:r>
    </w:p>
    <w:p>
      <w:pPr>
        <w:pStyle w:val="ListParagraph"/>
        <w:numPr>
          <w:ilvl w:val="0"/>
          <w:numId w:val="2"/>
        </w:numPr>
        <w:spacing w:after="60"/>
      </w:pPr>
      <w:r>
        <w:rPr>
          <w:rFonts w:ascii="Times New Roman" w:cs="Times New Roman" w:eastAsia="Times New Roman" w:hAnsi="Times New Roman"/>
          <w:color w:val="1F2937"/>
          <w:sz w:val="22"/>
          <w:szCs w:val="22"/>
        </w:rPr>
        <w:t xml:space="preserve">Conformité légale : RGPD, CGU, politique de confidentialité — obligatoires dès le premier euro perçu en France</w:t>
      </w:r>
    </w:p>
    <w:p>
      <w:pPr>
        <w:pStyle w:val="ListParagraph"/>
        <w:numPr>
          <w:ilvl w:val="0"/>
          <w:numId w:val="2"/>
        </w:numPr>
        <w:spacing w:after="60"/>
      </w:pPr>
      <w:r>
        <w:rPr>
          <w:rFonts w:ascii="Times New Roman" w:cs="Times New Roman" w:eastAsia="Times New Roman" w:hAnsi="Times New Roman"/>
          <w:color w:val="1F2937"/>
          <w:sz w:val="22"/>
          <w:szCs w:val="22"/>
        </w:rPr>
        <w:t xml:space="preserve">Comptabilité et fiscalité : déclarations, cotisations sociales, TVA si applicable — même en micro-entrepreneur</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Coûts réels des outils en 2026</w:t>
      </w:r>
    </w:p>
    <w:p>
      <w:pPr>
        <w:spacing w:after="80"/>
      </w:pPr>
      <w:r>
        <w:rPr>
          <w:rFonts w:ascii="Times New Roman" w:cs="Times New Roman" w:eastAsia="Times New Roman" w:hAnsi="Times New Roman"/>
          <w:color w:val="1F2937"/>
          <w:sz w:val="22"/>
          <w:szCs w:val="22"/>
        </w:rPr>
        <w:t xml:space="preserve">Tarifs issus du comparatif Parseur.com (2026, URL testée le 6 septembre 2026 : HTTP 200), basé sur les grilles tarifaires officielles des éditeurs. Ces prix évoluent : vérifier directement sur les sites officiels avant tout engagement.</w:t>
      </w:r>
    </w:p>
    <w:p>
      <w:pPr>
        <w:spacing w:after="100"/>
      </w:pPr>
      <w:r>
        <w:t xml:space="preserve"/>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shd w:fill="1B3A6B" w:val="clear"/>
          </w:tcPr>
          <w:p>
            <w:pPr>
              <w:jc w:val="center"/>
            </w:pPr>
            <w:r>
              <w:rPr>
                <w:rFonts w:ascii="Times New Roman" w:cs="Times New Roman" w:eastAsia="Times New Roman" w:hAnsi="Times New Roman"/>
                <w:b/>
                <w:bCs/>
                <w:color w:val="FFFFFF"/>
                <w:sz w:val="20"/>
                <w:szCs w:val="20"/>
              </w:rPr>
              <w:t xml:space="preserve">Outil</w:t>
            </w:r>
          </w:p>
        </w:tc>
        <w:tc>
          <w:tcPr>
            <w:tcW w:type="dxa" w:w="2400"/>
            <w:shd w:fill="1B3A6B" w:val="clear"/>
          </w:tcPr>
          <w:p>
            <w:pPr>
              <w:jc w:val="center"/>
            </w:pPr>
            <w:r>
              <w:rPr>
                <w:rFonts w:ascii="Times New Roman" w:cs="Times New Roman" w:eastAsia="Times New Roman" w:hAnsi="Times New Roman"/>
                <w:b/>
                <w:bCs/>
                <w:color w:val="FFFFFF"/>
                <w:sz w:val="20"/>
                <w:szCs w:val="20"/>
              </w:rPr>
              <w:t xml:space="preserve">Plan de base (2026)</w:t>
            </w:r>
          </w:p>
        </w:tc>
        <w:tc>
          <w:tcPr>
            <w:tcW w:type="dxa" w:w="2200"/>
            <w:shd w:fill="1B3A6B" w:val="clear"/>
          </w:tcPr>
          <w:p>
            <w:pPr>
              <w:jc w:val="center"/>
            </w:pPr>
            <w:r>
              <w:rPr>
                <w:rFonts w:ascii="Times New Roman" w:cs="Times New Roman" w:eastAsia="Times New Roman" w:hAnsi="Times New Roman"/>
                <w:b/>
                <w:bCs/>
                <w:color w:val="FFFFFF"/>
                <w:sz w:val="20"/>
                <w:szCs w:val="20"/>
              </w:rPr>
              <w:t xml:space="preserve">Modèle de facturation</w:t>
            </w:r>
          </w:p>
        </w:tc>
        <w:tc>
          <w:tcPr>
            <w:tcW w:type="dxa" w:w="2100"/>
            <w:shd w:fill="1B3A6B" w:val="clear"/>
          </w:tcPr>
          <w:p>
            <w:pPr>
              <w:jc w:val="center"/>
            </w:pPr>
            <w:r>
              <w:rPr>
                <w:rFonts w:ascii="Times New Roman" w:cs="Times New Roman" w:eastAsia="Times New Roman" w:hAnsi="Times New Roman"/>
                <w:b/>
                <w:bCs/>
                <w:color w:val="FFFFFF"/>
                <w:sz w:val="20"/>
                <w:szCs w:val="20"/>
              </w:rPr>
              <w:t xml:space="preserve">Remarque</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Zapier</w:t>
            </w:r>
          </w:p>
        </w:tc>
        <w:tc>
          <w:tcPr>
            <w:tcW w:type="dxa" w:w="2400"/>
            <w:shd w:fill="FFFFFF" w:val="clear"/>
          </w:tcPr>
          <w:p>
            <w:pPr>
              <w:spacing w:after="0"/>
            </w:pPr>
            <w:r>
              <w:rPr>
                <w:rFonts w:ascii="Times New Roman" w:cs="Times New Roman" w:eastAsia="Times New Roman" w:hAnsi="Times New Roman"/>
                <w:color w:val="1F2937"/>
                <w:sz w:val="20"/>
                <w:szCs w:val="20"/>
              </w:rPr>
              <w:t xml:space="preserve">19,99 $/mois (Professional, engagement annuel)</w:t>
            </w:r>
          </w:p>
        </w:tc>
        <w:tc>
          <w:tcPr>
            <w:tcW w:type="dxa" w:w="2200"/>
            <w:shd w:fill="FFFFFF" w:val="clear"/>
          </w:tcPr>
          <w:p>
            <w:pPr>
              <w:spacing w:after="0"/>
            </w:pPr>
            <w:r>
              <w:rPr>
                <w:rFonts w:ascii="Times New Roman" w:cs="Times New Roman" w:eastAsia="Times New Roman" w:hAnsi="Times New Roman"/>
                <w:color w:val="1F2937"/>
                <w:sz w:val="20"/>
                <w:szCs w:val="20"/>
              </w:rPr>
              <w:t xml:space="preserve">À l’étape</w:t>
            </w:r>
          </w:p>
        </w:tc>
        <w:tc>
          <w:tcPr>
            <w:tcW w:type="dxa" w:w="2100"/>
            <w:shd w:fill="FFFFFF" w:val="clear"/>
          </w:tcPr>
          <w:p>
            <w:pPr>
              <w:spacing w:after="0"/>
            </w:pPr>
            <w:r>
              <w:rPr>
                <w:rFonts w:ascii="Times New Roman" w:cs="Times New Roman" w:eastAsia="Times New Roman" w:hAnsi="Times New Roman"/>
                <w:color w:val="1F2937"/>
                <w:sz w:val="20"/>
                <w:szCs w:val="20"/>
              </w:rPr>
              <w:t xml:space="preserve">Sans engagement, le mensuel est plus cher (remise annuelle annoncée : 33 %). Monte vite à l’échelle</w:t>
            </w:r>
          </w:p>
        </w:tc>
      </w:tr>
      <w:tr>
        <w:tc>
          <w:tcPr>
            <w:tcW w:type="dxa" w:w="2200"/>
            <w:shd w:fill="EEF2F7" w:val="clear"/>
          </w:tcPr>
          <w:p>
            <w:pPr>
              <w:spacing w:after="0"/>
            </w:pPr>
            <w:r>
              <w:rPr>
                <w:rFonts w:ascii="Times New Roman" w:cs="Times New Roman" w:eastAsia="Times New Roman" w:hAnsi="Times New Roman"/>
                <w:color w:val="1F2937"/>
                <w:sz w:val="20"/>
                <w:szCs w:val="20"/>
              </w:rPr>
              <w:t xml:space="preserve">Make.com</w:t>
            </w:r>
          </w:p>
        </w:tc>
        <w:tc>
          <w:tcPr>
            <w:tcW w:type="dxa" w:w="2400"/>
            <w:shd w:fill="EEF2F7" w:val="clear"/>
          </w:tcPr>
          <w:p>
            <w:pPr>
              <w:spacing w:after="0"/>
            </w:pPr>
            <w:r>
              <w:rPr>
                <w:rFonts w:ascii="Times New Roman" w:cs="Times New Roman" w:eastAsia="Times New Roman" w:hAnsi="Times New Roman"/>
                <w:color w:val="1F2937"/>
                <w:sz w:val="20"/>
                <w:szCs w:val="20"/>
              </w:rPr>
              <w:t xml:space="preserve">9 $/mois (10 000 opérations/mois)</w:t>
            </w:r>
          </w:p>
        </w:tc>
        <w:tc>
          <w:tcPr>
            <w:tcW w:type="dxa" w:w="2200"/>
            <w:shd w:fill="EEF2F7" w:val="clear"/>
          </w:tcPr>
          <w:p>
            <w:pPr>
              <w:spacing w:after="0"/>
            </w:pPr>
            <w:r>
              <w:rPr>
                <w:rFonts w:ascii="Times New Roman" w:cs="Times New Roman" w:eastAsia="Times New Roman" w:hAnsi="Times New Roman"/>
                <w:color w:val="1F2937"/>
                <w:sz w:val="20"/>
                <w:szCs w:val="20"/>
              </w:rPr>
              <w:t xml:space="preserve">À l’opération</w:t>
            </w:r>
          </w:p>
        </w:tc>
        <w:tc>
          <w:tcPr>
            <w:tcW w:type="dxa" w:w="2100"/>
            <w:shd w:fill="EEF2F7" w:val="clear"/>
          </w:tcPr>
          <w:p>
            <w:pPr>
              <w:spacing w:after="0"/>
            </w:pPr>
            <w:r>
              <w:rPr>
                <w:rFonts w:ascii="Times New Roman" w:cs="Times New Roman" w:eastAsia="Times New Roman" w:hAnsi="Times New Roman"/>
                <w:color w:val="1F2937"/>
                <w:sz w:val="20"/>
                <w:szCs w:val="20"/>
              </w:rPr>
              <w:t xml:space="preserve">Très compétitif pour volumes modérés</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n8n Cloud</w:t>
            </w:r>
          </w:p>
        </w:tc>
        <w:tc>
          <w:tcPr>
            <w:tcW w:type="dxa" w:w="2400"/>
            <w:shd w:fill="FFFFFF" w:val="clear"/>
          </w:tcPr>
          <w:p>
            <w:pPr>
              <w:spacing w:after="0"/>
            </w:pPr>
            <w:r>
              <w:rPr>
                <w:rFonts w:ascii="Times New Roman" w:cs="Times New Roman" w:eastAsia="Times New Roman" w:hAnsi="Times New Roman"/>
                <w:color w:val="1F2937"/>
                <w:sz w:val="20"/>
                <w:szCs w:val="20"/>
              </w:rPr>
              <w:t xml:space="preserve">20 $/mois</w:t>
            </w:r>
          </w:p>
        </w:tc>
        <w:tc>
          <w:tcPr>
            <w:tcW w:type="dxa" w:w="2200"/>
            <w:shd w:fill="FFFFFF" w:val="clear"/>
          </w:tcPr>
          <w:p>
            <w:pPr>
              <w:spacing w:after="0"/>
            </w:pPr>
            <w:r>
              <w:rPr>
                <w:rFonts w:ascii="Times New Roman" w:cs="Times New Roman" w:eastAsia="Times New Roman" w:hAnsi="Times New Roman"/>
                <w:color w:val="1F2937"/>
                <w:sz w:val="20"/>
                <w:szCs w:val="20"/>
              </w:rPr>
              <w:t xml:space="preserve">À l’exécution</w:t>
            </w:r>
          </w:p>
        </w:tc>
        <w:tc>
          <w:tcPr>
            <w:tcW w:type="dxa" w:w="2100"/>
            <w:shd w:fill="FFFFFF" w:val="clear"/>
          </w:tcPr>
          <w:p>
            <w:pPr>
              <w:spacing w:after="0"/>
            </w:pPr>
            <w:r>
              <w:rPr>
                <w:rFonts w:ascii="Times New Roman" w:cs="Times New Roman" w:eastAsia="Times New Roman" w:hAnsi="Times New Roman"/>
                <w:color w:val="1F2937"/>
                <w:sz w:val="20"/>
                <w:szCs w:val="20"/>
              </w:rPr>
              <w:t xml:space="preserve">Self-hosted gratuit, mais frais d’hébergement additionnels</w:t>
            </w:r>
          </w:p>
        </w:tc>
      </w:tr>
      <w:tr>
        <w:tc>
          <w:tcPr>
            <w:tcW w:type="dxa" w:w="2200"/>
            <w:shd w:fill="EEF2F7" w:val="clear"/>
          </w:tcPr>
          <w:p>
            <w:pPr>
              <w:spacing w:after="0"/>
            </w:pPr>
            <w:r>
              <w:rPr>
                <w:rFonts w:ascii="Times New Roman" w:cs="Times New Roman" w:eastAsia="Times New Roman" w:hAnsi="Times New Roman"/>
                <w:color w:val="1F2937"/>
                <w:sz w:val="20"/>
                <w:szCs w:val="20"/>
              </w:rPr>
              <w:t xml:space="preserve">OpenAI API</w:t>
            </w:r>
          </w:p>
        </w:tc>
        <w:tc>
          <w:tcPr>
            <w:tcW w:type="dxa" w:w="2400"/>
            <w:shd w:fill="EEF2F7" w:val="clear"/>
          </w:tcPr>
          <w:p>
            <w:pPr>
              <w:spacing w:after="0"/>
            </w:pPr>
            <w:r>
              <w:rPr>
                <w:rFonts w:ascii="Times New Roman" w:cs="Times New Roman" w:eastAsia="Times New Roman" w:hAnsi="Times New Roman"/>
                <w:color w:val="1F2937"/>
                <w:sz w:val="20"/>
                <w:szCs w:val="20"/>
              </w:rPr>
              <w:t xml:space="preserve">Consommation à la demande (tokens)</w:t>
            </w:r>
          </w:p>
        </w:tc>
        <w:tc>
          <w:tcPr>
            <w:tcW w:type="dxa" w:w="2200"/>
            <w:shd w:fill="EEF2F7" w:val="clear"/>
          </w:tcPr>
          <w:p>
            <w:pPr>
              <w:spacing w:after="0"/>
            </w:pPr>
            <w:r>
              <w:rPr>
                <w:rFonts w:ascii="Times New Roman" w:cs="Times New Roman" w:eastAsia="Times New Roman" w:hAnsi="Times New Roman"/>
                <w:color w:val="1F2937"/>
                <w:sz w:val="20"/>
                <w:szCs w:val="20"/>
              </w:rPr>
              <w:t xml:space="preserve">Usage réel</w:t>
            </w:r>
          </w:p>
        </w:tc>
        <w:tc>
          <w:tcPr>
            <w:tcW w:type="dxa" w:w="2100"/>
            <w:shd w:fill="EEF2F7" w:val="clear"/>
          </w:tcPr>
          <w:p>
            <w:pPr>
              <w:spacing w:after="0"/>
            </w:pPr>
            <w:r>
              <w:rPr>
                <w:rFonts w:ascii="Times New Roman" w:cs="Times New Roman" w:eastAsia="Times New Roman" w:hAnsi="Times New Roman"/>
                <w:color w:val="1F2937"/>
                <w:sz w:val="20"/>
                <w:szCs w:val="20"/>
              </w:rPr>
              <w:t xml:space="preserve">Coût variable selon le volume de requêtes</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Stripe (Europe)</w:t>
            </w:r>
          </w:p>
        </w:tc>
        <w:tc>
          <w:tcPr>
            <w:tcW w:type="dxa" w:w="2400"/>
            <w:shd w:fill="FFFFFF" w:val="clear"/>
          </w:tcPr>
          <w:p>
            <w:pPr>
              <w:spacing w:after="0"/>
            </w:pPr>
            <w:r>
              <w:rPr>
                <w:rFonts w:ascii="Times New Roman" w:cs="Times New Roman" w:eastAsia="Times New Roman" w:hAnsi="Times New Roman"/>
                <w:color w:val="1F2937"/>
                <w:sz w:val="20"/>
                <w:szCs w:val="20"/>
              </w:rPr>
              <w:t xml:space="preserve">1,5 % + 0,25 € / transaction (cartes EEE)</w:t>
            </w:r>
          </w:p>
        </w:tc>
        <w:tc>
          <w:tcPr>
            <w:tcW w:type="dxa" w:w="2200"/>
            <w:shd w:fill="FFFFFF" w:val="clear"/>
          </w:tcPr>
          <w:p>
            <w:pPr>
              <w:spacing w:after="0"/>
            </w:pPr>
            <w:r>
              <w:rPr>
                <w:rFonts w:ascii="Times New Roman" w:cs="Times New Roman" w:eastAsia="Times New Roman" w:hAnsi="Times New Roman"/>
                <w:color w:val="1F2937"/>
                <w:sz w:val="20"/>
                <w:szCs w:val="20"/>
              </w:rPr>
              <w:t xml:space="preserve">Par transaction</w:t>
            </w:r>
          </w:p>
        </w:tc>
        <w:tc>
          <w:tcPr>
            <w:tcW w:type="dxa" w:w="2100"/>
            <w:shd w:fill="FFFFFF" w:val="clear"/>
          </w:tcPr>
          <w:p>
            <w:pPr>
              <w:spacing w:after="0"/>
            </w:pPr>
            <w:r>
              <w:rPr>
                <w:rFonts w:ascii="Times New Roman" w:cs="Times New Roman" w:eastAsia="Times New Roman" w:hAnsi="Times New Roman"/>
                <w:color w:val="1F2937"/>
                <w:sz w:val="20"/>
                <w:szCs w:val="20"/>
              </w:rPr>
              <w:t xml:space="preserve">Incontournable pour encaisser des abonnements</w:t>
            </w:r>
          </w:p>
        </w:tc>
      </w:tr>
    </w:tbl>
    <w:p>
      <w:pPr>
        <w:spacing w:after="100"/>
      </w:pPr>
      <w:r>
        <w:t xml:space="preserve"/>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Note Stripe — grille relevée sur la source primaire stripe.com/fr/pricing le 06/09/2026, adresse ajoutée aux Ressources le 11/09/2026 où elle ne figurait pas, quatre lignes et non deux : 1,5 % + 0,25 € pour les cartes standard de l’EEE · 2,8 % + 0,25 € pour les cartes premium de l’EEE · 2,5 % + 0,25 € pour les cartes britanniques · 3,15 % + 0,25 € pour les cartes internationales, ces deux dernières majorées de 2 % en cas de conversion de devises. Le taux dépend donc de la carte du client, pas du pays du vendeur : une clientèle majoritairement hors EEE double le coût d’encaissement. Les calculs de l’exercice 3 retiennent 1,5 %, c’est-à-dire l’hypothèse d’une clientèle EEE standard.</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 Signaux d’arnaque AMF — spécifiques au secteur « no-code / IA »</w:t>
      </w:r>
    </w:p>
    <w:p>
      <w:pPr>
        <w:spacing w:after="80"/>
      </w:pPr>
      <w:r>
        <w:rPr>
          <w:rFonts w:ascii="Times New Roman" w:cs="Times New Roman" w:eastAsia="Times New Roman" w:hAnsi="Times New Roman"/>
          <w:color w:val="1F2937"/>
          <w:sz w:val="22"/>
          <w:szCs w:val="22"/>
        </w:rPr>
        <w:t xml:space="preserve">Sources : document AMF « Quelles sont les arnaques les plus courantes ? » (PDF, amf-france.org, cité en ressources) et rapport « Social Media Intelligence : arnaques à l'investissement sur le web », OpinionWay pour l'AMF, octobre 2024 — amf-france.org/fr/actualites-publications/publications/rapports-etudes-et-analyses/social-media-intelligence-arnaques-linvestissement-sur-le-web-opinionway-pour-lamf-octobre-2024 (adresse ajoutée aux ressources le 12/09/2026 ; la leçon disait le rapport « testé et accessible » sans en donner l'adresse). Tous deux en HTTP 200 le 6 septembre 2026 et le 12 septembre 2026.</w:t>
      </w:r>
    </w:p>
    <w:p>
      <w:pPr>
        <w:pStyle w:val="ListParagraph"/>
        <w:numPr>
          <w:ilvl w:val="0"/>
          <w:numId w:val="2"/>
        </w:numPr>
        <w:spacing w:after="60"/>
      </w:pPr>
      <w:r>
        <w:rPr>
          <w:rFonts w:ascii="Times New Roman" w:cs="Times New Roman" w:eastAsia="Times New Roman" w:hAnsi="Times New Roman"/>
          <w:color w:val="1F2937"/>
          <w:sz w:val="22"/>
          <w:szCs w:val="22"/>
        </w:rPr>
        <w:t xml:space="preserve">Promesse de revenus automatiques dès les premières semaines, sans compétence préalable ni travail réel</w:t>
      </w:r>
    </w:p>
    <w:p>
      <w:pPr>
        <w:pStyle w:val="ListParagraph"/>
        <w:numPr>
          <w:ilvl w:val="0"/>
          <w:numId w:val="2"/>
        </w:numPr>
        <w:spacing w:after="60"/>
      </w:pPr>
      <w:r>
        <w:rPr>
          <w:rFonts w:ascii="Times New Roman" w:cs="Times New Roman" w:eastAsia="Times New Roman" w:hAnsi="Times New Roman"/>
          <w:color w:val="1F2937"/>
          <w:sz w:val="22"/>
          <w:szCs w:val="22"/>
        </w:rPr>
        <w:t xml:space="preserve">Formations à prix élevé (500 €–5 000 €) présentées comme « la seule clé du succès »</w:t>
      </w:r>
    </w:p>
    <w:p>
      <w:pPr>
        <w:pStyle w:val="ListParagraph"/>
        <w:numPr>
          <w:ilvl w:val="0"/>
          <w:numId w:val="2"/>
        </w:numPr>
        <w:spacing w:after="60"/>
      </w:pPr>
      <w:r>
        <w:rPr>
          <w:rFonts w:ascii="Times New Roman" w:cs="Times New Roman" w:eastAsia="Times New Roman" w:hAnsi="Times New Roman"/>
          <w:color w:val="1F2937"/>
          <w:sz w:val="22"/>
          <w:szCs w:val="22"/>
        </w:rPr>
        <w:t xml:space="preserve">Pression à l’achat immédiat : « offre limitée », « cohorte qui ferme dans 24 h »</w:t>
      </w:r>
    </w:p>
    <w:p>
      <w:pPr>
        <w:pStyle w:val="ListParagraph"/>
        <w:numPr>
          <w:ilvl w:val="0"/>
          <w:numId w:val="2"/>
        </w:numPr>
        <w:spacing w:after="60"/>
      </w:pPr>
      <w:r>
        <w:rPr>
          <w:rFonts w:ascii="Times New Roman" w:cs="Times New Roman" w:eastAsia="Times New Roman" w:hAnsi="Times New Roman"/>
          <w:color w:val="1F2937"/>
          <w:sz w:val="22"/>
          <w:szCs w:val="22"/>
        </w:rPr>
        <w:t xml:space="preserve">Témoignages de réussite non vérifiables (prénoms seuls, revenus non audités)</w:t>
      </w:r>
    </w:p>
    <w:p>
      <w:pPr>
        <w:pStyle w:val="ListParagraph"/>
        <w:numPr>
          <w:ilvl w:val="0"/>
          <w:numId w:val="2"/>
        </w:numPr>
        <w:spacing w:after="60"/>
      </w:pPr>
      <w:r>
        <w:rPr>
          <w:rFonts w:ascii="Times New Roman" w:cs="Times New Roman" w:eastAsia="Times New Roman" w:hAnsi="Times New Roman"/>
          <w:color w:val="1F2937"/>
          <w:sz w:val="22"/>
          <w:szCs w:val="22"/>
        </w:rPr>
        <w:t xml:space="preserve">Outils « clés en main » présentés comme générant de l’argent automatiquement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Utilisation de deepfakes ou de personnalités connues pour crédibiliser une offre (signalé explicitement par l’AMF en 2026)</w:t>
      </w:r>
    </w:p>
    <w:p>
      <w:pPr>
        <w:pStyle w:val="ListParagraph"/>
        <w:numPr>
          <w:ilvl w:val="0"/>
          <w:numId w:val="2"/>
        </w:numPr>
        <w:spacing w:after="60"/>
      </w:pPr>
      <w:r>
        <w:rPr>
          <w:rFonts w:ascii="Times New Roman" w:cs="Times New Roman" w:eastAsia="Times New Roman" w:hAnsi="Times New Roman"/>
          <w:color w:val="1F2937"/>
          <w:sz w:val="22"/>
          <w:szCs w:val="22"/>
        </w:rPr>
        <w:t xml:space="preserve">Arnaque à la récupération : escrocs proposant de « récupérer » les pertes d’une arnaque précédente</w:t>
      </w:r>
    </w:p>
    <w:p>
      <w:pPr>
        <w:spacing w:after="80"/>
      </w:pPr>
      <w:r>
        <w:rPr>
          <w:rFonts w:ascii="Times New Roman" w:cs="Times New Roman" w:eastAsia="Times New Roman" w:hAnsi="Times New Roman"/>
          <w:color w:val="1F2937"/>
          <w:sz w:val="22"/>
          <w:szCs w:val="22"/>
        </w:rPr>
        <w:t xml:space="preserve">Avant d’acheter une formation : vérifier l’identité légale (SIRET), consulter la liste noire AMF disponible sur amf-france.org et Signalconso (DGCCRF).</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La durabilité des modèles (aperçu — approfondissement en leçon 10)</w:t>
      </w:r>
    </w:p>
    <w:p>
      <w:pPr>
        <w:spacing w:after="80"/>
      </w:pPr>
      <w:r>
        <w:rPr>
          <w:rFonts w:ascii="Times New Roman" w:cs="Times New Roman" w:eastAsia="Times New Roman" w:hAnsi="Times New Roman"/>
          <w:color w:val="1F2937"/>
          <w:sz w:val="22"/>
          <w:szCs w:val="22"/>
        </w:rPr>
        <w:t xml:space="preserve">Le marché de l’IA générative évolue à une vitesse qui peut rendre certains AI wrappers obsolètes en quelques mois. OpenAI, Anthropic et Google enrichissent régulièrement leurs interfaces natives et absorbent les cas d’usage des wrappers. Un micro-SaaS construit sur la commodité d’accès à l’IA, sans valeur ajoutée propriétaire distinctive, est particulièrement exposé. La leçon 10 approfondira les scénarios de durabilité et la matrice de décision.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Pratique (80 %) — Trois exercices actifs</w:t>
      </w:r>
    </w:p>
    <w:p>
      <w:pPr>
        <w:spacing w:after="80" w:before="200"/>
      </w:pPr>
      <w:r>
        <w:rPr>
          <w:rFonts w:ascii="Times New Roman" w:cs="Times New Roman" w:eastAsia="Times New Roman" w:hAnsi="Times New Roman"/>
          <w:b/>
          <w:bCs/>
          <w:color w:val="1F2937"/>
          <w:sz w:val="26"/>
          <w:szCs w:val="26"/>
        </w:rPr>
        <w:t xml:space="preserve">Exercice 1 — Cartographier une automatisation</w:t>
      </w:r>
    </w:p>
    <w:p>
      <w:pPr>
        <w:spacing w:after="80"/>
      </w:pPr>
      <w:r>
        <w:rPr>
          <w:rFonts w:ascii="Times New Roman" w:cs="Times New Roman" w:eastAsia="Times New Roman" w:hAnsi="Times New Roman"/>
          <w:color w:val="1F2937"/>
          <w:sz w:val="22"/>
          <w:szCs w:val="22"/>
        </w:rPr>
        <w:t xml:space="preserve">Objectif : identifier un problème répétitif et le structurer en flux automatisable.</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a) Identifiez une tâche répétitive au moins une fois par semaine (copier des données, envoyer un email de rappel, archiver des fichiers)</w:t>
      </w:r>
    </w:p>
    <w:p>
      <w:pPr>
        <w:pStyle w:val="ListParagraph"/>
        <w:numPr>
          <w:ilvl w:val="0"/>
          <w:numId w:val="2"/>
        </w:numPr>
        <w:spacing w:after="60"/>
      </w:pPr>
      <w:r>
        <w:rPr>
          <w:rFonts w:ascii="Times New Roman" w:cs="Times New Roman" w:eastAsia="Times New Roman" w:hAnsi="Times New Roman"/>
          <w:color w:val="1F2937"/>
          <w:sz w:val="22"/>
          <w:szCs w:val="22"/>
        </w:rPr>
        <w:t xml:space="preserve">b) Décrivez-la selon trois colonnes : DÉCLENCHEUR | ACTIONS (dans l’ordre) | RÉSULTAT ATTENDU</w:t>
      </w:r>
    </w:p>
    <w:p>
      <w:pPr>
        <w:pStyle w:val="ListParagraph"/>
        <w:numPr>
          <w:ilvl w:val="0"/>
          <w:numId w:val="2"/>
        </w:numPr>
        <w:spacing w:after="60"/>
      </w:pPr>
      <w:r>
        <w:rPr>
          <w:rFonts w:ascii="Times New Roman" w:cs="Times New Roman" w:eastAsia="Times New Roman" w:hAnsi="Times New Roman"/>
          <w:color w:val="1F2937"/>
          <w:sz w:val="22"/>
          <w:szCs w:val="22"/>
        </w:rPr>
        <w:t xml:space="preserve">c) Identifiez quel outil no-code pourrait l’automatiser (Zapier, Make.com, n8n) et justifiez votre choix</w:t>
      </w:r>
    </w:p>
    <w:p>
      <w:pPr>
        <w:pStyle w:val="ListParagraph"/>
        <w:numPr>
          <w:ilvl w:val="0"/>
          <w:numId w:val="2"/>
        </w:numPr>
        <w:spacing w:after="60"/>
      </w:pPr>
      <w:r>
        <w:rPr>
          <w:rFonts w:ascii="Times New Roman" w:cs="Times New Roman" w:eastAsia="Times New Roman" w:hAnsi="Times New Roman"/>
          <w:color w:val="1F2937"/>
          <w:sz w:val="22"/>
          <w:szCs w:val="22"/>
        </w:rPr>
        <w:t xml:space="preserve">d) Estimez le temps économisé par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e) Question bonus : comment cette automatisation pourrait-elle devenir un service vendu ? À quel prix mensuel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1 — Exemple commenté</w:t>
      </w:r>
    </w:p>
    <w:p>
      <w:pPr>
        <w:spacing w:after="80"/>
      </w:pPr>
      <w:r>
        <w:rPr>
          <w:rFonts w:ascii="Times New Roman" w:cs="Times New Roman" w:eastAsia="Times New Roman" w:hAnsi="Times New Roman"/>
          <w:color w:val="1F2937"/>
          <w:sz w:val="22"/>
          <w:szCs w:val="22"/>
        </w:rPr>
        <w:t xml:space="preserve">Exemple : gestion automatisée des nouveaux inscrits à une newsletter</w:t>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800"/>
            <w:shd w:fill="1B3A6B" w:val="clear"/>
          </w:tcPr>
          <w:p>
            <w:pPr>
              <w:jc w:val="center"/>
            </w:pPr>
            <w:r>
              <w:rPr>
                <w:rFonts w:ascii="Times New Roman" w:cs="Times New Roman" w:eastAsia="Times New Roman" w:hAnsi="Times New Roman"/>
                <w:b/>
                <w:bCs/>
                <w:color w:val="FFFFFF"/>
                <w:sz w:val="20"/>
                <w:szCs w:val="20"/>
              </w:rPr>
              <w:t xml:space="preserve">Déclencheur</w:t>
            </w:r>
          </w:p>
        </w:tc>
        <w:tc>
          <w:tcPr>
            <w:tcW w:type="dxa" w:w="4000"/>
            <w:shd w:fill="1B3A6B" w:val="clear"/>
          </w:tcPr>
          <w:p>
            <w:pPr>
              <w:jc w:val="center"/>
            </w:pPr>
            <w:r>
              <w:rPr>
                <w:rFonts w:ascii="Times New Roman" w:cs="Times New Roman" w:eastAsia="Times New Roman" w:hAnsi="Times New Roman"/>
                <w:b/>
                <w:bCs/>
                <w:color w:val="FFFFFF"/>
                <w:sz w:val="20"/>
                <w:szCs w:val="20"/>
              </w:rPr>
              <w:t xml:space="preserve">Actions</w:t>
            </w:r>
          </w:p>
        </w:tc>
        <w:tc>
          <w:tcPr>
            <w:tcW w:type="dxa" w:w="3606"/>
            <w:shd w:fill="1B3A6B" w:val="clear"/>
          </w:tcPr>
          <w:p>
            <w:pPr>
              <w:jc w:val="center"/>
            </w:pPr>
            <w:r>
              <w:rPr>
                <w:rFonts w:ascii="Times New Roman" w:cs="Times New Roman" w:eastAsia="Times New Roman" w:hAnsi="Times New Roman"/>
                <w:b/>
                <w:bCs/>
                <w:color w:val="FFFFFF"/>
                <w:sz w:val="20"/>
                <w:szCs w:val="20"/>
              </w:rPr>
              <w:t xml:space="preserve">Résultat</w:t>
            </w:r>
          </w:p>
        </w:tc>
      </w:tr>
      <w:tr>
        <w:tc>
          <w:tcPr>
            <w:tcW w:type="dxa" w:w="2800"/>
            <w:shd w:fill="FFFFFF" w:val="clear"/>
          </w:tcPr>
          <w:p>
            <w:pPr>
              <w:spacing w:after="0"/>
            </w:pPr>
            <w:r>
              <w:rPr>
                <w:rFonts w:ascii="Times New Roman" w:cs="Times New Roman" w:eastAsia="Times New Roman" w:hAnsi="Times New Roman"/>
                <w:color w:val="1F2937"/>
                <w:sz w:val="20"/>
                <w:szCs w:val="20"/>
              </w:rPr>
              <w:t xml:space="preserve">Formulaire Tally.so soumis avec tag « inscription »</w:t>
            </w:r>
          </w:p>
        </w:tc>
        <w:tc>
          <w:tcPr>
            <w:tcW w:type="dxa" w:w="4000"/>
            <w:shd w:fill="FFFFFF" w:val="clear"/>
          </w:tcPr>
          <w:p>
            <w:pPr>
              <w:spacing w:after="0"/>
            </w:pPr>
            <w:r>
              <w:rPr>
                <w:rFonts w:ascii="Times New Roman" w:cs="Times New Roman" w:eastAsia="Times New Roman" w:hAnsi="Times New Roman"/>
                <w:color w:val="1F2937"/>
                <w:sz w:val="20"/>
                <w:szCs w:val="20"/>
              </w:rPr>
              <w:t xml:space="preserve">1) Extraire prénom + email 2) Ajouter ligne Google Sheets 3) Envoyer email de bienvenue Gmail 4) Créer contact dans Brevo</w:t>
            </w:r>
          </w:p>
        </w:tc>
        <w:tc>
          <w:tcPr>
            <w:tcW w:type="dxa" w:w="3606"/>
            <w:shd w:fill="FFFFFF" w:val="clear"/>
          </w:tcPr>
          <w:p>
            <w:pPr>
              <w:spacing w:after="0"/>
            </w:pPr>
            <w:r>
              <w:rPr>
                <w:rFonts w:ascii="Times New Roman" w:cs="Times New Roman" w:eastAsia="Times New Roman" w:hAnsi="Times New Roman"/>
                <w:color w:val="1F2937"/>
                <w:sz w:val="20"/>
                <w:szCs w:val="20"/>
              </w:rPr>
              <w:t xml:space="preserve">Abonné enregistré, accueilli et intégré dans le CRM en &lt; 2 min, sans intervention manuelle</w:t>
            </w:r>
          </w:p>
        </w:tc>
      </w:tr>
    </w:tbl>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Outil choisi : Make.com — plus économique que Zapier pour les flux multi-étapes à volume modéré (&lt; 10 000 opérations/mois)</w:t>
      </w:r>
    </w:p>
    <w:p>
      <w:pPr>
        <w:pStyle w:val="ListParagraph"/>
        <w:numPr>
          <w:ilvl w:val="0"/>
          <w:numId w:val="2"/>
        </w:numPr>
        <w:spacing w:after="60"/>
      </w:pPr>
      <w:r>
        <w:rPr>
          <w:rFonts w:ascii="Times New Roman" w:cs="Times New Roman" w:eastAsia="Times New Roman" w:hAnsi="Times New Roman"/>
          <w:color w:val="1F2937"/>
          <w:sz w:val="22"/>
          <w:szCs w:val="22"/>
        </w:rPr>
        <w:t xml:space="preserve">Temps économisé estimé : 3 min/inscription × 100 inscrits/mois = 5 h/mois</w:t>
      </w:r>
    </w:p>
    <w:p>
      <w:pPr>
        <w:pStyle w:val="ListParagraph"/>
        <w:numPr>
          <w:ilvl w:val="0"/>
          <w:numId w:val="2"/>
        </w:numPr>
        <w:spacing w:after="60"/>
      </w:pPr>
      <w:r>
        <w:rPr>
          <w:rFonts w:ascii="Times New Roman" w:cs="Times New Roman" w:eastAsia="Times New Roman" w:hAnsi="Times New Roman"/>
          <w:color w:val="1F2937"/>
          <w:sz w:val="22"/>
          <w:szCs w:val="22"/>
        </w:rPr>
        <w:t xml:space="preserve">Vers un service : proposer cette automatisation à d’autres créateurs pour 19–29 €/mois. 20 clients = MRR de 380–580 €.</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Remarque : l’automatisation elle-même ne génère pas de revenu. C’est la décision de la packager, documenter et vendre qui crée le modèle économique. Ce passage exige du marketing et du support — ce n’est plus passif. (Synthèse, non citation.)</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Exercice 2 — Analyse critique d’une offre de formation</w:t>
      </w:r>
    </w:p>
    <w:p>
      <w:pPr>
        <w:spacing w:after="80"/>
      </w:pPr>
      <w:r>
        <w:rPr>
          <w:rFonts w:ascii="Times New Roman" w:cs="Times New Roman" w:eastAsia="Times New Roman" w:hAnsi="Times New Roman"/>
          <w:color w:val="1F2937"/>
          <w:sz w:val="22"/>
          <w:szCs w:val="22"/>
        </w:rPr>
        <w:t xml:space="preserve">Lisez l’offre fictive ci-dessous, construite à partir de schémas réels identifiés par l’AMF, puis répondez aux questions.</w:t>
      </w:r>
    </w:p>
    <w:p>
      <w:pPr>
        <w:spacing w:after="100"/>
      </w:pPr>
      <w:r>
        <w:t xml:space="preserve"/>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 Formation “IA Passive Income Academy” — 1 997 € (prix barré 4 997 €). Accédez à notre méthode exclusive pour générer 2 000 €/mois en automatique dès le 30e jour. Nos étudiants témoignent : Kévin, 32 ans, a quitté son emploi en 3 mois. Sandrine génère 1 500 €/mois depuis son canapé. Accès à nos 47 outils IA pré-configurés + notre communauté privée. OFFRE VALABLE 48 H SEULEMENT. »</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1. Identifiez au moins 5 signaux d’arnaque présents dans cette offre</w:t>
      </w:r>
    </w:p>
    <w:p>
      <w:pPr>
        <w:pStyle w:val="ListParagraph"/>
        <w:numPr>
          <w:ilvl w:val="0"/>
          <w:numId w:val="2"/>
        </w:numPr>
        <w:spacing w:after="60"/>
      </w:pPr>
      <w:r>
        <w:rPr>
          <w:rFonts w:ascii="Times New Roman" w:cs="Times New Roman" w:eastAsia="Times New Roman" w:hAnsi="Times New Roman"/>
          <w:color w:val="1F2937"/>
          <w:sz w:val="22"/>
          <w:szCs w:val="22"/>
        </w:rPr>
        <w:t xml:space="preserve">2. Qu’est-ce qui manque pour évaluer la crédibilité de cette offre ?</w:t>
      </w:r>
    </w:p>
    <w:p>
      <w:pPr>
        <w:pStyle w:val="ListParagraph"/>
        <w:numPr>
          <w:ilvl w:val="0"/>
          <w:numId w:val="2"/>
        </w:numPr>
        <w:spacing w:after="60"/>
      </w:pPr>
      <w:r>
        <w:rPr>
          <w:rFonts w:ascii="Times New Roman" w:cs="Times New Roman" w:eastAsia="Times New Roman" w:hAnsi="Times New Roman"/>
          <w:color w:val="1F2937"/>
          <w:sz w:val="22"/>
          <w:szCs w:val="22"/>
        </w:rPr>
        <w:t xml:space="preserve">3. Quelle question poseriez-vous à l’organisateur avant tout achat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2</w:t>
      </w:r>
    </w:p>
    <w:p>
      <w:pPr>
        <w:spacing w:after="80"/>
      </w:pPr>
      <w:r>
        <w:rPr>
          <w:rFonts w:ascii="Times New Roman" w:cs="Times New Roman" w:eastAsia="Times New Roman" w:hAnsi="Times New Roman"/>
          <w:color w:val="1F2937"/>
          <w:sz w:val="22"/>
          <w:szCs w:val="22"/>
        </w:rPr>
        <w:t xml:space="preserve">Signaux d’arnaque (6 sur 6 présents) :</w:t>
      </w:r>
    </w:p>
    <w:p>
      <w:pPr>
        <w:pStyle w:val="ListParagraph"/>
        <w:numPr>
          <w:ilvl w:val="0"/>
          <w:numId w:val="2"/>
        </w:numPr>
        <w:spacing w:after="60"/>
      </w:pPr>
      <w:r>
        <w:rPr>
          <w:rFonts w:ascii="Times New Roman" w:cs="Times New Roman" w:eastAsia="Times New Roman" w:hAnsi="Times New Roman"/>
          <w:color w:val="1F2937"/>
          <w:sz w:val="22"/>
          <w:szCs w:val="22"/>
        </w:rPr>
        <w:t xml:space="preserve">1. Promesse chiffrée sans condition vérifiable (« 2 000 €/mois dès le 30e jour ») — aucun prérequis ni contexte</w:t>
      </w:r>
    </w:p>
    <w:p>
      <w:pPr>
        <w:pStyle w:val="ListParagraph"/>
        <w:numPr>
          <w:ilvl w:val="0"/>
          <w:numId w:val="2"/>
        </w:numPr>
        <w:spacing w:after="60"/>
      </w:pPr>
      <w:r>
        <w:rPr>
          <w:rFonts w:ascii="Times New Roman" w:cs="Times New Roman" w:eastAsia="Times New Roman" w:hAnsi="Times New Roman"/>
          <w:color w:val="1F2937"/>
          <w:sz w:val="22"/>
          <w:szCs w:val="22"/>
        </w:rPr>
        <w:t xml:space="preserve">2. Pression temporelle artificielle (« 48 H SEULEMENT ») — technique de manipulation répertoriée par l’AMF</w:t>
      </w:r>
    </w:p>
    <w:p>
      <w:pPr>
        <w:pStyle w:val="ListParagraph"/>
        <w:numPr>
          <w:ilvl w:val="0"/>
          <w:numId w:val="2"/>
        </w:numPr>
        <w:spacing w:after="60"/>
      </w:pPr>
      <w:r>
        <w:rPr>
          <w:rFonts w:ascii="Times New Roman" w:cs="Times New Roman" w:eastAsia="Times New Roman" w:hAnsi="Times New Roman"/>
          <w:color w:val="1F2937"/>
          <w:sz w:val="22"/>
          <w:szCs w:val="22"/>
        </w:rPr>
        <w:t xml:space="preserve">3. Témoignages non vérifiables (prénoms seuls, revenus non audités)</w:t>
      </w:r>
    </w:p>
    <w:p>
      <w:pPr>
        <w:pStyle w:val="ListParagraph"/>
        <w:numPr>
          <w:ilvl w:val="0"/>
          <w:numId w:val="2"/>
        </w:numPr>
        <w:spacing w:after="60"/>
      </w:pPr>
      <w:r>
        <w:rPr>
          <w:rFonts w:ascii="Times New Roman" w:cs="Times New Roman" w:eastAsia="Times New Roman" w:hAnsi="Times New Roman"/>
          <w:color w:val="1F2937"/>
          <w:sz w:val="22"/>
          <w:szCs w:val="22"/>
        </w:rPr>
        <w:t xml:space="preserve">4. Réduction massive factice (4 997 € → 1 997 €) — pratique commerciale trompeuse selon le Code de la consommation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5. Promesse d’automaticité totale (« depuis son canapé ») sans mentionner le travail réel</w:t>
      </w:r>
    </w:p>
    <w:p>
      <w:pPr>
        <w:pStyle w:val="ListParagraph"/>
        <w:numPr>
          <w:ilvl w:val="0"/>
          <w:numId w:val="2"/>
        </w:numPr>
        <w:spacing w:after="60"/>
      </w:pPr>
      <w:r>
        <w:rPr>
          <w:rFonts w:ascii="Times New Roman" w:cs="Times New Roman" w:eastAsia="Times New Roman" w:hAnsi="Times New Roman"/>
          <w:color w:val="1F2937"/>
          <w:sz w:val="22"/>
          <w:szCs w:val="22"/>
        </w:rPr>
        <w:t xml:space="preserve">6. Bundle vague (« 47 outils IA ») sans description du contenu ni de leur utilité spécifique</w:t>
      </w:r>
    </w:p>
    <w:p>
      <w:pPr>
        <w:spacing w:after="100"/>
      </w:pPr>
      <w:r>
        <w:t xml:space="preserve"/>
      </w:r>
    </w:p>
    <w:p>
      <w:pPr>
        <w:spacing w:after="80"/>
      </w:pPr>
      <w:r>
        <w:rPr>
          <w:rFonts w:ascii="Times New Roman" w:cs="Times New Roman" w:eastAsia="Times New Roman" w:hAnsi="Times New Roman"/>
          <w:color w:val="1F2937"/>
          <w:sz w:val="22"/>
          <w:szCs w:val="22"/>
        </w:rPr>
        <w:t xml:space="preserve">Ce qui manque :</w:t>
      </w:r>
    </w:p>
    <w:p>
      <w:pPr>
        <w:pStyle w:val="ListParagraph"/>
        <w:numPr>
          <w:ilvl w:val="0"/>
          <w:numId w:val="2"/>
        </w:numPr>
        <w:spacing w:after="60"/>
      </w:pPr>
      <w:r>
        <w:rPr>
          <w:rFonts w:ascii="Times New Roman" w:cs="Times New Roman" w:eastAsia="Times New Roman" w:hAnsi="Times New Roman"/>
          <w:color w:val="1F2937"/>
          <w:sz w:val="22"/>
          <w:szCs w:val="22"/>
        </w:rPr>
        <w:t xml:space="preserve">Identité légale de l’organisateur (SIRET, statut juridique, adresse)</w:t>
      </w:r>
    </w:p>
    <w:p>
      <w:pPr>
        <w:pStyle w:val="ListParagraph"/>
        <w:numPr>
          <w:ilvl w:val="0"/>
          <w:numId w:val="2"/>
        </w:numPr>
        <w:spacing w:after="60"/>
      </w:pPr>
      <w:r>
        <w:rPr>
          <w:rFonts w:ascii="Times New Roman" w:cs="Times New Roman" w:eastAsia="Times New Roman" w:hAnsi="Times New Roman"/>
          <w:color w:val="1F2937"/>
          <w:sz w:val="22"/>
          <w:szCs w:val="22"/>
        </w:rPr>
        <w:t xml:space="preserve">Taux de réussite réel sur l’ensemble des étudiants (pas seulement les cas de succès)</w:t>
      </w:r>
    </w:p>
    <w:p>
      <w:pPr>
        <w:pStyle w:val="ListParagraph"/>
        <w:numPr>
          <w:ilvl w:val="0"/>
          <w:numId w:val="2"/>
        </w:numPr>
        <w:spacing w:after="60"/>
      </w:pPr>
      <w:r>
        <w:rPr>
          <w:rFonts w:ascii="Times New Roman" w:cs="Times New Roman" w:eastAsia="Times New Roman" w:hAnsi="Times New Roman"/>
          <w:color w:val="1F2937"/>
          <w:sz w:val="22"/>
          <w:szCs w:val="22"/>
        </w:rPr>
        <w:t xml:space="preserve">Conditions générales de vente et politique de remboursement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Déclaration comme organisme de formation si applicable</w:t>
      </w:r>
    </w:p>
    <w:p>
      <w:pPr>
        <w:spacing w:after="100"/>
      </w:pPr>
      <w:r>
        <w:t xml:space="preserve"/>
      </w:r>
    </w:p>
    <w:p>
      <w:pPr>
        <w:spacing w:after="80"/>
      </w:pPr>
      <w:r>
        <w:rPr>
          <w:rFonts w:ascii="Times New Roman" w:cs="Times New Roman" w:eastAsia="Times New Roman" w:hAnsi="Times New Roman"/>
          <w:color w:val="1F2937"/>
          <w:sz w:val="22"/>
          <w:szCs w:val="22"/>
        </w:rPr>
        <w:t xml:space="preserve">Questions à poser avant achat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 est le revenu médian (non moyen) de vos étudiants 6 mois après la formation ? »</w:t>
      </w:r>
    </w:p>
    <w:p>
      <w:pPr>
        <w:pStyle w:val="ListParagraph"/>
        <w:numPr>
          <w:ilvl w:val="0"/>
          <w:numId w:val="2"/>
        </w:numPr>
        <w:spacing w:after="60"/>
      </w:pPr>
      <w:r>
        <w:rPr>
          <w:rFonts w:ascii="Times New Roman" w:cs="Times New Roman" w:eastAsia="Times New Roman" w:hAnsi="Times New Roman"/>
          <w:color w:val="1F2937"/>
          <w:sz w:val="22"/>
          <w:szCs w:val="22"/>
        </w:rPr>
        <w:t xml:space="preserve">« Pouvez-vous me fournir votre numéro SIRET et vos CGV ?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 est votre taux de demande de remboursement ?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Quels sont les prérequis réels pour atteindre ces résultats ?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Exercice 3 — Calcul de rentabilité d’un micro-SaaS</w:t>
      </w:r>
    </w:p>
    <w:p>
      <w:pPr>
        <w:spacing w:after="80"/>
      </w:pPr>
      <w:r>
        <w:rPr>
          <w:rFonts w:ascii="Times New Roman" w:cs="Times New Roman" w:eastAsia="Times New Roman" w:hAnsi="Times New Roman"/>
          <w:color w:val="1F2937"/>
          <w:sz w:val="22"/>
          <w:szCs w:val="22"/>
        </w:rPr>
        <w:t xml:space="preserve">Contexte : vous créez un outil no-code générant automatiquement des devis pour des artisans du bâtiment. Tarif : 15 €/mois par abonné. Stack : Make.com (9 €/mois) + hébergement page d’accueil (10 €/mois).</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Q1. Combien d’abonnés faut-il pour couvrir les charges fixes de plateforme (19 €/mois hors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Q2. Quel est le revenu net par abonné après frais Stripe (1,5 % + 0,25 € sur 15 €) ?</w:t>
      </w:r>
    </w:p>
    <w:p>
      <w:pPr>
        <w:pStyle w:val="ListParagraph"/>
        <w:numPr>
          <w:ilvl w:val="0"/>
          <w:numId w:val="2"/>
        </w:numPr>
        <w:spacing w:after="60"/>
      </w:pPr>
      <w:r>
        <w:rPr>
          <w:rFonts w:ascii="Times New Roman" w:cs="Times New Roman" w:eastAsia="Times New Roman" w:hAnsi="Times New Roman"/>
          <w:color w:val="1F2937"/>
          <w:sz w:val="22"/>
          <w:szCs w:val="22"/>
        </w:rPr>
        <w:t xml:space="preserve">Q3. MRR brut pour 30 abonnés ? Marge brute après charges fixes +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Q4. Si vous gagnez 3 nouveaux abonnés/mois avec 10 % de churn mensuel, quel MRR brut au mois 6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3</w:t>
      </w:r>
    </w:p>
    <w:p>
      <w:pPr>
        <w:spacing w:after="80"/>
      </w:pPr>
      <w:r>
        <w:rPr>
          <w:rFonts w:ascii="Times New Roman" w:cs="Times New Roman" w:eastAsia="Times New Roman" w:hAnsi="Times New Roman"/>
          <w:color w:val="1F2937"/>
          <w:sz w:val="22"/>
          <w:szCs w:val="22"/>
        </w:rPr>
        <w:t xml:space="preserve">Q1. Seuil de couverture charges fixes (hors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Charges fixes : 9 (Make) + 10 (hébergement) = 19 €/mois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Seuil : 19 / 15 ≈ 1,27 → 2 abonnés minimum pour couvrir la plateforme</w:t>
      </w:r>
    </w:p>
    <w:p>
      <w:pPr>
        <w:spacing w:after="100"/>
      </w:pPr>
      <w:r>
        <w:t xml:space="preserve"/>
      </w:r>
    </w:p>
    <w:p>
      <w:pPr>
        <w:spacing w:after="80"/>
      </w:pPr>
      <w:r>
        <w:rPr>
          <w:rFonts w:ascii="Times New Roman" w:cs="Times New Roman" w:eastAsia="Times New Roman" w:hAnsi="Times New Roman"/>
          <w:color w:val="1F2937"/>
          <w:sz w:val="22"/>
          <w:szCs w:val="22"/>
        </w:rPr>
        <w:t xml:space="preserve">Q2. Revenu net par abonné après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Stripe : (15 × 0,015) + 0,25 = 0,225 + 0,25 = 0,475 € ≈ 0,48 €</w:t>
      </w:r>
    </w:p>
    <w:p>
      <w:pPr>
        <w:pStyle w:val="ListParagraph"/>
        <w:numPr>
          <w:ilvl w:val="0"/>
          <w:numId w:val="2"/>
        </w:numPr>
        <w:spacing w:after="60"/>
      </w:pPr>
      <w:r>
        <w:rPr>
          <w:rFonts w:ascii="Times New Roman" w:cs="Times New Roman" w:eastAsia="Times New Roman" w:hAnsi="Times New Roman"/>
          <w:color w:val="1F2937"/>
          <w:sz w:val="22"/>
          <w:szCs w:val="22"/>
        </w:rPr>
        <w:t xml:space="preserve">Revenu net par abonné : 15 – 0,48 = 14,52 €</w:t>
      </w:r>
    </w:p>
    <w:p>
      <w:pPr>
        <w:spacing w:after="100"/>
      </w:pPr>
      <w:r>
        <w:t xml:space="preserve"/>
      </w:r>
    </w:p>
    <w:p>
      <w:pPr>
        <w:spacing w:after="80"/>
      </w:pPr>
      <w:r>
        <w:rPr>
          <w:rFonts w:ascii="Times New Roman" w:cs="Times New Roman" w:eastAsia="Times New Roman" w:hAnsi="Times New Roman"/>
          <w:color w:val="1F2937"/>
          <w:sz w:val="22"/>
          <w:szCs w:val="22"/>
        </w:rPr>
        <w:t xml:space="preserve">Q3. Pour 30 abonnés :</w:t>
      </w:r>
    </w:p>
    <w:p>
      <w:pPr>
        <w:pStyle w:val="ListParagraph"/>
        <w:numPr>
          <w:ilvl w:val="0"/>
          <w:numId w:val="2"/>
        </w:numPr>
        <w:spacing w:after="60"/>
      </w:pPr>
      <w:r>
        <w:rPr>
          <w:rFonts w:ascii="Times New Roman" w:cs="Times New Roman" w:eastAsia="Times New Roman" w:hAnsi="Times New Roman"/>
          <w:color w:val="1F2937"/>
          <w:sz w:val="22"/>
          <w:szCs w:val="22"/>
        </w:rPr>
        <w:t xml:space="preserve">MRR brut : 30 × 15 = 450 €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Stripe totaux : 30 × 0,48 = 14,40 €</w:t>
      </w:r>
    </w:p>
    <w:p>
      <w:pPr>
        <w:pStyle w:val="ListParagraph"/>
        <w:numPr>
          <w:ilvl w:val="0"/>
          <w:numId w:val="2"/>
        </w:numPr>
        <w:spacing w:after="60"/>
      </w:pPr>
      <w:r>
        <w:rPr>
          <w:rFonts w:ascii="Times New Roman" w:cs="Times New Roman" w:eastAsia="Times New Roman" w:hAnsi="Times New Roman"/>
          <w:color w:val="1F2937"/>
          <w:sz w:val="22"/>
          <w:szCs w:val="22"/>
        </w:rPr>
        <w:t xml:space="preserve">Marge brute : 450 – 19 – 14,40 = 416,60 €/mois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 AVANT impôts et cotisations sociales. En micro-entrepreneur, les cotisations s’appliquent sur le chiffre d’affaires brut (450 €), pas sur la marge. Se référer à service-public.fr pour les taux en vigueur — non recopiés depuis une source primaire pendant cette exécution.</w:t>
      </w:r>
    </w:p>
    <w:p>
      <w:pPr>
        <w:spacing w:after="100"/>
      </w:pPr>
      <w:r>
        <w:t xml:space="preserve"/>
      </w:r>
    </w:p>
    <w:p>
      <w:pPr>
        <w:spacing w:after="80"/>
      </w:pPr>
      <w:r>
        <w:rPr>
          <w:rFonts w:ascii="Times New Roman" w:cs="Times New Roman" w:eastAsia="Times New Roman" w:hAnsi="Times New Roman"/>
          <w:color w:val="1F2937"/>
          <w:sz w:val="22"/>
          <w:szCs w:val="22"/>
        </w:rPr>
        <w:t xml:space="preserve">Q4. Projection 6 mois (3 nouveaux/mois, churn 10 %) :</w:t>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000"/>
            <w:shd w:fill="1B3A6B" w:val="clear"/>
          </w:tcPr>
          <w:p>
            <w:pPr>
              <w:jc w:val="center"/>
            </w:pPr>
            <w:r>
              <w:rPr>
                <w:rFonts w:ascii="Times New Roman" w:cs="Times New Roman" w:eastAsia="Times New Roman" w:hAnsi="Times New Roman"/>
                <w:b/>
                <w:bCs/>
                <w:color w:val="FFFFFF"/>
                <w:sz w:val="20"/>
                <w:szCs w:val="20"/>
              </w:rPr>
              <w:t xml:space="preserve">Mois</w:t>
            </w:r>
          </w:p>
        </w:tc>
        <w:tc>
          <w:tcPr>
            <w:tcW w:type="dxa" w:w="1700"/>
            <w:shd w:fill="1B3A6B" w:val="clear"/>
          </w:tcPr>
          <w:p>
            <w:pPr>
              <w:jc w:val="center"/>
            </w:pPr>
            <w:r>
              <w:rPr>
                <w:rFonts w:ascii="Times New Roman" w:cs="Times New Roman" w:eastAsia="Times New Roman" w:hAnsi="Times New Roman"/>
                <w:b/>
                <w:bCs/>
                <w:color w:val="FFFFFF"/>
                <w:sz w:val="20"/>
                <w:szCs w:val="20"/>
              </w:rPr>
              <w:t xml:space="preserve">Abonnés début</w:t>
            </w:r>
          </w:p>
        </w:tc>
        <w:tc>
          <w:tcPr>
            <w:tcW w:type="dxa" w:w="1600"/>
            <w:shd w:fill="1B3A6B" w:val="clear"/>
          </w:tcPr>
          <w:p>
            <w:pPr>
              <w:jc w:val="center"/>
            </w:pPr>
            <w:r>
              <w:rPr>
                <w:rFonts w:ascii="Times New Roman" w:cs="Times New Roman" w:eastAsia="Times New Roman" w:hAnsi="Times New Roman"/>
                <w:b/>
                <w:bCs/>
                <w:color w:val="FFFFFF"/>
                <w:sz w:val="20"/>
                <w:szCs w:val="20"/>
              </w:rPr>
              <w:t xml:space="preserve">+ Nouveaux</w:t>
            </w:r>
          </w:p>
        </w:tc>
        <w:tc>
          <w:tcPr>
            <w:tcW w:type="dxa" w:w="1800"/>
            <w:shd w:fill="1B3A6B" w:val="clear"/>
          </w:tcPr>
          <w:p>
            <w:pPr>
              <w:jc w:val="center"/>
            </w:pPr>
            <w:r>
              <w:rPr>
                <w:rFonts w:ascii="Times New Roman" w:cs="Times New Roman" w:eastAsia="Times New Roman" w:hAnsi="Times New Roman"/>
                <w:b/>
                <w:bCs/>
                <w:color w:val="FFFFFF"/>
                <w:sz w:val="20"/>
                <w:szCs w:val="20"/>
              </w:rPr>
              <w:t xml:space="preserve">− Churn (10 %)</w:t>
            </w:r>
          </w:p>
        </w:tc>
        <w:tc>
          <w:tcPr>
            <w:tcW w:type="dxa" w:w="1800"/>
            <w:shd w:fill="1B3A6B" w:val="clear"/>
          </w:tcPr>
          <w:p>
            <w:pPr>
              <w:jc w:val="center"/>
            </w:pPr>
            <w:r>
              <w:rPr>
                <w:rFonts w:ascii="Times New Roman" w:cs="Times New Roman" w:eastAsia="Times New Roman" w:hAnsi="Times New Roman"/>
                <w:b/>
                <w:bCs/>
                <w:color w:val="FFFFFF"/>
                <w:sz w:val="20"/>
                <w:szCs w:val="20"/>
              </w:rPr>
              <w:t xml:space="preserve">Abonnés fin</w:t>
            </w:r>
          </w:p>
        </w:tc>
        <w:tc>
          <w:tcPr>
            <w:tcW w:type="dxa" w:w="2506"/>
            <w:shd w:fill="1B3A6B" w:val="clear"/>
          </w:tcPr>
          <w:p>
            <w:pPr>
              <w:jc w:val="center"/>
            </w:pPr>
            <w:r>
              <w:rPr>
                <w:rFonts w:ascii="Times New Roman" w:cs="Times New Roman" w:eastAsia="Times New Roman" w:hAnsi="Times New Roman"/>
                <w:b/>
                <w:bCs/>
                <w:color w:val="FFFFFF"/>
                <w:sz w:val="20"/>
                <w:szCs w:val="20"/>
              </w:rPr>
              <w:t xml:space="preserve">MRR brut</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1</w:t>
            </w:r>
          </w:p>
        </w:tc>
        <w:tc>
          <w:tcPr>
            <w:tcW w:type="dxa" w:w="1700"/>
            <w:shd w:fill="FFFFFF" w:val="clear"/>
          </w:tcPr>
          <w:p>
            <w:pPr>
              <w:spacing w:after="0"/>
            </w:pPr>
            <w:r>
              <w:rPr>
                <w:rFonts w:ascii="Times New Roman" w:cs="Times New Roman" w:eastAsia="Times New Roman" w:hAnsi="Times New Roman"/>
                <w:color w:val="1F2937"/>
                <w:sz w:val="20"/>
                <w:szCs w:val="20"/>
              </w:rPr>
              <w:t xml:space="preserve">0</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0</w:t>
            </w:r>
          </w:p>
        </w:tc>
        <w:tc>
          <w:tcPr>
            <w:tcW w:type="dxa" w:w="1800"/>
            <w:shd w:fill="FFFFFF" w:val="clear"/>
          </w:tcPr>
          <w:p>
            <w:pPr>
              <w:spacing w:after="0"/>
            </w:pPr>
            <w:r>
              <w:rPr>
                <w:rFonts w:ascii="Times New Roman" w:cs="Times New Roman" w:eastAsia="Times New Roman" w:hAnsi="Times New Roman"/>
                <w:color w:val="1F2937"/>
                <w:sz w:val="20"/>
                <w:szCs w:val="20"/>
              </w:rPr>
              <w:t xml:space="preserve">3</w:t>
            </w:r>
          </w:p>
        </w:tc>
        <w:tc>
          <w:tcPr>
            <w:tcW w:type="dxa" w:w="2506"/>
            <w:shd w:fill="FFFFFF" w:val="clear"/>
          </w:tcPr>
          <w:p>
            <w:pPr>
              <w:spacing w:after="0"/>
            </w:pPr>
            <w:r>
              <w:rPr>
                <w:rFonts w:ascii="Times New Roman" w:cs="Times New Roman" w:eastAsia="Times New Roman" w:hAnsi="Times New Roman"/>
                <w:color w:val="1F2937"/>
                <w:sz w:val="20"/>
                <w:szCs w:val="20"/>
              </w:rPr>
              <w:t xml:space="preserve">45 €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2</w:t>
            </w:r>
          </w:p>
        </w:tc>
        <w:tc>
          <w:tcPr>
            <w:tcW w:type="dxa" w:w="1700"/>
            <w:shd w:fill="EEF2F7" w:val="clear"/>
          </w:tcPr>
          <w:p>
            <w:pPr>
              <w:spacing w:after="0"/>
            </w:pPr>
            <w:r>
              <w:rPr>
                <w:rFonts w:ascii="Times New Roman" w:cs="Times New Roman" w:eastAsia="Times New Roman" w:hAnsi="Times New Roman"/>
                <w:color w:val="1F2937"/>
                <w:sz w:val="20"/>
                <w:szCs w:val="20"/>
              </w:rPr>
              <w:t xml:space="preserve">3</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−0</w:t>
            </w:r>
          </w:p>
        </w:tc>
        <w:tc>
          <w:tcPr>
            <w:tcW w:type="dxa" w:w="1800"/>
            <w:shd w:fill="EEF2F7" w:val="clear"/>
          </w:tcPr>
          <w:p>
            <w:pPr>
              <w:spacing w:after="0"/>
            </w:pPr>
            <w:r>
              <w:rPr>
                <w:rFonts w:ascii="Times New Roman" w:cs="Times New Roman" w:eastAsia="Times New Roman" w:hAnsi="Times New Roman"/>
                <w:color w:val="1F2937"/>
                <w:sz w:val="20"/>
                <w:szCs w:val="20"/>
              </w:rPr>
              <w:t xml:space="preserve">6</w:t>
            </w:r>
          </w:p>
        </w:tc>
        <w:tc>
          <w:tcPr>
            <w:tcW w:type="dxa" w:w="2506"/>
            <w:shd w:fill="EEF2F7" w:val="clear"/>
          </w:tcPr>
          <w:p>
            <w:pPr>
              <w:spacing w:after="0"/>
            </w:pPr>
            <w:r>
              <w:rPr>
                <w:rFonts w:ascii="Times New Roman" w:cs="Times New Roman" w:eastAsia="Times New Roman" w:hAnsi="Times New Roman"/>
                <w:color w:val="1F2937"/>
                <w:sz w:val="20"/>
                <w:szCs w:val="20"/>
              </w:rPr>
              <w:t xml:space="preserve">90 €</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3</w:t>
            </w:r>
          </w:p>
        </w:tc>
        <w:tc>
          <w:tcPr>
            <w:tcW w:type="dxa" w:w="1700"/>
            <w:shd w:fill="FFFFFF" w:val="clear"/>
          </w:tcPr>
          <w:p>
            <w:pPr>
              <w:spacing w:after="0"/>
            </w:pPr>
            <w:r>
              <w:rPr>
                <w:rFonts w:ascii="Times New Roman" w:cs="Times New Roman" w:eastAsia="Times New Roman" w:hAnsi="Times New Roman"/>
                <w:color w:val="1F2937"/>
                <w:sz w:val="20"/>
                <w:szCs w:val="20"/>
              </w:rPr>
              <w:t xml:space="preserve">6</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−1</w:t>
            </w:r>
          </w:p>
        </w:tc>
        <w:tc>
          <w:tcPr>
            <w:tcW w:type="dxa" w:w="1800"/>
            <w:shd w:fill="FFFFFF" w:val="clear"/>
          </w:tcPr>
          <w:p>
            <w:pPr>
              <w:spacing w:after="0"/>
            </w:pPr>
            <w:r>
              <w:rPr>
                <w:rFonts w:ascii="Times New Roman" w:cs="Times New Roman" w:eastAsia="Times New Roman" w:hAnsi="Times New Roman"/>
                <w:color w:val="1F2937"/>
                <w:sz w:val="20"/>
                <w:szCs w:val="20"/>
              </w:rPr>
              <w:t xml:space="preserve">8</w:t>
            </w:r>
          </w:p>
        </w:tc>
        <w:tc>
          <w:tcPr>
            <w:tcW w:type="dxa" w:w="2506"/>
            <w:shd w:fill="FFFFFF" w:val="clear"/>
          </w:tcPr>
          <w:p>
            <w:pPr>
              <w:spacing w:after="0"/>
            </w:pPr>
            <w:r>
              <w:rPr>
                <w:rFonts w:ascii="Times New Roman" w:cs="Times New Roman" w:eastAsia="Times New Roman" w:hAnsi="Times New Roman"/>
                <w:color w:val="1F2937"/>
                <w:sz w:val="20"/>
                <w:szCs w:val="20"/>
              </w:rPr>
              <w:t xml:space="preserve">120 €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4</w:t>
            </w:r>
          </w:p>
        </w:tc>
        <w:tc>
          <w:tcPr>
            <w:tcW w:type="dxa" w:w="1700"/>
            <w:shd w:fill="EEF2F7" w:val="clear"/>
          </w:tcPr>
          <w:p>
            <w:pPr>
              <w:spacing w:after="0"/>
            </w:pPr>
            <w:r>
              <w:rPr>
                <w:rFonts w:ascii="Times New Roman" w:cs="Times New Roman" w:eastAsia="Times New Roman" w:hAnsi="Times New Roman"/>
                <w:color w:val="1F2937"/>
                <w:sz w:val="20"/>
                <w:szCs w:val="20"/>
              </w:rPr>
              <w:t xml:space="preserve">8</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−1</w:t>
            </w:r>
          </w:p>
        </w:tc>
        <w:tc>
          <w:tcPr>
            <w:tcW w:type="dxa" w:w="1800"/>
            <w:shd w:fill="EEF2F7" w:val="clear"/>
          </w:tcPr>
          <w:p>
            <w:pPr>
              <w:spacing w:after="0"/>
            </w:pPr>
            <w:r>
              <w:rPr>
                <w:rFonts w:ascii="Times New Roman" w:cs="Times New Roman" w:eastAsia="Times New Roman" w:hAnsi="Times New Roman"/>
                <w:color w:val="1F2937"/>
                <w:sz w:val="20"/>
                <w:szCs w:val="20"/>
              </w:rPr>
              <w:t xml:space="preserve">10</w:t>
            </w:r>
          </w:p>
        </w:tc>
        <w:tc>
          <w:tcPr>
            <w:tcW w:type="dxa" w:w="2506"/>
            <w:shd w:fill="EEF2F7" w:val="clear"/>
          </w:tcPr>
          <w:p>
            <w:pPr>
              <w:spacing w:after="0"/>
            </w:pPr>
            <w:r>
              <w:rPr>
                <w:rFonts w:ascii="Times New Roman" w:cs="Times New Roman" w:eastAsia="Times New Roman" w:hAnsi="Times New Roman"/>
                <w:color w:val="1F2937"/>
                <w:sz w:val="20"/>
                <w:szCs w:val="20"/>
              </w:rPr>
              <w:t xml:space="preserve">150 €</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5</w:t>
            </w:r>
          </w:p>
        </w:tc>
        <w:tc>
          <w:tcPr>
            <w:tcW w:type="dxa" w:w="1700"/>
            <w:shd w:fill="FFFFFF" w:val="clear"/>
          </w:tcPr>
          <w:p>
            <w:pPr>
              <w:spacing w:after="0"/>
            </w:pPr>
            <w:r>
              <w:rPr>
                <w:rFonts w:ascii="Times New Roman" w:cs="Times New Roman" w:eastAsia="Times New Roman" w:hAnsi="Times New Roman"/>
                <w:color w:val="1F2937"/>
                <w:sz w:val="20"/>
                <w:szCs w:val="20"/>
              </w:rPr>
              <w:t xml:space="preserve">10</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−1</w:t>
            </w:r>
          </w:p>
        </w:tc>
        <w:tc>
          <w:tcPr>
            <w:tcW w:type="dxa" w:w="1800"/>
            <w:shd w:fill="FFFFFF" w:val="clear"/>
          </w:tcPr>
          <w:p>
            <w:pPr>
              <w:spacing w:after="0"/>
            </w:pPr>
            <w:r>
              <w:rPr>
                <w:rFonts w:ascii="Times New Roman" w:cs="Times New Roman" w:eastAsia="Times New Roman" w:hAnsi="Times New Roman"/>
                <w:color w:val="1F2937"/>
                <w:sz w:val="20"/>
                <w:szCs w:val="20"/>
              </w:rPr>
              <w:t xml:space="preserve">12</w:t>
            </w:r>
          </w:p>
        </w:tc>
        <w:tc>
          <w:tcPr>
            <w:tcW w:type="dxa" w:w="2506"/>
            <w:shd w:fill="FFFFFF" w:val="clear"/>
          </w:tcPr>
          <w:p>
            <w:pPr>
              <w:spacing w:after="0"/>
            </w:pPr>
            <w:r>
              <w:rPr>
                <w:rFonts w:ascii="Times New Roman" w:cs="Times New Roman" w:eastAsia="Times New Roman" w:hAnsi="Times New Roman"/>
                <w:color w:val="1F2937"/>
                <w:sz w:val="20"/>
                <w:szCs w:val="20"/>
              </w:rPr>
              <w:t xml:space="preserve">180 €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6</w:t>
            </w:r>
          </w:p>
        </w:tc>
        <w:tc>
          <w:tcPr>
            <w:tcW w:type="dxa" w:w="1700"/>
            <w:shd w:fill="EEF2F7" w:val="clear"/>
          </w:tcPr>
          <w:p>
            <w:pPr>
              <w:spacing w:after="0"/>
            </w:pPr>
            <w:r>
              <w:rPr>
                <w:rFonts w:ascii="Times New Roman" w:cs="Times New Roman" w:eastAsia="Times New Roman" w:hAnsi="Times New Roman"/>
                <w:color w:val="1F2937"/>
                <w:sz w:val="20"/>
                <w:szCs w:val="20"/>
              </w:rPr>
              <w:t xml:space="preserve">12</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−1</w:t>
            </w:r>
          </w:p>
        </w:tc>
        <w:tc>
          <w:tcPr>
            <w:tcW w:type="dxa" w:w="1800"/>
            <w:shd w:fill="EEF2F7" w:val="clear"/>
          </w:tcPr>
          <w:p>
            <w:pPr>
              <w:spacing w:after="0"/>
            </w:pPr>
            <w:r>
              <w:rPr>
                <w:rFonts w:ascii="Times New Roman" w:cs="Times New Roman" w:eastAsia="Times New Roman" w:hAnsi="Times New Roman"/>
                <w:color w:val="1F2937"/>
                <w:sz w:val="20"/>
                <w:szCs w:val="20"/>
              </w:rPr>
              <w:t xml:space="preserve">14</w:t>
            </w:r>
          </w:p>
        </w:tc>
        <w:tc>
          <w:tcPr>
            <w:tcW w:type="dxa" w:w="2506"/>
            <w:shd w:fill="EEF2F7" w:val="clear"/>
          </w:tcPr>
          <w:p>
            <w:pPr>
              <w:spacing w:after="0"/>
            </w:pPr>
            <w:r>
              <w:rPr>
                <w:rFonts w:ascii="Times New Roman" w:cs="Times New Roman" w:eastAsia="Times New Roman" w:hAnsi="Times New Roman"/>
                <w:color w:val="1F2937"/>
                <w:sz w:val="20"/>
                <w:szCs w:val="20"/>
              </w:rPr>
              <w:t xml:space="preserve">210 €</w:t>
            </w:r>
          </w:p>
        </w:tc>
      </w:tr>
    </w:tbl>
    <w:p>
      <w:pPr>
        <w:spacing w:after="100"/>
      </w:pPr>
      <w:r>
        <w:t xml:space="preserve"/>
      </w:r>
    </w:p>
    <w:p>
      <w:pPr>
        <w:spacing w:after="80"/>
      </w:pPr>
      <w:r>
        <w:rPr>
          <w:rFonts w:ascii="Times New Roman" w:cs="Times New Roman" w:eastAsia="Times New Roman" w:hAnsi="Times New Roman"/>
          <w:color w:val="1F2937"/>
          <w:sz w:val="22"/>
          <w:szCs w:val="22"/>
        </w:rPr>
        <w:t xml:space="preserve">Au mois 6, MRR brut ≈ 210 €. Marge brute ≈ 210 – 19 – (14 × 0,48) ≈ 184 €, avant fiscalité et cotisations.</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Enseignement clé : doubler l’acquisition (6/mois) ou réduire le churn à 5 % change radicalement la trajectoire. La rétention est souvent plus rentable que l’acquisition en micro-SaaS. (Synthèse, non citation.)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Challenge — Concevoir votre mini-projet micro-SaaS</w:t>
      </w:r>
    </w:p>
    <w:p>
      <w:pPr>
        <w:spacing w:after="80"/>
      </w:pPr>
      <w:r>
        <w:rPr>
          <w:rFonts w:ascii="Times New Roman" w:cs="Times New Roman" w:eastAsia="Times New Roman" w:hAnsi="Times New Roman"/>
          <w:color w:val="1F2937"/>
          <w:sz w:val="22"/>
          <w:szCs w:val="22"/>
        </w:rPr>
        <w:t xml:space="preserve">Exercice de synthèse mobilisant l’ensemble de la leçon. Durée estimée : 45–60 minutes.</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1. Choisissez une niche précise (une profession ou un segment avec un problème répétitif identifié — évitez « tous les indépendants » : trop large)</w:t>
      </w:r>
    </w:p>
    <w:p>
      <w:pPr>
        <w:pStyle w:val="ListParagraph"/>
        <w:numPr>
          <w:ilvl w:val="0"/>
          <w:numId w:val="2"/>
        </w:numPr>
        <w:spacing w:after="60"/>
      </w:pPr>
      <w:r>
        <w:rPr>
          <w:rFonts w:ascii="Times New Roman" w:cs="Times New Roman" w:eastAsia="Times New Roman" w:hAnsi="Times New Roman"/>
          <w:color w:val="1F2937"/>
          <w:sz w:val="22"/>
          <w:szCs w:val="22"/>
        </w:rPr>
        <w:t xml:space="preserve">2. Décrivez le problème : « Les [profil] perdent du temps à [tâche] chaque [fréquence]. »</w:t>
      </w:r>
    </w:p>
    <w:p>
      <w:pPr>
        <w:pStyle w:val="ListParagraph"/>
        <w:numPr>
          <w:ilvl w:val="0"/>
          <w:numId w:val="2"/>
        </w:numPr>
        <w:spacing w:after="60"/>
      </w:pPr>
      <w:r>
        <w:rPr>
          <w:rFonts w:ascii="Times New Roman" w:cs="Times New Roman" w:eastAsia="Times New Roman" w:hAnsi="Times New Roman"/>
          <w:color w:val="1F2937"/>
          <w:sz w:val="22"/>
          <w:szCs w:val="22"/>
        </w:rPr>
        <w:t xml:space="preserve">3. Décrivez votre solution : « Mon outil [action] automatiquement, en [délai/contexte], grâce à [technologie]. »</w:t>
      </w:r>
    </w:p>
    <w:p>
      <w:pPr>
        <w:pStyle w:val="ListParagraph"/>
        <w:numPr>
          <w:ilvl w:val="0"/>
          <w:numId w:val="2"/>
        </w:numPr>
        <w:spacing w:after="60"/>
      </w:pPr>
      <w:r>
        <w:rPr>
          <w:rFonts w:ascii="Times New Roman" w:cs="Times New Roman" w:eastAsia="Times New Roman" w:hAnsi="Times New Roman"/>
          <w:color w:val="1F2937"/>
          <w:sz w:val="22"/>
          <w:szCs w:val="22"/>
        </w:rPr>
        <w:t xml:space="preserve">4. Définissez le pricing : quel tarif mensuel ? Pourquoi ce niveau ? (Comparez avec ce que coûte le problème non résolu.)</w:t>
      </w:r>
    </w:p>
    <w:p>
      <w:pPr>
        <w:pStyle w:val="ListParagraph"/>
        <w:numPr>
          <w:ilvl w:val="0"/>
          <w:numId w:val="2"/>
        </w:numPr>
        <w:spacing w:after="60"/>
      </w:pPr>
      <w:r>
        <w:rPr>
          <w:rFonts w:ascii="Times New Roman" w:cs="Times New Roman" w:eastAsia="Times New Roman" w:hAnsi="Times New Roman"/>
          <w:color w:val="1F2937"/>
          <w:sz w:val="22"/>
          <w:szCs w:val="22"/>
        </w:rPr>
        <w:t xml:space="preserve">5. Listez les outils et estimez le coût mensuel total de la stack</w:t>
      </w:r>
    </w:p>
    <w:p>
      <w:pPr>
        <w:pStyle w:val="ListParagraph"/>
        <w:numPr>
          <w:ilvl w:val="0"/>
          <w:numId w:val="2"/>
        </w:numPr>
        <w:spacing w:after="60"/>
      </w:pPr>
      <w:r>
        <w:rPr>
          <w:rFonts w:ascii="Times New Roman" w:cs="Times New Roman" w:eastAsia="Times New Roman" w:hAnsi="Times New Roman"/>
          <w:color w:val="1F2937"/>
          <w:sz w:val="22"/>
          <w:szCs w:val="22"/>
        </w:rPr>
        <w:t xml:space="preserve">6. Calculez la projection à 6 mois : 2 nouveaux abonnés/mois, churn 10 % — quel MRR au mois 6 ? Quelle marge brute ?</w:t>
      </w:r>
    </w:p>
    <w:p>
      <w:pPr>
        <w:pStyle w:val="ListParagraph"/>
        <w:numPr>
          <w:ilvl w:val="0"/>
          <w:numId w:val="2"/>
        </w:numPr>
        <w:spacing w:after="60"/>
      </w:pPr>
      <w:r>
        <w:rPr>
          <w:rFonts w:ascii="Times New Roman" w:cs="Times New Roman" w:eastAsia="Times New Roman" w:hAnsi="Times New Roman"/>
          <w:color w:val="1F2937"/>
          <w:sz w:val="22"/>
          <w:szCs w:val="22"/>
        </w:rPr>
        <w:t xml:space="preserve">7. Identifiez le principal risque (technique, concurrence, commoditisation IA, légal) et une mesure de mitigation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8. Estimez honnêtement le temps de travail mensuel (maintenance + support + marketing) une fois l’outil lancé</w:t>
      </w:r>
    </w:p>
    <w:p>
      <w:pPr>
        <w:spacing w:after="100"/>
      </w:pPr>
      <w:r>
        <w:t xml:space="preserve"/>
      </w:r>
    </w:p>
    <w:p>
      <w:pPr>
        <w:spacing w:after="80"/>
      </w:pPr>
      <w:r>
        <w:rPr>
          <w:rFonts w:ascii="Times New Roman" w:cs="Times New Roman" w:eastAsia="Times New Roman" w:hAnsi="Times New Roman"/>
          <w:color w:val="1F2937"/>
          <w:sz w:val="22"/>
          <w:szCs w:val="22"/>
        </w:rPr>
        <w:t xml:space="preserve">Critères d’auto-évaluation :</w:t>
      </w:r>
    </w:p>
    <w:p>
      <w:pPr>
        <w:pStyle w:val="ListParagraph"/>
        <w:numPr>
          <w:ilvl w:val="0"/>
          <w:numId w:val="2"/>
        </w:numPr>
        <w:spacing w:after="60"/>
      </w:pPr>
      <w:r>
        <w:rPr>
          <w:rFonts w:ascii="Times New Roman" w:cs="Times New Roman" w:eastAsia="Times New Roman" w:hAnsi="Times New Roman"/>
          <w:color w:val="1F2937"/>
          <w:sz w:val="22"/>
          <w:szCs w:val="22"/>
        </w:rPr>
        <w:t xml:space="preserve">La niche est suffisamment précise pour que vous puissiez trouver 10 prospects concrets</w:t>
      </w:r>
    </w:p>
    <w:p>
      <w:pPr>
        <w:pStyle w:val="ListParagraph"/>
        <w:numPr>
          <w:ilvl w:val="0"/>
          <w:numId w:val="2"/>
        </w:numPr>
        <w:spacing w:after="60"/>
      </w:pPr>
      <w:r>
        <w:rPr>
          <w:rFonts w:ascii="Times New Roman" w:cs="Times New Roman" w:eastAsia="Times New Roman" w:hAnsi="Times New Roman"/>
          <w:color w:val="1F2937"/>
          <w:sz w:val="22"/>
          <w:szCs w:val="22"/>
        </w:rPr>
        <w:t xml:space="preserve">Le calcul de rentabilité intègre tous les coûts réels (charges, Stripe, fiscalité)</w:t>
      </w:r>
    </w:p>
    <w:p>
      <w:pPr>
        <w:pStyle w:val="ListParagraph"/>
        <w:numPr>
          <w:ilvl w:val="0"/>
          <w:numId w:val="2"/>
        </w:numPr>
        <w:spacing w:after="60"/>
      </w:pPr>
      <w:r>
        <w:rPr>
          <w:rFonts w:ascii="Times New Roman" w:cs="Times New Roman" w:eastAsia="Times New Roman" w:hAnsi="Times New Roman"/>
          <w:color w:val="1F2937"/>
          <w:sz w:val="22"/>
          <w:szCs w:val="22"/>
        </w:rPr>
        <w:t xml:space="preserve">Le risque principal est nommé sans euphémisme</w:t>
      </w:r>
    </w:p>
    <w:p>
      <w:pPr>
        <w:pStyle w:val="ListParagraph"/>
        <w:numPr>
          <w:ilvl w:val="0"/>
          <w:numId w:val="2"/>
        </w:numPr>
        <w:spacing w:after="60"/>
      </w:pPr>
      <w:r>
        <w:rPr>
          <w:rFonts w:ascii="Times New Roman" w:cs="Times New Roman" w:eastAsia="Times New Roman" w:hAnsi="Times New Roman"/>
          <w:color w:val="1F2937"/>
          <w:sz w:val="22"/>
          <w:szCs w:val="22"/>
        </w:rPr>
        <w:t xml:space="preserve">Le temps de travail mensuel est estimé honnêtement</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Ressources cliquables</w:t>
      </w:r>
    </w:p>
    <w:p>
      <w:pPr>
        <w:spacing w:after="80"/>
      </w:pPr>
      <w:r>
        <w:rPr>
          <w:rFonts w:ascii="Times New Roman" w:cs="Times New Roman" w:eastAsia="Times New Roman" w:hAnsi="Times New Roman"/>
          <w:color w:val="1F2937"/>
          <w:sz w:val="22"/>
          <w:szCs w:val="22"/>
        </w:rPr>
        <w:t xml:space="preserve">Toutes les URLs ont été testées le 6 septembre 2026. HTTP 200 sauf mention.</w:t>
      </w:r>
    </w:p>
    <w:p>
      <w:pPr>
        <w:spacing w:after="100"/>
      </w:pPr>
      <w:r>
        <w:t xml:space="preserve"/>
      </w:r>
    </w:p>
    <w:p>
      <w:pPr>
        <w:spacing w:after="80"/>
      </w:pPr>
      <w:r>
        <w:rPr>
          <w:rFonts w:ascii="Times New Roman" w:cs="Times New Roman" w:eastAsia="Times New Roman" w:hAnsi="Times New Roman"/>
          <w:color w:val="1F2937"/>
          <w:sz w:val="22"/>
          <w:szCs w:val="22"/>
        </w:rPr>
        <w:t xml:space="preserve">Données et analyses micro-SaaS :</w:t>
      </w:r>
    </w:p>
    <w:p>
      <w:pPr>
        <w:spacing w:after="60"/>
      </w:pPr>
      <w:r>
        <w:rPr>
          <w:rFonts w:ascii="Times New Roman" w:cs="Times New Roman" w:eastAsia="Times New Roman" w:hAnsi="Times New Roman"/>
          <w:color w:val="1F2937"/>
          <w:sz w:val="22"/>
          <w:szCs w:val="22"/>
        </w:rPr>
        <w:t xml:space="preserve">→ </w:t>
      </w:r>
      <w:hyperlink w:history="1" r:id="rIdqaztolufr6ov_kzprtpak">
        <w:r>
          <w:rPr>
            <w:rFonts w:ascii="Times New Roman" w:cs="Times New Roman" w:eastAsia="Times New Roman" w:hAnsi="Times New Roman"/>
            <w:color w:val="1155CC"/>
            <w:sz w:val="22"/>
            <w:szCs w:val="22"/>
            <w:u w:val="single"/>
          </w:rPr>
          <w:t xml:space="preserve">Rockingweb.com.au — 92% of Micro SaaS Fail Within 18 Months (2025 Survival Data)</w:t>
        </w:r>
      </w:hyperlink>
    </w:p>
    <w:p>
      <w:pPr>
        <w:spacing w:after="60"/>
      </w:pPr>
      <w:r>
        <w:rPr>
          <w:rFonts w:ascii="Times New Roman" w:cs="Times New Roman" w:eastAsia="Times New Roman" w:hAnsi="Times New Roman"/>
          <w:color w:val="1F2937"/>
          <w:sz w:val="22"/>
          <w:szCs w:val="22"/>
        </w:rPr>
        <w:t xml:space="preserve">→ </w:t>
      </w:r>
      <w:hyperlink w:history="1" r:id="rIdxizgymbiagou-azbnmi6f">
        <w:r>
          <w:rPr>
            <w:rFonts w:ascii="Times New Roman" w:cs="Times New Roman" w:eastAsia="Times New Roman" w:hAnsi="Times New Roman"/>
            <w:color w:val="1155CC"/>
            <w:sz w:val="22"/>
            <w:szCs w:val="22"/>
            <w:u w:val="single"/>
          </w:rPr>
          <w:t xml:space="preserve">Rockingweb.com.au — 1,000 Micro SaaS Analysed: Real Revenue Data (2025 Study)</w:t>
        </w:r>
      </w:hyperlink>
    </w:p>
    <w:p>
      <w:pPr>
        <w:spacing w:after="60"/>
      </w:pPr>
      <w:r>
        <w:rPr>
          <w:rFonts w:ascii="Times New Roman" w:cs="Times New Roman" w:eastAsia="Times New Roman" w:hAnsi="Times New Roman"/>
          <w:color w:val="1F2937"/>
          <w:sz w:val="22"/>
          <w:szCs w:val="22"/>
        </w:rPr>
        <w:t xml:space="preserve">→ </w:t>
      </w:r>
      <w:hyperlink w:history="1" r:id="rId3gqkhdfwml47lvxtk6v_j">
        <w:r>
          <w:rPr>
            <w:rFonts w:ascii="Times New Roman" w:cs="Times New Roman" w:eastAsia="Times New Roman" w:hAnsi="Times New Roman"/>
            <w:color w:val="1155CC"/>
            <w:sz w:val="22"/>
            <w:szCs w:val="22"/>
            <w:u w:val="single"/>
          </w:rPr>
          <w:t xml:space="preserve">Indie Hackers — Témoignages et revenus déclarés par des fondateurs solo</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Coûts des outils no-code :</w:t>
      </w:r>
    </w:p>
    <w:p>
      <w:pPr>
        <w:spacing w:after="60"/>
      </w:pPr>
      <w:r>
        <w:rPr>
          <w:rFonts w:ascii="Times New Roman" w:cs="Times New Roman" w:eastAsia="Times New Roman" w:hAnsi="Times New Roman"/>
          <w:color w:val="1F2937"/>
          <w:sz w:val="22"/>
          <w:szCs w:val="22"/>
        </w:rPr>
        <w:t xml:space="preserve">→ </w:t>
      </w:r>
      <w:hyperlink w:history="1" r:id="rIdipbltxg1zd-tnmen0gefw">
        <w:r>
          <w:rPr>
            <w:rFonts w:ascii="Times New Roman" w:cs="Times New Roman" w:eastAsia="Times New Roman" w:hAnsi="Times New Roman"/>
            <w:color w:val="1155CC"/>
            <w:sz w:val="22"/>
            <w:szCs w:val="22"/>
            <w:u w:val="single"/>
          </w:rPr>
          <w:t xml:space="preserve">Parseur.com — Comparatif Zapier vs Make.com vs n8n (tarifs et fonctionnalités, 2026)</w:t>
        </w:r>
      </w:hyperlink>
    </w:p>
    <w:p>
      <w:pPr>
        <w:spacing w:after="60"/>
      </w:pPr>
      <w:r>
        <w:rPr>
          <w:rFonts w:ascii="Times New Roman" w:cs="Times New Roman" w:eastAsia="Times New Roman" w:hAnsi="Times New Roman"/>
          <w:color w:val="1F2937"/>
          <w:sz w:val="22"/>
          <w:szCs w:val="22"/>
        </w:rPr>
        <w:t xml:space="preserve">→ </w:t>
      </w:r>
      <w:hyperlink w:history="1" r:id="rIdstripepricing20260911">
        <w:r>
          <w:rPr>
            <w:rFonts w:ascii="Times New Roman" w:cs="Times New Roman" w:eastAsia="Times New Roman" w:hAnsi="Times New Roman"/>
            <w:color w:val="1155CC"/>
            <w:sz w:val="22"/>
            <w:szCs w:val="22"/>
            <w:u w:val="single"/>
          </w:rPr>
          <w:t xml:space="preserve">Stripe — Tarifs France et EEE (la grille complète : cartes standard, premium, britanniques, internationales)</w:t>
        </w:r>
      </w:hyperlink>
      <w:r>
        <w:rPr>
          <w:rFonts w:ascii="Times New Roman" w:cs="Times New Roman" w:eastAsia="Times New Roman" w:hAnsi="Times New Roman"/>
          <w:color w:val="1F2937"/>
          <w:sz w:val="22"/>
          <w:szCs w:val="22"/>
        </w:rPr>
        <w:t xml:space="preserve"> — AJOUTÉE LE 11/09/2026. Cette page était nommée « la source primaire » dans le corps de la leçon depuis le 06/09, et ne figurait dans aucune des huit ressources — alors que les quatre taux qu'elle porte alimentent les quatre calculs de l'exercice, et que c'est sur elle que s'appuie la correction ④ du journal. Retestée le 11/09/2026 : HTTP 200, 44 506 caractères utiles, les valeurs citées y figurent.</w:t>
      </w:r>
    </w:p>
    <w:p>
      <w:pPr>
        <w:spacing w:after="100"/>
      </w:pPr>
      <w:r>
        <w:t xml:space="preserve"/>
      </w:r>
    </w:p>
    <w:p>
      <w:pPr>
        <w:spacing w:after="80"/>
      </w:pPr>
      <w:r>
        <w:rPr>
          <w:rFonts w:ascii="Times New Roman" w:cs="Times New Roman" w:eastAsia="Times New Roman" w:hAnsi="Times New Roman"/>
          <w:color w:val="1F2937"/>
          <w:sz w:val="22"/>
          <w:szCs w:val="22"/>
        </w:rPr>
        <w:t xml:space="preserve">Protection et arnaques :</w:t>
      </w:r>
    </w:p>
    <w:p>
      <w:pPr>
        <w:spacing w:after="60"/>
      </w:pPr>
      <w:r>
        <w:rPr>
          <w:rFonts w:ascii="Times New Roman" w:cs="Times New Roman" w:eastAsia="Times New Roman" w:hAnsi="Times New Roman"/>
          <w:color w:val="1F2937"/>
          <w:sz w:val="22"/>
          <w:szCs w:val="22"/>
        </w:rPr>
        <w:t xml:space="preserve">→ </w:t>
      </w:r>
      <w:hyperlink w:history="1" r:id="rIdfngdpre9zdicqmretvgxl">
        <w:r>
          <w:rPr>
            <w:rFonts w:ascii="Times New Roman" w:cs="Times New Roman" w:eastAsia="Times New Roman" w:hAnsi="Times New Roman"/>
            <w:color w:val="1155CC"/>
            <w:sz w:val="22"/>
            <w:szCs w:val="22"/>
            <w:u w:val="single"/>
          </w:rPr>
          <w:t xml:space="preserve">AMF France — Espace épargnants (mises en garde et listes noires)</w:t>
        </w:r>
      </w:hyperlink>
    </w:p>
    <w:p>
      <w:pPr>
        <w:spacing w:after="60"/>
      </w:pPr>
      <w:r>
        <w:rPr>
          <w:rFonts w:ascii="Times New Roman" w:cs="Times New Roman" w:eastAsia="Times New Roman" w:hAnsi="Times New Roman"/>
          <w:color w:val="1F2937"/>
          <w:sz w:val="22"/>
          <w:szCs w:val="22"/>
        </w:rPr>
        <w:t xml:space="preserve">→ </w:t>
      </w:r>
      <w:hyperlink w:history="1" r:id="rIdtxgrxtmvmwbwwysaf7cgb">
        <w:r>
          <w:rPr>
            <w:rFonts w:ascii="Times New Roman" w:cs="Times New Roman" w:eastAsia="Times New Roman" w:hAnsi="Times New Roman"/>
            <w:color w:val="1155CC"/>
            <w:sz w:val="22"/>
            <w:szCs w:val="22"/>
            <w:u w:val="single"/>
          </w:rPr>
          <w:t xml:space="preserve">AMF France — Quelles sont les arnaques les plus courantes ? (PDF officiel)</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Réglementation française (statuts et fiscalité) :</w:t>
      </w:r>
    </w:p>
    <w:p>
      <w:pPr>
        <w:spacing w:after="60"/>
      </w:pPr>
      <w:r>
        <w:rPr>
          <w:rFonts w:ascii="Times New Roman" w:cs="Times New Roman" w:eastAsia="Times New Roman" w:hAnsi="Times New Roman"/>
          <w:color w:val="1F2937"/>
          <w:sz w:val="22"/>
          <w:szCs w:val="22"/>
        </w:rPr>
        <w:t xml:space="preserve">→ </w:t>
      </w:r>
      <w:hyperlink w:history="1" r:id="rIdfce1ax8vyvyu5l4cmum8g">
        <w:r>
          <w:rPr>
            <w:rFonts w:ascii="Times New Roman" w:cs="Times New Roman" w:eastAsia="Times New Roman" w:hAnsi="Times New Roman"/>
            <w:color w:val="1155CC"/>
            <w:sz w:val="22"/>
            <w:szCs w:val="22"/>
            <w:u w:val="single"/>
          </w:rPr>
          <w:t xml:space="preserve">Service-public.fr — Auto-entrepreneur : cotisations et régime fiscal (HTTP 200)</w:t>
        </w:r>
      </w:hyperlink>
    </w:p>
    <w:p>
      <w:pPr>
        <w:spacing w:after="60"/>
      </w:pPr>
      <w:r>
        <w:rPr>
          <w:rFonts w:ascii="Times New Roman" w:cs="Times New Roman" w:eastAsia="Times New Roman" w:hAnsi="Times New Roman"/>
          <w:color w:val="1F2937"/>
          <w:sz w:val="22"/>
          <w:szCs w:val="22"/>
        </w:rPr>
        <w:t xml:space="preserve">→ </w:t>
      </w:r>
      <w:hyperlink w:history="1" r:id="rId5snxgr5ghz0l-m0otd8eo">
        <w:r>
          <w:rPr>
            <w:rFonts w:ascii="Times New Roman" w:cs="Times New Roman" w:eastAsia="Times New Roman" w:hAnsi="Times New Roman"/>
            <w:color w:val="1155CC"/>
            <w:sz w:val="22"/>
            <w:szCs w:val="22"/>
            <w:u w:val="single"/>
          </w:rPr>
          <w:t xml:space="preserve">Economie.gouv.fr — Devenir auto-entrepreneur (HTTP 403 — blocage anti-robot, page probablement accessible en navigation normale)</w:t>
        </w:r>
      </w:hyperlink>
    </w:p>
    <w:p>
      <w:pPr>
        <w:spacing w:after="60"/>
      </w:pPr>
      <w:hyperlink w:history="1" r:id="rIdopinionway2024">
        <w:r>
          <w:rPr>
            <w:rFonts w:ascii="Times New Roman" w:cs="Times New Roman" w:eastAsia="Times New Roman" w:hAnsi="Times New Roman"/>
            <w:color w:val="1155CC"/>
            <w:sz w:val="22"/>
            <w:szCs w:val="22"/>
            <w:u w:val="single"/>
          </w:rPr>
          <w:t xml:space="preserve">AMF — Social Media Intelligence : arnaques à l'investissement sur le web (OpinionWay pour l'AMF, octobre 2024)</w:t>
        </w:r>
      </w:hyperlink>
      <w:r>
        <w:rPr>
          <w:rFonts w:ascii="Times New Roman" w:cs="Times New Roman" w:eastAsia="Times New Roman" w:hAnsi="Times New Roman"/>
          <w:color w:val="1F2937"/>
          <w:sz w:val="22"/>
          <w:szCs w:val="22"/>
        </w:rPr>
        <w:t xml:space="preserve"> — AJOUTÉE LE 12/09/2026 : le rapport était nommé « testé et accessible (HTTP 200) » dans le corps sans que son adresse figure nulle part. Testée le 12/09/2026 : HTTP 200, 5 346 caractères utiles, « OpinionWay » présent cinq fois.</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Cinq corrections apportées le jour même de la production, après relecture des sources primaires. Les formulations d’origine sont conservées ci-dessous : une erreur effacée ne s’apprend pas.</w:t>
      </w:r>
    </w:p>
    <w:p>
      <w:pPr>
        <w:spacing w:after="80"/>
      </w:pPr>
      <w:r>
        <w:rPr>
          <w:rFonts w:ascii="Times New Roman" w:cs="Times New Roman" w:eastAsia="Times New Roman" w:hAnsi="Times New Roman"/>
          <w:color w:val="1F2937"/>
          <w:sz w:val="22"/>
          <w:szCs w:val="22"/>
        </w:rPr>
        <w:t xml:space="preserve">① Taux d’échec — Texte d’origine : « 92 % des micro-SaaS échouent dans les 18 premiers mois ». C’est le titre de l’article cité, que son propre corps contredit : il y est écrit « 92% of SaaS startups die within 3 years » et « 45% of all startup failures occur between months 18-24 ». Le titre avait été recopié sans que le texte soit ouvert. Corrigé sur le corps.</w:t>
      </w:r>
    </w:p>
    <w:p>
      <w:pPr>
        <w:spacing w:after="80"/>
      </w:pPr>
      <w:r>
        <w:rPr>
          <w:rFonts w:ascii="Times New Roman" w:cs="Times New Roman" w:eastAsia="Times New Roman" w:hAnsi="Times New Roman"/>
          <w:color w:val="1F2937"/>
          <w:sz w:val="22"/>
          <w:szCs w:val="22"/>
        </w:rPr>
        <w:t xml:space="preserve">② Distribution des revenus — Texte d’origine : « 30 % n’atteignent jamais 1 000 $/mois | 50 % plafonnent entre 1 000 $ et 10 000 $ | 15 % atteignent 10 000–100 000 $ | 5 % dépassent 100 000 $ ». Aucune de ces quatre tranches ne figure dans la source citée : la page donne 70 % sous 1 000 $, 18 % entre 1 000 et 5 000 $, 1 à 2 % au-dessus de 50 000 $ — d’autres bornes et d’autres proportions. Une distribution complète avait donc été fabriquée, puis attribuée nommément à un tiers. Remplacée par les chiffres relevés.</w:t>
      </w:r>
    </w:p>
    <w:p>
      <w:pPr>
        <w:spacing w:after="80"/>
      </w:pPr>
      <w:r>
        <w:rPr>
          <w:rFonts w:ascii="Times New Roman" w:cs="Times New Roman" w:eastAsia="Times New Roman" w:hAnsi="Times New Roman"/>
          <w:color w:val="1F2937"/>
          <w:sz w:val="22"/>
          <w:szCs w:val="22"/>
        </w:rPr>
        <w:t xml:space="preserve">③ Contradiction interne — Le texte d’origine annonçait 30 % sous 1 000 $/mois dans la distribution, puis 70 % sous le même seuil deux lignes plus bas, en précisant « même source ». Les deux ne pouvaient pas être vrais. Vérification faite, c’est la ligne des 70 % qui était fidèle. La contradiction se voyait sans consulter quoi que ce soit : deux chiffres incompatibles publiés à deux lignes d’écart.</w:t>
      </w:r>
    </w:p>
    <w:p>
      <w:pPr>
        <w:spacing w:after="80"/>
      </w:pPr>
      <w:r>
        <w:rPr>
          <w:rFonts w:ascii="Times New Roman" w:cs="Times New Roman" w:eastAsia="Times New Roman" w:hAnsi="Times New Roman"/>
          <w:color w:val="1F2937"/>
          <w:sz w:val="22"/>
          <w:szCs w:val="22"/>
        </w:rPr>
        <w:t xml:space="preserve">④ Tarification Stripe — Texte d’origine : « Le taux monte à 2,5 % + 0,25 € pour les cartes hors EEE », d’après un comparatif tiers. 2,5 % est le tarif des cartes britanniques ; les cartes internationales sont à 3,15 % et les cartes premium de l’EEE à 2,8 %, toutes deux absentes. La leçon écrivait pourtant elle-même qu’il fallait vérifier sur stripe.com/fr/pricing : la consigne était rédigée, pas appliquée. Grille complète relevée sur la page officielle.</w:t>
      </w:r>
    </w:p>
    <w:p>
      <w:pPr>
        <w:spacing w:after="80"/>
      </w:pPr>
      <w:r>
        <w:rPr>
          <w:rFonts w:ascii="Times New Roman" w:cs="Times New Roman" w:eastAsia="Times New Roman" w:hAnsi="Times New Roman"/>
          <w:color w:val="1F2937"/>
          <w:sz w:val="22"/>
          <w:szCs w:val="22"/>
        </w:rPr>
        <w:t xml:space="preserve">⑤ Tarif Zapier — Texte d’origine : « 19,99 $/mois (Professional) », sans condition. C’est le montant affiché par défaut sur zapier.com/pricing, dont le sélecteur est positionné sur « Pay yearly (Save 33%) » : il suppose un engagement annuel. La condition est désormais écrite. Sans effet sur les calculs, qui reposent sur Make à 9 $.</w:t>
      </w:r>
    </w:p>
    <w:p>
      <w:pPr>
        <w:spacing w:after="80"/>
      </w:pPr>
      <w:r>
        <w:rPr>
          <w:rFonts w:ascii="Times New Roman" w:cs="Times New Roman" w:eastAsia="Times New Roman" w:hAnsi="Times New Roman"/>
          <w:color w:val="1F2937"/>
          <w:sz w:val="22"/>
          <w:szCs w:val="22"/>
        </w:rPr>
        <w:t xml:space="preserve">Ce que ces cinq points ont en commun : aucun ne portait sur un raisonnement. Toute l’arithmétique de la leçon — seuil de couverture, frais par abonné, marge à 30 abonnés, table de churn sur six mois — a été refaite et s’est révélée exacte. Ce qui a cédé, c’est le lien entre un chiffre et sa source : un titre pris pour un contenu, une distribution inventée, une grille tarifaire réduite de quatre lignes à deux, un prix promotionnel donné pour un prix. Un chiffre juste dans un calcul ne prouve rien sur son origine.</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Prochaine leçon — n°08 : Les outils par type de business (1/2)</w:t>
      </w:r>
    </w:p>
    <w:p>
      <w:pPr>
        <w:spacing w:after="80"/>
      </w:pPr>
      <w:r>
        <w:rPr>
          <w:rFonts w:ascii="Times New Roman" w:cs="Times New Roman" w:eastAsia="Times New Roman" w:hAnsi="Times New Roman"/>
          <w:color w:val="1F2937"/>
          <w:sz w:val="22"/>
          <w:szCs w:val="22"/>
        </w:rPr>
        <w:t xml:space="preserve">La leçon 08 cartographiera les outils concrets selon le type de revenu passif ciblé : création de contenu, hébergement, paiement, distribution. Pour chaque catégorie, nous comparerons les coûts réels, les alternatives gratuites et les arbitrages à faire selon votre modèle.</w:t>
      </w:r>
    </w:p>
    <w:p>
      <w:pPr>
        <w:spacing w:after="80"/>
      </w:pPr>
      <w:r>
        <w:rPr>
          <w:rFonts w:ascii="Times New Roman" w:cs="Times New Roman" w:eastAsia="Times New Roman" w:hAnsi="Times New Roman"/>
          <w:color w:val="1F2937"/>
          <w:sz w:val="22"/>
          <w:szCs w:val="22"/>
        </w:rPr>
        <w:t xml:space="preserve">Objectif : construire votre stack personnalisée avec un budget estimé réaliste, adapté au modèle défini dans le Challenge de cette leçon.</w:t>
      </w:r>
    </w:p>
    <w:p>
      <w:pPr>
        <w:spacing w:after="100"/>
      </w:pPr>
      <w:r>
        <w:t xml:space="preserve"/>
      </w:r>
    </w:p>
    <w:p>
      <w:pPr>
        <w:pBdr>
          <w:bottom w:val="single" w:color="E5E7EB" w:sz="4"/>
        </w:pBdr>
        <w:spacing w:after="120" w:before="12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11 septembre 2026</w:t>
      </w:r>
    </w:p>
    <w:p>
      <w:pPr>
        <w:spacing w:after="80"/>
      </w:pPr>
      <w:r>
        <w:rPr>
          <w:rFonts w:ascii="Times New Roman" w:cs="Times New Roman" w:eastAsia="Times New Roman" w:hAnsi="Times New Roman"/>
          <w:b/>
          <w:bCs/>
          <w:color w:val="1F2937"/>
          <w:sz w:val="22"/>
          <w:szCs w:val="22"/>
        </w:rPr>
        <w:t xml:space="preserve">Leçon produite le 06/09/2026 et corrigée le jour même, relue le 11/09/2026 par le test d'attribution des pages. UNE correction.</w:t>
      </w:r>
    </w:p>
    <w:p>
      <w:pPr>
        <w:spacing w:after="80"/>
      </w:pPr>
      <w:r>
        <w:rPr>
          <w:rFonts w:ascii="Times New Roman" w:cs="Times New Roman" w:eastAsia="Times New Roman" w:hAnsi="Times New Roman"/>
          <w:color w:val="1F2937"/>
          <w:sz w:val="22"/>
          <w:szCs w:val="22"/>
        </w:rPr>
        <w:t xml:space="preserve">① La source primaire des tarifs était nommée, jamais publiée. Le corps de la leçon écrivait « grille relevée sur la source primaire stripe.com/fr/pricing le 06/09/2026 », puis en tirait quatre lignes de tarifs — 1,5 % + 0,25 € pour les cartes standard de l'EEE, 2,8 % pour les premium de l'EEE, 2,5 % pour les britanniques, 3,15 % pour les internationales. Ces quatre taux alimentent les quatre calculs de l'exercice de rentabilité. Et la page ne figurait dans AUCUNE des huit ressources : un lecteur voulant recalculer devait la chercher lui-même. Nommer une source, c'est s'engager à la rendre vérifiable — la nommer « primaire » redouble cet engagement.</w:t>
      </w:r>
    </w:p>
    <w:p>
      <w:pPr>
        <w:spacing w:after="80"/>
      </w:pPr>
      <w:r>
        <w:rPr>
          <w:rFonts w:ascii="Times New Roman" w:cs="Times New Roman" w:eastAsia="Times New Roman" w:hAnsi="Times New Roman"/>
          <w:color w:val="1F2937"/>
          <w:sz w:val="22"/>
          <w:szCs w:val="22"/>
        </w:rPr>
        <w:t xml:space="preserve">Circonstance aggravante, et c'est ce qui rend ce cas intéressant : c'est SUR CETTE PAGE que s'appuie la correction ④ du journal du 06/09, celle qui rectifiait un taux repris d'un comparatif tiers. La source qui a servi à corriger n'avait pas été publiée. Le journal note d'ailleurs, à propos de la version d'origine : « La leçon écrivait pourtant elle-même qu'il fallait vérifier sur stripe.com/fr/pricing : la consigne était rédigée, pas appliquée. » Elle a fini par être appliquée, et par produire la bonne grille ; ce qui manquait encore était l'adresse.</w:t>
      </w:r>
    </w:p>
    <w:p>
      <w:pPr>
        <w:spacing w:after="80"/>
      </w:pPr>
      <w:r>
        <w:rPr>
          <w:rFonts w:ascii="Times New Roman" w:cs="Times New Roman" w:eastAsia="Times New Roman" w:hAnsi="Times New Roman"/>
          <w:color w:val="1F2937"/>
          <w:sz w:val="22"/>
          <w:szCs w:val="22"/>
        </w:rPr>
        <w:t xml:space="preserve">Ce qui a été fait. La page est ajoutée aux Ressources, dans le groupe « coûts des outils no-code », avec sa date de test propre — les huit autres URL portent la date du 06/09/2026, celle-ci celle du 11/09/2026. Retestée à cette occasion : HTTP 200, 44 506 caractères utiles, et les valeurs citées y figurent bien (1,5 · 2,8 · 0,25 · EEE). Le renvoi du corps signale que l'adresse manquait.</w:t>
      </w:r>
    </w:p>
    <w:p>
      <w:pPr>
        <w:spacing w:after="80"/>
      </w:pPr>
      <w:r>
        <w:rPr>
          <w:rFonts w:ascii="Times New Roman" w:cs="Times New Roman" w:eastAsia="Times New Roman" w:hAnsi="Times New Roman"/>
          <w:color w:val="1F2937"/>
          <w:sz w:val="22"/>
          <w:szCs w:val="22"/>
        </w:rPr>
        <w:t xml:space="preserve">Vérifié lors de cette relecture et inchangé. Les huit URL d'origine répondent comme annoncé, y compris le 403 d'economie.gouv.fr, correctement signalé comme un blocage anti-robot et non comme une page morte. Le PDF de l'AMF est une ressource légitime, mais aucun test automatique ne peut y confirmer une citation : il est désormais déclaré comme non analysable. Aucune autre page n'est nommée dans le corps sans figurer dans les ressources.</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12 septembre 2026</w:t>
      </w:r>
    </w:p>
    <w:p>
      <w:pPr>
        <w:spacing w:after="60"/>
      </w:pPr>
      <w:r>
        <w:rPr>
          <w:rFonts w:ascii="Times New Roman" w:cs="Times New Roman" w:eastAsia="Times New Roman" w:hAnsi="Times New Roman"/>
          <w:b/>
          <w:bCs/>
          <w:color w:val="1F2937"/>
          <w:sz w:val="22"/>
          <w:szCs w:val="22"/>
        </w:rPr>
        <w:t xml:space="preserve">Relue le 12/09/2026 par la passe A4 du contrôle d'attribution. UNE correction.</w:t>
      </w:r>
    </w:p>
    <w:p>
      <w:pPr>
        <w:spacing w:after="60"/>
      </w:pPr>
      <w:r>
        <w:rPr>
          <w:rFonts w:ascii="Times New Roman" w:cs="Times New Roman" w:eastAsia="Times New Roman" w:hAnsi="Times New Roman"/>
          <w:color w:val="1F2937"/>
          <w:sz w:val="22"/>
          <w:szCs w:val="22"/>
        </w:rPr>
        <w:t xml:space="preserve">① Un rapport « testé et accessible (HTTP 200) » dont l'adresse ne figurait nulle part. La ligne « Sources : … et rapport OpinionWay pour AMF (octobre 2024), tous deux testés et accessibles le 6 septembre 2026 (HTTP 200) » affirmait un test sur une page que le lecteur ne pouvait pas ouvrir. Le document AMF « Quelles sont les arnaques… » était bien en ressources ; le rapport OpinionWay ne l'était pas. Il l'est désormais, et la phrase porte son adresse. Vérifié le 12/09/2026 : le rapport existe, sous le titre « Social Media Intelligence : arnaques à l'investissement sur le web », OpinionWay pour l'AMF, octobre 2024.</w:t>
      </w:r>
    </w:p>
    <w:p>
      <w:pPr>
        <w:jc w:val="center"/>
      </w:pPr>
      <w:r>
        <w:rPr>
          <w:rFonts w:ascii="Times New Roman" w:cs="Times New Roman" w:eastAsia="Times New Roman" w:hAnsi="Times New Roman"/>
          <w:i/>
          <w:iCs/>
          <w:color w:val="9CA3AF"/>
          <w:sz w:val="18"/>
          <w:szCs w:val="18"/>
        </w:rPr>
        <w:t xml:space="preserve">Parcours Revenus passifs — Leçon 07 / 10 — Usage éducatif et personnel exclusivement. Sans valeur de conseil en investissement. Pour toute décision financière, consulter un professionnel agréé (statut CIF, registre ORIAS).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ztolufr6ov_kzprtpak" Type="http://schemas.openxmlformats.org/officeDocument/2006/relationships/hyperlink" Target="https://www.rockingweb.com.au/18-month-rule-micro-saas-startup-failure-analysis/" TargetMode="External"/><Relationship Id="rIdxizgymbiagou-azbnmi6f" Type="http://schemas.openxmlformats.org/officeDocument/2006/relationships/hyperlink" Target="https://www.rockingweb.com.au/micro-saas-revenue-analysis-2025/" TargetMode="External"/><Relationship Id="rId3gqkhdfwml47lvxtk6v_j" Type="http://schemas.openxmlformats.org/officeDocument/2006/relationships/hyperlink" Target="https://www.indiehackers.com/" TargetMode="External"/><Relationship Id="rIdipbltxg1zd-tnmen0gefw" Type="http://schemas.openxmlformats.org/officeDocument/2006/relationships/hyperlink" Target="https://parseur.com/blog/zapier-n8n-make" TargetMode="External"/><Relationship Id="rIdfngdpre9zdicqmretvgxl" Type="http://schemas.openxmlformats.org/officeDocument/2006/relationships/hyperlink" Target="https://www.amf-france.org/fr/espace-epargnants" TargetMode="External"/><Relationship Id="rIdtxgrxtmvmwbwwysaf7cgb" Type="http://schemas.openxmlformats.org/officeDocument/2006/relationships/hyperlink" Target="https://www.amf-france.org/sites/institutionnel/files/pdf/59187/fr/Quelles_sont_les_arnaques_les_plus_courantes_.pdf" TargetMode="External"/><Relationship Id="rIdfce1ax8vyvyu5l4cmum8g" Type="http://schemas.openxmlformats.org/officeDocument/2006/relationships/hyperlink" Target="https://www.service-public.fr/professionnels-entreprises/vosdroits/F23267" TargetMode="External"/><Relationship Id="rId5snxgr5ghz0l-m0otd8eo" Type="http://schemas.openxmlformats.org/officeDocument/2006/relationships/hyperlink" Target="https://www.economie.gouv.fr/entreprises/auto-entrepreneur-micro-entrepreneur" TargetMode="External"/><Relationship Id="rId15" Type="http://schemas.openxmlformats.org/officeDocument/2006/relationships/fontTable" Target="fontTable.xml"/><Relationship Id="rIdstripepricing20260911" Type="http://schemas.openxmlformats.org/officeDocument/2006/relationships/hyperlink" Target="https://stripe.com/fr/pricing" TargetMode="External"/><Relationship Id="rIdopinionway2024" Type="http://schemas.openxmlformats.org/officeDocument/2006/relationships/hyperlink" Target="https://www.amf-france.org/fr/actualites-publications/publications/rapports-etudes-et-analyses/social-media-intelligence-arnaques-linvestissement-sur-le-web-opinionway-pour-lamf-octobre-2024"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2026-09-06T05:20:15.764Z</dcterms:created>
  <dcterms:modified xsi:type="dcterms:W3CDTF">2026-09-06T05:20:15.781Z</dcterms:modified>
</cp:coreProperties>
</file>

<file path=docProps/custom.xml><?xml version="1.0" encoding="utf-8"?>
<Properties xmlns="http://schemas.openxmlformats.org/officeDocument/2006/custom-properties" xmlns:vt="http://schemas.openxmlformats.org/officeDocument/2006/docPropsVTypes"/>
</file>