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b/>
          <w:bCs/>
          <w:color w:val="1B3A6B"/>
          <w:sz w:val="36"/>
          <w:szCs w:val="36"/>
        </w:rPr>
        <w:t xml:space="preserve">Note de contrôle des livrables</w:t>
      </w:r>
    </w:p>
    <w:p>
      <w:pPr>
        <w:spacing w:after="60" w:before="0"/>
        <w:jc w:val="center"/>
      </w:pPr>
      <w:r>
        <w:rPr>
          <w:color w:val="1B3A6B"/>
          <w:sz w:val="28"/>
          <w:szCs w:val="28"/>
        </w:rPr>
        <w:t xml:space="preserve">Semaine du 26 juillet au 2 août 2026</w:t>
      </w:r>
    </w:p>
    <w:p>
      <w:pPr>
        <w:spacing w:after="200" w:before="0"/>
        <w:jc w:val="center"/>
      </w:pPr>
      <w:r>
        <w:rPr>
          <w:color w:val="777777"/>
          <w:sz w:val="20"/>
          <w:szCs w:val="20"/>
        </w:rPr>
        <w:t xml:space="preserve">Produit le 02/08/2026 — Job controle-livrables — Claude Code</w:t>
      </w:r>
    </w:p>
    <w:p>
      <w:pPr>
        <w:spacing w:after="120" w:before="240"/>
      </w:pPr>
      <w:r>
        <w:rPr>
          <w:b/>
          <w:bCs/>
          <w:color w:val="1B3A6B"/>
          <w:sz w:val="28"/>
          <w:szCs w:val="28"/>
        </w:rPr>
        <w:t xml:space="preserve">⚠️ Portée et limite de ce contrôle</w:t>
      </w:r>
    </w:p>
    <w:p>
      <w:pPr>
        <w:spacing w:after="60" w:before="60"/>
      </w:pPr>
      <w:r>
        <w:rPr>
          <w:color w:val="1F2937"/>
          <w:sz w:val="22"/>
          <w:szCs w:val="22"/>
        </w:rPr>
        <w:t xml:space="preserve">Ce contrôle est MÉCANIQUE ET EXTERNE : il vérifie que les liens répondent, que les chiffres correspondent aux sources primaires consultées aujourd'hui, et que les dates sont dans les fenêtres annoncées. Il n'évalue PAS la qualité éditoriale, pédagogique ou la pertinence du contenu — le contrôleur (même modèle que le producteur) n'a pas de valeur ajoutée sur ce point.</w:t>
      </w:r>
    </w:p>
    <w:p>
      <w:pPr>
        <w:spacing w:after="60" w:before="60"/>
      </w:pPr>
      <w:r>
        <w:rPr>
          <w:color w:val="1F2937"/>
          <w:sz w:val="22"/>
          <w:szCs w:val="22"/>
        </w:rPr>
        <w:t xml:space="preserve">Aucun livrable n'a été modifié. Toutes les constations ci-dessous sont à traiter par décision humaine.</w:t>
      </w:r>
    </w:p>
    <w:p>
      <w:pPr>
        <w:spacing w:after="80" w:before="80"/>
      </w:pPr>
      <w:r>
        <w:rPr>
          <w:color w:val="CCCCCC"/>
          <w:sz w:val="18"/>
          <w:szCs w:val="18"/>
        </w:rPr>
        <w:t xml:space="preserve">────────────────────────────────────────────────────────────</w:t>
      </w:r>
    </w:p>
    <w:p>
      <w:pPr>
        <w:spacing w:after="120" w:before="240"/>
      </w:pPr>
      <w:r>
        <w:rPr>
          <w:b/>
          <w:bCs/>
          <w:color w:val="1B3A6B"/>
          <w:sz w:val="28"/>
          <w:szCs w:val="28"/>
        </w:rPr>
        <w:t xml:space="preserve">🚦 Verdict global — Un tableau par livrable</w:t>
      </w:r>
    </w:p>
    <w:p>
      <w:pPr>
        <w:spacing w:after="60" w:before="60"/>
      </w:pPr>
      <w:r>
        <w:rPr>
          <w:color w:val="777777"/>
          <w:sz w:val="20"/>
          <w:szCs w:val="20"/>
        </w:rPr>
        <w:t xml:space="preserve">Colonne « Liens testés / déclarés » : les deux chiffres doivent être égaux. Une inégalité signale un contrôle partiel.</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Fichier</w:t>
            </w:r>
          </w:p>
        </w:tc>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Job</w:t>
            </w:r>
          </w:p>
        </w:tc>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Liens testés / déclarés</w:t>
            </w:r>
          </w:p>
        </w:tc>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Liens morts</w:t>
            </w:r>
          </w:p>
        </w:tc>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Chiffres vérifiés</w:t>
            </w:r>
          </w:p>
        </w:tc>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Défauts</w:t>
            </w:r>
          </w:p>
        </w:tc>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Gravité</w:t>
            </w:r>
          </w:p>
        </w:tc>
      </w:tr>
      <w:tr>
        <w:tc>
          <w:tcPr>
            <w:tcMar>
              <w:top w:type="dxa" w:w="60"/>
              <w:left w:type="dxa" w:w="80"/>
              <w:bottom w:type="dxa" w:w="60"/>
              <w:right w:type="dxa" w:w="80"/>
            </w:tcMar>
            <w:vAlign w:val="center"/>
          </w:tcPr>
          <w:p>
            <w:r>
              <w:rPr>
                <w:b w:val="false"/>
                <w:bCs w:val="false"/>
                <w:color w:val="1F2937"/>
                <w:sz w:val="18"/>
                <w:szCs w:val="18"/>
              </w:rPr>
              <w:t xml:space="preserve">2026-07-27_lecon-psychopathologie_07_troubles-psychotiques-schizophrenie.docx</w:t>
            </w:r>
          </w:p>
        </w:tc>
        <w:tc>
          <w:tcPr>
            <w:tcMar>
              <w:top w:type="dxa" w:w="60"/>
              <w:left w:type="dxa" w:w="80"/>
              <w:bottom w:type="dxa" w:w="60"/>
              <w:right w:type="dxa" w:w="80"/>
            </w:tcMar>
            <w:vAlign w:val="center"/>
          </w:tcPr>
          <w:p>
            <w:r>
              <w:rPr>
                <w:b w:val="false"/>
                <w:bCs w:val="false"/>
                <w:color w:val="1F2937"/>
                <w:sz w:val="18"/>
                <w:szCs w:val="18"/>
              </w:rPr>
              <w:t xml:space="preserve">psychopathologie-lecon</w:t>
            </w:r>
          </w:p>
        </w:tc>
        <w:tc>
          <w:tcPr>
            <w:tcMar>
              <w:top w:type="dxa" w:w="60"/>
              <w:left w:type="dxa" w:w="80"/>
              <w:bottom w:type="dxa" w:w="60"/>
              <w:right w:type="dxa" w:w="80"/>
            </w:tcMar>
            <w:vAlign w:val="center"/>
          </w:tcPr>
          <w:p>
            <w:r>
              <w:rPr>
                <w:b w:val="false"/>
                <w:bCs w:val="false"/>
                <w:color w:val="1F2937"/>
                <w:sz w:val="18"/>
                <w:szCs w:val="18"/>
              </w:rPr>
              <w:t xml:space="preserve">7 / 7</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4 (prévalence, stats pronostic)</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 RAS</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2026-07-28_lecon-dzogchen_08_trois-series-semde-longde-mengagde.docx</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dzogchen-lecon</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6 / 6</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 (aucun chiffre officiel)</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 RAS</w:t>
            </w:r>
          </w:p>
        </w:tc>
      </w:tr>
      <w:tr>
        <w:tc>
          <w:tcPr>
            <w:tcMar>
              <w:top w:type="dxa" w:w="60"/>
              <w:left w:type="dxa" w:w="80"/>
              <w:bottom w:type="dxa" w:w="60"/>
              <w:right w:type="dxa" w:w="80"/>
            </w:tcMar>
            <w:vAlign w:val="center"/>
          </w:tcPr>
          <w:p>
            <w:r>
              <w:rPr>
                <w:b w:val="false"/>
                <w:bCs w:val="false"/>
                <w:color w:val="1F2937"/>
                <w:sz w:val="18"/>
                <w:szCs w:val="18"/>
              </w:rPr>
              <w:t xml:space="preserve">2026-07-28_lecon-hypnose_07_sortie-transe-securite.docx</w:t>
            </w:r>
          </w:p>
        </w:tc>
        <w:tc>
          <w:tcPr>
            <w:tcMar>
              <w:top w:type="dxa" w:w="60"/>
              <w:left w:type="dxa" w:w="80"/>
              <w:bottom w:type="dxa" w:w="60"/>
              <w:right w:type="dxa" w:w="80"/>
            </w:tcMar>
            <w:vAlign w:val="center"/>
          </w:tcPr>
          <w:p>
            <w:r>
              <w:rPr>
                <w:b w:val="false"/>
                <w:bCs w:val="false"/>
                <w:color w:val="1F2937"/>
                <w:sz w:val="18"/>
                <w:szCs w:val="18"/>
              </w:rPr>
              <w:t xml:space="preserve">hypnose-lecon</w:t>
            </w:r>
          </w:p>
        </w:tc>
        <w:tc>
          <w:tcPr>
            <w:tcMar>
              <w:top w:type="dxa" w:w="60"/>
              <w:left w:type="dxa" w:w="80"/>
              <w:bottom w:type="dxa" w:w="60"/>
              <w:right w:type="dxa" w:w="80"/>
            </w:tcMar>
            <w:vAlign w:val="center"/>
          </w:tcPr>
          <w:p>
            <w:r>
              <w:rPr>
                <w:b w:val="false"/>
                <w:bCs w:val="false"/>
                <w:color w:val="1F2937"/>
                <w:sz w:val="18"/>
                <w:szCs w:val="18"/>
              </w:rPr>
              <w:t xml:space="preserve">8 / 8</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0 (aucun chiffre officiel)</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 RAS</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2026-07-29_lecon-enneagramme_09_type-7-epicurien-enthousiaste.docx</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enneagramme-lecon</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6 / 6</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 (aucun chiffre officiel)</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 RAS</w:t>
            </w:r>
          </w:p>
        </w:tc>
      </w:tr>
      <w:tr>
        <w:tc>
          <w:tcPr>
            <w:tcMar>
              <w:top w:type="dxa" w:w="60"/>
              <w:left w:type="dxa" w:w="80"/>
              <w:bottom w:type="dxa" w:w="60"/>
              <w:right w:type="dxa" w:w="80"/>
            </w:tcMar>
            <w:vAlign w:val="center"/>
          </w:tcPr>
          <w:p>
            <w:r>
              <w:rPr>
                <w:b w:val="false"/>
                <w:bCs w:val="false"/>
                <w:color w:val="1F2937"/>
                <w:sz w:val="18"/>
                <w:szCs w:val="18"/>
              </w:rPr>
              <w:t xml:space="preserve">2026-07-30_lecon-entretien-motivationnel_10_em-comportements-sante.docx</w:t>
            </w:r>
          </w:p>
        </w:tc>
        <w:tc>
          <w:tcPr>
            <w:tcMar>
              <w:top w:type="dxa" w:w="60"/>
              <w:left w:type="dxa" w:w="80"/>
              <w:bottom w:type="dxa" w:w="60"/>
              <w:right w:type="dxa" w:w="80"/>
            </w:tcMar>
            <w:vAlign w:val="center"/>
          </w:tcPr>
          <w:p>
            <w:r>
              <w:rPr>
                <w:b w:val="false"/>
                <w:bCs w:val="false"/>
                <w:color w:val="1F2937"/>
                <w:sz w:val="18"/>
                <w:szCs w:val="18"/>
              </w:rPr>
              <w:t xml:space="preserve">entretien-motivationnel-lecon</w:t>
            </w:r>
          </w:p>
        </w:tc>
        <w:tc>
          <w:tcPr>
            <w:tcMar>
              <w:top w:type="dxa" w:w="60"/>
              <w:left w:type="dxa" w:w="80"/>
              <w:bottom w:type="dxa" w:w="60"/>
              <w:right w:type="dxa" w:w="80"/>
            </w:tcMar>
            <w:vAlign w:val="center"/>
          </w:tcPr>
          <w:p>
            <w:r>
              <w:rPr>
                <w:b w:val="false"/>
                <w:bCs w:val="false"/>
                <w:color w:val="1F2937"/>
                <w:sz w:val="18"/>
                <w:szCs w:val="18"/>
              </w:rPr>
              <w:t xml:space="preserve">5 / 5</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0 (aucun chiffre officiel)</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 RAS</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2026-07-30_lecon-stoicisme_08_amor-fati-memento-mori.docx</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stoicisme-lecon</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8 / 8</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 (aucun chiffre officiel)</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 RAS</w:t>
            </w:r>
          </w:p>
        </w:tc>
      </w:tr>
      <w:tr>
        <w:tc>
          <w:tcPr>
            <w:tcMar>
              <w:top w:type="dxa" w:w="60"/>
              <w:left w:type="dxa" w:w="80"/>
              <w:bottom w:type="dxa" w:w="60"/>
              <w:right w:type="dxa" w:w="80"/>
            </w:tcMar>
            <w:vAlign w:val="center"/>
          </w:tcPr>
          <w:p>
            <w:r>
              <w:rPr>
                <w:b w:val="false"/>
                <w:bCs w:val="false"/>
                <w:color w:val="1F2937"/>
                <w:sz w:val="18"/>
                <w:szCs w:val="18"/>
              </w:rPr>
              <w:t xml:space="preserve">2026-07-31_lecon-nocode-ia_16_bases-donnees-nocode-airtable-notion.docx</w:t>
            </w:r>
          </w:p>
        </w:tc>
        <w:tc>
          <w:tcPr>
            <w:tcMar>
              <w:top w:type="dxa" w:w="60"/>
              <w:left w:type="dxa" w:w="80"/>
              <w:bottom w:type="dxa" w:w="60"/>
              <w:right w:type="dxa" w:w="80"/>
            </w:tcMar>
            <w:vAlign w:val="center"/>
          </w:tcPr>
          <w:p>
            <w:r>
              <w:rPr>
                <w:b w:val="false"/>
                <w:bCs w:val="false"/>
                <w:color w:val="1F2937"/>
                <w:sz w:val="18"/>
                <w:szCs w:val="18"/>
              </w:rPr>
              <w:t xml:space="preserve">nocode-ia-lecon</w:t>
            </w:r>
          </w:p>
        </w:tc>
        <w:tc>
          <w:tcPr>
            <w:tcMar>
              <w:top w:type="dxa" w:w="60"/>
              <w:left w:type="dxa" w:w="80"/>
              <w:bottom w:type="dxa" w:w="60"/>
              <w:right w:type="dxa" w:w="80"/>
            </w:tcMar>
            <w:vAlign w:val="center"/>
          </w:tcPr>
          <w:p>
            <w:r>
              <w:rPr>
                <w:b w:val="false"/>
                <w:bCs w:val="false"/>
                <w:color w:val="1F2937"/>
                <w:sz w:val="18"/>
                <w:szCs w:val="18"/>
              </w:rPr>
              <w:t xml:space="preserve">7 / 7</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0 (aucun chiffre officiel)</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 RAS</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2026-08-01_lecon-placement-financier_08_immobilier-scpi-pierre-papier.docx</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placement-financier-lecon</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9 / 9</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3 (PS 18,6%, frais SCPI, taux moy.)</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 RAS</w:t>
            </w:r>
          </w:p>
        </w:tc>
      </w:tr>
      <w:tr>
        <w:tc>
          <w:tcPr>
            <w:tcMar>
              <w:top w:type="dxa" w:w="60"/>
              <w:left w:type="dxa" w:w="80"/>
              <w:bottom w:type="dxa" w:w="60"/>
              <w:right w:type="dxa" w:w="80"/>
            </w:tcMar>
            <w:vAlign w:val="center"/>
          </w:tcPr>
          <w:p>
            <w:r>
              <w:rPr>
                <w:b w:val="false"/>
                <w:bCs w:val="false"/>
                <w:color w:val="1F2937"/>
                <w:sz w:val="18"/>
                <w:szCs w:val="18"/>
              </w:rPr>
              <w:t xml:space="preserve">2026-08-02_lecon-appli-ia_01_cadrage-specification.docx</w:t>
            </w:r>
          </w:p>
        </w:tc>
        <w:tc>
          <w:tcPr>
            <w:tcMar>
              <w:top w:type="dxa" w:w="60"/>
              <w:left w:type="dxa" w:w="80"/>
              <w:bottom w:type="dxa" w:w="60"/>
              <w:right w:type="dxa" w:w="80"/>
            </w:tcMar>
            <w:vAlign w:val="center"/>
          </w:tcPr>
          <w:p>
            <w:r>
              <w:rPr>
                <w:b w:val="false"/>
                <w:bCs w:val="false"/>
                <w:color w:val="1F2937"/>
                <w:sz w:val="18"/>
                <w:szCs w:val="18"/>
              </w:rPr>
              <w:t xml:space="preserve">appli-ia-lecon</w:t>
            </w:r>
          </w:p>
        </w:tc>
        <w:tc>
          <w:tcPr>
            <w:tcMar>
              <w:top w:type="dxa" w:w="60"/>
              <w:left w:type="dxa" w:w="80"/>
              <w:bottom w:type="dxa" w:w="60"/>
              <w:right w:type="dxa" w:w="80"/>
            </w:tcMar>
            <w:vAlign w:val="center"/>
          </w:tcPr>
          <w:p>
            <w:r>
              <w:rPr>
                <w:b w:val="false"/>
                <w:bCs w:val="false"/>
                <w:color w:val="1F2937"/>
                <w:sz w:val="18"/>
                <w:szCs w:val="18"/>
              </w:rPr>
              <w:t xml:space="preserve">4 / 4</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0 (aucun chiffre officiel)</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 RAS</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2026-08-02_lecon-revenus-passifs_02_grandes-familles-panorama.docx</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revenus-passifs-lecon</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7 / 7</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6 (PFU 31,4%, PS 18,6%, Livret A 1,7%, SMIC 1477,93€, SCPI 4,91%, micro-foncier 15k€)</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 (corrections antérieures)</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 RAS</w:t>
            </w:r>
          </w:p>
        </w:tc>
      </w:tr>
      <w:tr>
        <w:tc>
          <w:tcPr>
            <w:tcMar>
              <w:top w:type="dxa" w:w="60"/>
              <w:left w:type="dxa" w:w="80"/>
              <w:bottom w:type="dxa" w:w="60"/>
              <w:right w:type="dxa" w:w="80"/>
            </w:tcMar>
            <w:vAlign w:val="center"/>
          </w:tcPr>
          <w:p>
            <w:r>
              <w:rPr>
                <w:b w:val="false"/>
                <w:bCs w:val="false"/>
                <w:color w:val="1F2937"/>
                <w:sz w:val="18"/>
                <w:szCs w:val="18"/>
              </w:rPr>
              <w:t xml:space="preserve">2026-07-27_veille_has-actualite.docx</w:t>
            </w:r>
          </w:p>
        </w:tc>
        <w:tc>
          <w:tcPr>
            <w:tcMar>
              <w:top w:type="dxa" w:w="60"/>
              <w:left w:type="dxa" w:w="80"/>
              <w:bottom w:type="dxa" w:w="60"/>
              <w:right w:type="dxa" w:w="80"/>
            </w:tcMar>
            <w:vAlign w:val="center"/>
          </w:tcPr>
          <w:p>
            <w:r>
              <w:rPr>
                <w:b w:val="false"/>
                <w:bCs w:val="false"/>
                <w:color w:val="1F2937"/>
                <w:sz w:val="18"/>
                <w:szCs w:val="18"/>
              </w:rPr>
              <w:t xml:space="preserve">rbpp-pipeline</w:t>
            </w:r>
          </w:p>
        </w:tc>
        <w:tc>
          <w:tcPr>
            <w:tcMar>
              <w:top w:type="dxa" w:w="60"/>
              <w:left w:type="dxa" w:w="80"/>
              <w:bottom w:type="dxa" w:w="60"/>
              <w:right w:type="dxa" w:w="80"/>
            </w:tcMar>
            <w:vAlign w:val="center"/>
          </w:tcPr>
          <w:p>
            <w:r>
              <w:rPr>
                <w:b w:val="false"/>
                <w:bCs w:val="false"/>
                <w:color w:val="1F2937"/>
                <w:sz w:val="18"/>
                <w:szCs w:val="18"/>
              </w:rPr>
              <w:t xml:space="preserve">6 / 6</w:t>
            </w:r>
          </w:p>
        </w:tc>
        <w:tc>
          <w:tcPr>
            <w:tcMar>
              <w:top w:type="dxa" w:w="60"/>
              <w:left w:type="dxa" w:w="80"/>
              <w:bottom w:type="dxa" w:w="60"/>
              <w:right w:type="dxa" w:w="80"/>
            </w:tcMar>
            <w:vAlign w:val="center"/>
          </w:tcPr>
          <w:p>
            <w:r>
              <w:rPr>
                <w:b w:val="false"/>
                <w:bCs w:val="false"/>
                <w:color w:val="1F2937"/>
                <w:sz w:val="18"/>
                <w:szCs w:val="18"/>
              </w:rPr>
              <w:t xml:space="preserve">0 (1 ⛔ déjà signalée)</w:t>
            </w:r>
          </w:p>
        </w:tc>
        <w:tc>
          <w:tcPr>
            <w:tcMar>
              <w:top w:type="dxa" w:w="60"/>
              <w:left w:type="dxa" w:w="80"/>
              <w:bottom w:type="dxa" w:w="60"/>
              <w:right w:type="dxa" w:w="80"/>
            </w:tcMar>
            <w:vAlign w:val="center"/>
          </w:tcPr>
          <w:p>
            <w:r>
              <w:rPr>
                <w:b w:val="false"/>
                <w:bCs w:val="false"/>
                <w:color w:val="1F2937"/>
                <w:sz w:val="18"/>
                <w:szCs w:val="18"/>
              </w:rPr>
              <w:t xml:space="preserve">1 (couverture vaccinale 82,7%)</w:t>
            </w:r>
          </w:p>
        </w:tc>
        <w:tc>
          <w:tcPr>
            <w:tcMar>
              <w:top w:type="dxa" w:w="60"/>
              <w:left w:type="dxa" w:w="80"/>
              <w:bottom w:type="dxa" w:w="60"/>
              <w:right w:type="dxa" w:w="80"/>
            </w:tcMar>
            <w:vAlign w:val="center"/>
          </w:tcPr>
          <w:p>
            <w:r>
              <w:rPr>
                <w:b w:val="false"/>
                <w:bCs w:val="false"/>
                <w:color w:val="1F2937"/>
                <w:sz w:val="18"/>
                <w:szCs w:val="18"/>
              </w:rPr>
              <w:t xml:space="preserve">2 (🟠)</w:t>
            </w:r>
          </w:p>
        </w:tc>
        <w:tc>
          <w:tcPr>
            <w:tcMar>
              <w:top w:type="dxa" w:w="60"/>
              <w:left w:type="dxa" w:w="80"/>
              <w:bottom w:type="dxa" w:w="60"/>
              <w:right w:type="dxa" w:w="80"/>
            </w:tcMar>
            <w:vAlign w:val="center"/>
          </w:tcPr>
          <w:p>
            <w:r>
              <w:rPr>
                <w:b w:val="false"/>
                <w:bCs w:val="false"/>
                <w:color w:val="1F2937"/>
                <w:sz w:val="18"/>
                <w:szCs w:val="18"/>
              </w:rPr>
              <w:t xml:space="preserve">🟠 Imprécisions</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2026-07-29_veille_SERAFIN-PH.docx</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serafin-ph-veille</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 / 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 (aucun chiffre officiel)</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 RAS</w:t>
            </w:r>
          </w:p>
        </w:tc>
      </w:tr>
      <w:tr>
        <w:tc>
          <w:tcPr>
            <w:tcMar>
              <w:top w:type="dxa" w:w="60"/>
              <w:left w:type="dxa" w:w="80"/>
              <w:bottom w:type="dxa" w:w="60"/>
              <w:right w:type="dxa" w:w="80"/>
            </w:tcMar>
            <w:vAlign w:val="center"/>
          </w:tcPr>
          <w:p>
            <w:r>
              <w:rPr>
                <w:b w:val="false"/>
                <w:bCs w:val="false"/>
                <w:color w:val="1F2937"/>
                <w:sz w:val="18"/>
                <w:szCs w:val="18"/>
              </w:rPr>
              <w:t xml:space="preserve">2026-08-02_veille_imac.docx</w:t>
            </w:r>
          </w:p>
        </w:tc>
        <w:tc>
          <w:tcPr>
            <w:tcMar>
              <w:top w:type="dxa" w:w="60"/>
              <w:left w:type="dxa" w:w="80"/>
              <w:bottom w:type="dxa" w:w="60"/>
              <w:right w:type="dxa" w:w="80"/>
            </w:tcMar>
            <w:vAlign w:val="center"/>
          </w:tcPr>
          <w:p>
            <w:r>
              <w:rPr>
                <w:b w:val="false"/>
                <w:bCs w:val="false"/>
                <w:color w:val="1F2937"/>
                <w:sz w:val="18"/>
                <w:szCs w:val="18"/>
              </w:rPr>
              <w:t xml:space="preserve">imac-veille</w:t>
            </w:r>
          </w:p>
        </w:tc>
        <w:tc>
          <w:tcPr>
            <w:tcMar>
              <w:top w:type="dxa" w:w="60"/>
              <w:left w:type="dxa" w:w="80"/>
              <w:bottom w:type="dxa" w:w="60"/>
              <w:right w:type="dxa" w:w="80"/>
            </w:tcMar>
            <w:vAlign w:val="center"/>
          </w:tcPr>
          <w:p>
            <w:r>
              <w:rPr>
                <w:b w:val="false"/>
                <w:bCs w:val="false"/>
                <w:color w:val="1F2937"/>
                <w:sz w:val="18"/>
                <w:szCs w:val="18"/>
              </w:rPr>
              <w:t xml:space="preserve">7 / 7</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3 (HP 1899,95€, Lenovo 1399,95€, iMac base ~1799€)</w:t>
            </w:r>
          </w:p>
        </w:tc>
        <w:tc>
          <w:tcPr>
            <w:tcMar>
              <w:top w:type="dxa" w:w="60"/>
              <w:left w:type="dxa" w:w="80"/>
              <w:bottom w:type="dxa" w:w="60"/>
              <w:right w:type="dxa" w:w="80"/>
            </w:tcMar>
            <w:vAlign w:val="center"/>
          </w:tcPr>
          <w:p>
            <w:r>
              <w:rPr>
                <w:b w:val="false"/>
                <w:bCs w:val="false"/>
                <w:color w:val="1F2937"/>
                <w:sz w:val="18"/>
                <w:szCs w:val="18"/>
              </w:rPr>
              <w:t xml:space="preserve">0</w:t>
            </w:r>
          </w:p>
        </w:tc>
        <w:tc>
          <w:tcPr>
            <w:tcMar>
              <w:top w:type="dxa" w:w="60"/>
              <w:left w:type="dxa" w:w="80"/>
              <w:bottom w:type="dxa" w:w="60"/>
              <w:right w:type="dxa" w:w="80"/>
            </w:tcMar>
            <w:vAlign w:val="center"/>
          </w:tcPr>
          <w:p>
            <w:r>
              <w:rPr>
                <w:b w:val="false"/>
                <w:bCs w:val="false"/>
                <w:color w:val="1F2937"/>
                <w:sz w:val="18"/>
                <w:szCs w:val="18"/>
              </w:rPr>
              <w:t xml:space="preserve">🟢 RAS</w:t>
            </w:r>
          </w:p>
        </w:tc>
      </w:tr>
    </w:tbl>
    <w:p>
      <w:pPr>
        <w:spacing w:after="60" w:before="120"/>
      </w:pPr>
    </w:p>
    <w:p>
      <w:pPr>
        <w:spacing w:after="80" w:before="80"/>
      </w:pPr>
      <w:r>
        <w:rPr>
          <w:color w:val="CCCCCC"/>
          <w:sz w:val="18"/>
          <w:szCs w:val="18"/>
        </w:rPr>
        <w:t xml:space="preserve">────────────────────────────────────────────────────────────</w:t>
      </w:r>
    </w:p>
    <w:p>
      <w:pPr>
        <w:spacing w:after="120" w:before="240"/>
      </w:pPr>
      <w:r>
        <w:rPr>
          <w:b/>
          <w:bCs/>
          <w:color w:val="1B3A6B"/>
          <w:sz w:val="28"/>
          <w:szCs w:val="28"/>
        </w:rPr>
        <w:t xml:space="preserve">🔴 Défauts à corriger (erreurs factuelles confirmées)</w:t>
      </w:r>
    </w:p>
    <w:p>
      <w:pPr>
        <w:spacing w:after="60" w:before="60"/>
      </w:pPr>
      <w:r>
        <w:rPr>
          <w:color w:val="1F2937"/>
          <w:sz w:val="22"/>
          <w:szCs w:val="22"/>
        </w:rPr>
        <w:t xml:space="preserve">Aucun défaut factuel 🔴 n'a été identifié cette semaine. Toutes les valeurs chiffrées vérifiables (PFU, Livret A, SMIC, SCPI, prix LDLC) correspondent à leurs sources primaires respectives. Les traces de corrections antérieures présentes dans les documents (formulations « ⚠️ Correction du … », « la première version indiquait … ») ont été correctement reconnues comme des annotations volontaires et validées, et non signalées comme défauts.</w:t>
      </w:r>
    </w:p>
    <w:p>
      <w:pPr>
        <w:spacing w:after="80" w:before="80"/>
      </w:pPr>
      <w:r>
        <w:rPr>
          <w:color w:val="CCCCCC"/>
          <w:sz w:val="18"/>
          <w:szCs w:val="18"/>
        </w:rPr>
        <w:t xml:space="preserve">────────────────────────────────────────────────────────────</w:t>
      </w:r>
    </w:p>
    <w:p>
      <w:pPr>
        <w:spacing w:after="120" w:before="240"/>
      </w:pPr>
      <w:r>
        <w:rPr>
          <w:b/>
          <w:bCs/>
          <w:color w:val="1B3A6B"/>
          <w:sz w:val="28"/>
          <w:szCs w:val="28"/>
        </w:rPr>
        <w:t xml:space="preserve">🟠 Points de vigilance (imprécisions non bloquantes)</w:t>
      </w:r>
    </w:p>
    <w:p>
      <w:pPr>
        <w:spacing w:after="60" w:before="60"/>
      </w:pPr>
      <w:r>
        <w:rPr>
          <w:color w:val="1F2937"/>
          <w:sz w:val="22"/>
          <w:szCs w:val="22"/>
        </w:rPr>
        <w:t xml:space="preserve">Document concerné : sources/veille/2026-07-27_veille_has-actualite.docx</w:t>
      </w:r>
    </w:p>
    <w:p>
      <w:pPr>
        <w:spacing w:after="40" w:before="40"/>
      </w:pPr>
    </w:p>
    <w:tbl>
      <w:tblPr>
        <w:tblW w:type="pct" w:w="100%"/>
        <w:tblBorders>
          <w:top w:val="single" w:color="D97706" w:sz="1"/>
          <w:left w:val="thick" w:color="D97706" w:sz="8"/>
          <w:bottom w:val="single" w:color="D97706" w:sz="1"/>
          <w:right w:val="single" w:color="D97706" w:sz="1"/>
          <w:insideH w:val="single" w:color="auto" w:sz="4"/>
          <w:insideV w:val="single" w:color="auto" w:sz="4"/>
        </w:tblBorders>
      </w:tblPr>
      <w:tblGrid>
        <w:gridCol w:w="100"/>
      </w:tblGrid>
      <w:tr>
        <w:tc>
          <w:tcPr>
            <w:shd w:fill="FFF4E5" w:color="FFF4E5" w:val="solid"/>
            <w:tcMar>
              <w:top w:type="dxa" w:w="100"/>
              <w:left w:type="dxa" w:w="120"/>
              <w:bottom w:type="dxa" w:w="100"/>
              <w:right w:type="dxa" w:w="120"/>
            </w:tcMar>
          </w:tcPr>
          <w:p>
            <w:pPr>
              <w:spacing w:after="60" w:before="40"/>
            </w:pPr>
            <w:r>
              <w:rPr>
                <w:b/>
                <w:bCs/>
                <w:color w:val="1F2937"/>
                <w:sz w:val="22"/>
                <w:szCs w:val="22"/>
              </w:rPr>
              <w:t xml:space="preserve">🟠 Vigilance #1 — Qualifier la portée de l'obligation vaccinale</w:t>
            </w:r>
          </w:p>
          <w:p>
            <w:pPr>
              <w:spacing w:after="20" w:before="0"/>
            </w:pPr>
            <w:r>
              <w:rPr>
                <w:b/>
                <w:bCs/>
                <w:color w:val="1F2937"/>
                <w:sz w:val="22"/>
                <w:szCs w:val="22"/>
              </w:rPr>
              <w:t xml:space="preserve">Ce que dit le document :</w:t>
            </w:r>
          </w:p>
          <w:p>
            <w:pPr>
              <w:spacing w:after="60" w:before="0"/>
            </w:pPr>
            <w:r>
              <w:rPr>
                <w:color w:val="1F2937"/>
                <w:sz w:val="22"/>
                <w:szCs w:val="22"/>
              </w:rPr>
              <w:t xml:space="preserve">« La HAS recommande une obligation vaccinale annuelle contre la grippe pour l'ensemble des professionnels de santé ainsi que pour les personnels des établissements médico-sociaux hébergeant des personnes âgées. »</w:t>
            </w:r>
          </w:p>
          <w:p>
            <w:pPr>
              <w:spacing w:after="20" w:before="0"/>
            </w:pPr>
            <w:r>
              <w:rPr>
                <w:b/>
                <w:bCs/>
                <w:color w:val="1F2937"/>
                <w:sz w:val="22"/>
                <w:szCs w:val="22"/>
              </w:rPr>
              <w:t xml:space="preserve">Ce que dit la source primaire (HAS, communiqué du 20/07/2026, https://www.has-sante.fr/jcms/p_4214093) :</w:t>
            </w:r>
          </w:p>
          <w:p>
            <w:pPr>
              <w:spacing w:after="60" w:before="0"/>
            </w:pPr>
            <w:r>
              <w:rPr>
                <w:color w:val="1F2937"/>
                <w:sz w:val="22"/>
                <w:szCs w:val="22"/>
              </w:rPr>
              <w:t xml:space="preserve">« […] obligation vaccinale contre la grippe pour l'ensemble des professionnels de santé, ainsi que pour les autres professionnels travaillant dans les établissements de santé ou dans les établissements médico-sociaux hébergeant des personnes âgées, EN CONTACT AVEC DES PERSONNES À RISQUE DE FORME SÉVÈRE DE GRIPPE, avec un déploiement prioritaire en Ehpad et en USLD. »</w:t>
            </w:r>
          </w:p>
          <w:p>
            <w:pPr>
              <w:spacing w:after="20" w:before="0"/>
            </w:pPr>
            <w:r>
              <w:rPr>
                <w:b/>
                <w:bCs/>
                <w:color w:val="1F2937"/>
                <w:sz w:val="22"/>
                <w:szCs w:val="22"/>
              </w:rPr>
              <w:t xml:space="preserve">Omissions dans le document :</w:t>
            </w:r>
          </w:p>
          <w:p>
            <w:pPr>
              <w:pStyle w:val="ListParagraph"/>
              <w:numPr>
                <w:ilvl w:val="0"/>
                <w:numId w:val="1"/>
              </w:numPr>
              <w:spacing w:after="20" w:before="20"/>
            </w:pPr>
            <w:r>
              <w:rPr>
                <w:color w:val="1F2937"/>
                <w:sz w:val="22"/>
                <w:szCs w:val="22"/>
              </w:rPr>
              <w:t xml:space="preserve">Le qualificatif « en contact avec des personnes à risque de forme sévère de grippe » est absent — or il restreint le périmètre.</w:t>
            </w:r>
          </w:p>
          <w:p>
            <w:pPr>
              <w:pStyle w:val="ListParagraph"/>
              <w:numPr>
                <w:ilvl w:val="0"/>
                <w:numId w:val="1"/>
              </w:numPr>
              <w:spacing w:after="20" w:before="20"/>
            </w:pPr>
            <w:r>
              <w:rPr>
                <w:color w:val="1F2937"/>
                <w:sz w:val="22"/>
                <w:szCs w:val="22"/>
              </w:rPr>
              <w:t xml:space="preserve">La HAS inclut aussi « les établissements de santé » (pas seulement médico-sociaux) et « les élèves et étudiants des filières médicales et paramédicales ».</w:t>
            </w:r>
          </w:p>
          <w:p>
            <w:pPr>
              <w:spacing w:after="0" w:before="40"/>
            </w:pPr>
            <w:r>
              <w:rPr>
                <w:color w:val="1F2937"/>
                <w:sz w:val="22"/>
                <w:szCs w:val="22"/>
              </w:rPr>
              <w:t xml:space="preserve">Gravité : 🟠 Imprécision — la direction est correcte (obligation recommandée) mais le périmètre exact est flou. Pas d'erreur factuelle au sens strict.</w:t>
            </w:r>
          </w:p>
        </w:tc>
      </w:tr>
    </w:tbl>
    <w:p>
      <w:pPr>
        <w:spacing w:after="40" w:before="120"/>
      </w:pPr>
    </w:p>
    <w:tbl>
      <w:tblPr>
        <w:tblW w:type="pct" w:w="100%"/>
        <w:tblBorders>
          <w:top w:val="single" w:color="D97706" w:sz="1"/>
          <w:left w:val="thick" w:color="D97706" w:sz="8"/>
          <w:bottom w:val="single" w:color="D97706" w:sz="1"/>
          <w:right w:val="single" w:color="D97706" w:sz="1"/>
          <w:insideH w:val="single" w:color="auto" w:sz="4"/>
          <w:insideV w:val="single" w:color="auto" w:sz="4"/>
        </w:tblBorders>
      </w:tblPr>
      <w:tblGrid>
        <w:gridCol w:w="100"/>
      </w:tblGrid>
      <w:tr>
        <w:tc>
          <w:tcPr>
            <w:shd w:fill="FFF4E5" w:color="FFF4E5" w:val="solid"/>
            <w:tcMar>
              <w:top w:type="dxa" w:w="100"/>
              <w:left w:type="dxa" w:w="120"/>
              <w:bottom w:type="dxa" w:w="100"/>
              <w:right w:type="dxa" w:w="120"/>
            </w:tcMar>
          </w:tcPr>
          <w:p>
            <w:pPr>
              <w:spacing w:after="60" w:before="40"/>
            </w:pPr>
            <w:r>
              <w:rPr>
                <w:b/>
                <w:bCs/>
                <w:color w:val="1F2937"/>
                <w:sz w:val="22"/>
                <w:szCs w:val="22"/>
              </w:rPr>
              <w:t xml:space="preserve">🟠 Vigilance #2 — « Déploiement progressif sur deux ans » non retrouvé dans le communiqué HAS</w:t>
            </w:r>
          </w:p>
          <w:p>
            <w:pPr>
              <w:spacing w:after="20" w:before="0"/>
            </w:pPr>
            <w:r>
              <w:rPr>
                <w:b/>
                <w:bCs/>
                <w:color w:val="1F2937"/>
                <w:sz w:val="22"/>
                <w:szCs w:val="22"/>
              </w:rPr>
              <w:t xml:space="preserve">Ce que dit le document :</w:t>
            </w:r>
          </w:p>
          <w:p>
            <w:pPr>
              <w:spacing w:after="60" w:before="0"/>
            </w:pPr>
            <w:r>
              <w:rPr>
                <w:color w:val="1F2937"/>
                <w:sz w:val="22"/>
                <w:szCs w:val="22"/>
              </w:rPr>
              <w:t xml:space="preserve">« Déploiement prioritaire en EHPAD et USLD, déploiement progressif sur deux ans pour les autres structures médico-sociales accueillant des seniors. »</w:t>
            </w:r>
          </w:p>
          <w:p>
            <w:pPr>
              <w:spacing w:after="20" w:before="0"/>
            </w:pPr>
            <w:r>
              <w:rPr>
                <w:b/>
                <w:bCs/>
                <w:color w:val="1F2937"/>
                <w:sz w:val="22"/>
                <w:szCs w:val="22"/>
              </w:rPr>
              <w:t xml:space="preserve">Ce qu'indique la source primaire (communiqué HAS 20/07/2026) :</w:t>
            </w:r>
          </w:p>
          <w:p>
            <w:pPr>
              <w:spacing w:after="60" w:before="0"/>
            </w:pPr>
            <w:r>
              <w:rPr>
                <w:color w:val="1F2937"/>
                <w:sz w:val="22"/>
                <w:szCs w:val="22"/>
              </w:rPr>
              <w:t xml:space="preserve">Le communiqué mentionne « déploiement prioritaire en Ehpad et en USLD » mais ne précise pas de calendrier de « deux ans » pour les autres structures. Cette durée pourrait figurer dans l'avis complet (PDF non accessible via curl), mais elle n'est pas retrouvée dans le texte public du communiqué.</w:t>
            </w:r>
          </w:p>
          <w:p>
            <w:pPr>
              <w:spacing w:after="0" w:before="0"/>
            </w:pPr>
            <w:r>
              <w:rPr>
                <w:color w:val="1F2937"/>
                <w:sz w:val="22"/>
                <w:szCs w:val="22"/>
              </w:rPr>
              <w:t xml:space="preserve">Gravité : 🟠 Non vérifiable à ce stade — à confirmer sur l'avis intégral HAS si la précision est utilisée dans un document institutionnel.</w:t>
            </w:r>
          </w:p>
        </w:tc>
      </w:tr>
    </w:tbl>
    <w:p>
      <w:pPr>
        <w:spacing w:before="120"/>
      </w:pPr>
    </w:p>
    <w:p>
      <w:pPr>
        <w:spacing w:after="80" w:before="80"/>
      </w:pPr>
      <w:r>
        <w:rPr>
          <w:color w:val="CCCCCC"/>
          <w:sz w:val="18"/>
          <w:szCs w:val="18"/>
        </w:rPr>
        <w:t xml:space="preserve">────────────────────────────────────────────────────────────</w:t>
      </w:r>
    </w:p>
    <w:p>
      <w:pPr>
        <w:spacing w:after="120" w:before="240"/>
      </w:pPr>
      <w:r>
        <w:rPr>
          <w:b/>
          <w:bCs/>
          <w:color w:val="1B3A6B"/>
          <w:sz w:val="28"/>
          <w:szCs w:val="28"/>
        </w:rPr>
        <w:t xml:space="preserve">✅ Vérifications passées (contrôle positif)</w:t>
      </w:r>
    </w:p>
    <w:p>
      <w:pPr>
        <w:spacing w:after="60" w:before="60"/>
      </w:pPr>
      <w:r>
        <w:rPr>
          <w:color w:val="1F2937"/>
          <w:sz w:val="22"/>
          <w:szCs w:val="22"/>
        </w:rPr>
        <w:t xml:space="preserve">Les éléments suivants ont été vérifiés à la source primaire et s'avèrent corrects :</w:t>
      </w:r>
    </w:p>
    <w:p>
      <w:pPr>
        <w:spacing w:before="60"/>
      </w:pPr>
    </w:p>
    <w:p>
      <w:pPr>
        <w:pStyle w:val="ListParagraph"/>
        <w:numPr>
          <w:ilvl w:val="0"/>
          <w:numId w:val="1"/>
        </w:numPr>
        <w:spacing w:after="60" w:before="60"/>
      </w:pPr>
      <w:r>
        <w:rPr>
          <w:b/>
          <w:bCs/>
          <w:color w:val="1F2937"/>
          <w:sz w:val="22"/>
          <w:szCs w:val="22"/>
        </w:rPr>
        <w:t xml:space="preserve">Livret A et LDDS : taux 1,7 % depuis le 01/08/2026 — </w:t>
      </w:r>
      <w:r>
        <w:rPr>
          <w:color w:val="1F2937"/>
          <w:sz w:val="22"/>
          <w:szCs w:val="22"/>
        </w:rPr>
        <w:t xml:space="preserve">info.gouv.fr — Augmentation du taux du Livret A à compter du 1er août 2026 ; confirmé par cercledelepargne.com, meilleurtaux. Taux précédent 1,5 % du 01/02/2026 au 31/07/2026 — la leçon revenus-passifs mentionne et documente correctement les deux valeurs.</w:t>
      </w:r>
    </w:p>
    <w:p>
      <w:pPr>
        <w:pStyle w:val="ListParagraph"/>
        <w:numPr>
          <w:ilvl w:val="0"/>
          <w:numId w:val="1"/>
        </w:numPr>
        <w:spacing w:after="60" w:before="60"/>
      </w:pPr>
      <w:r>
        <w:rPr>
          <w:b/>
          <w:bCs/>
          <w:color w:val="1F2937"/>
          <w:sz w:val="22"/>
          <w:szCs w:val="22"/>
        </w:rPr>
        <w:t xml:space="preserve">PFU 2026 : 12,8 % IR + 18,6 % PS = 31,4 % total — </w:t>
      </w:r>
      <w:r>
        <w:rPr>
          <w:color w:val="1F2937"/>
          <w:sz w:val="22"/>
          <w:szCs w:val="22"/>
        </w:rPr>
        <w:t xml:space="preserve">impots.gouv.fr — Page « Les revenus mobiliers » : PFU à 12,8 %, prélèvements sociaux passés à 18,6 % à compter du 1er janvier 2026 (confirmé textuellement). Le taux 17,2 % s'appliquait jusqu'au 31/12/2025.</w:t>
      </w:r>
    </w:p>
    <w:p>
      <w:pPr>
        <w:pStyle w:val="ListParagraph"/>
        <w:numPr>
          <w:ilvl w:val="0"/>
          <w:numId w:val="1"/>
        </w:numPr>
        <w:spacing w:after="60" w:before="60"/>
      </w:pPr>
      <w:r>
        <w:rPr>
          <w:b/>
          <w:bCs/>
          <w:color w:val="1F2937"/>
          <w:sz w:val="22"/>
          <w:szCs w:val="22"/>
        </w:rPr>
        <w:t xml:space="preserve">SMIC net 1 477,93 € depuis le 01/06/2026 — </w:t>
      </w:r>
      <w:r>
        <w:rPr>
          <w:color w:val="1F2937"/>
          <w:sz w:val="22"/>
          <w:szCs w:val="22"/>
        </w:rPr>
        <w:t xml:space="preserve">Confirmé par les sources du job (travail-emploi.gouv.fr) et la leçon revenus-passifs qui cite la date et le motif de revalorisation (seuil d'inflation franchi le 13 mai 2026).</w:t>
      </w:r>
    </w:p>
    <w:p>
      <w:pPr>
        <w:pStyle w:val="ListParagraph"/>
        <w:numPr>
          <w:ilvl w:val="0"/>
          <w:numId w:val="1"/>
        </w:numPr>
        <w:spacing w:after="60" w:before="60"/>
      </w:pPr>
      <w:r>
        <w:rPr>
          <w:b/>
          <w:bCs/>
          <w:color w:val="1F2937"/>
          <w:sz w:val="22"/>
          <w:szCs w:val="22"/>
        </w:rPr>
        <w:t xml:space="preserve">Taux de distribution SCPI 2025 : 4,91 % — </w:t>
      </w:r>
      <w:r>
        <w:rPr>
          <w:color w:val="1F2937"/>
          <w:sz w:val="22"/>
          <w:szCs w:val="22"/>
        </w:rPr>
        <w:t xml:space="preserve">Source : ASPIM — Rapport T4 2025 (publié le 10/02/2026). Chiffre pondéré par la capitalisation, toutes catégories confondues. La leçon revenus-passifs cite correctement la progression de 0,19 point sur 2024.</w:t>
      </w:r>
    </w:p>
    <w:p>
      <w:pPr>
        <w:pStyle w:val="ListParagraph"/>
        <w:numPr>
          <w:ilvl w:val="0"/>
          <w:numId w:val="1"/>
        </w:numPr>
        <w:spacing w:after="60" w:before="60"/>
      </w:pPr>
      <w:r>
        <w:rPr>
          <w:b/>
          <w:bCs/>
          <w:color w:val="1F2937"/>
          <w:sz w:val="22"/>
          <w:szCs w:val="22"/>
        </w:rPr>
        <w:t xml:space="preserve">Prix LDLC — HP OmniStudio 27-cy0044nf : 1 899,95 € — </w:t>
      </w:r>
      <w:r>
        <w:rPr>
          <w:color w:val="1F2937"/>
          <w:sz w:val="22"/>
          <w:szCs w:val="22"/>
        </w:rPr>
        <w:t xml:space="preserve">Vérifié sur ldlc.com/fiche/PB00747458.html le 02/08/2026. Prix JSON-LD : EUR 1899.95.</w:t>
      </w:r>
    </w:p>
    <w:p>
      <w:pPr>
        <w:pStyle w:val="ListParagraph"/>
        <w:numPr>
          <w:ilvl w:val="0"/>
          <w:numId w:val="1"/>
        </w:numPr>
        <w:spacing w:after="60" w:before="60"/>
      </w:pPr>
      <w:r>
        <w:rPr>
          <w:b/>
          <w:bCs/>
          <w:color w:val="1F2937"/>
          <w:sz w:val="22"/>
          <w:szCs w:val="22"/>
        </w:rPr>
        <w:t xml:space="preserve">Prix LDLC — Lenovo Yoga AiO 27IAH10 : 1 399,95 € — </w:t>
      </w:r>
      <w:r>
        <w:rPr>
          <w:color w:val="1F2937"/>
          <w:sz w:val="22"/>
          <w:szCs w:val="22"/>
        </w:rPr>
        <w:t xml:space="preserve">Vérifié sur ldlc.com/fiche/PB00707815.html le 02/08/2026. Prix JSON-LD : EUR 1399.95.</w:t>
      </w:r>
    </w:p>
    <w:p>
      <w:pPr>
        <w:pStyle w:val="ListParagraph"/>
        <w:numPr>
          <w:ilvl w:val="0"/>
          <w:numId w:val="1"/>
        </w:numPr>
        <w:spacing w:after="60" w:before="60"/>
      </w:pPr>
      <w:r>
        <w:rPr>
          <w:b/>
          <w:bCs/>
          <w:color w:val="1F2937"/>
          <w:sz w:val="22"/>
          <w:szCs w:val="22"/>
        </w:rPr>
        <w:t xml:space="preserve">Frais d'entrée SCPI : 6 % à 12 % — </w:t>
      </w:r>
      <w:r>
        <w:rPr>
          <w:color w:val="1F2937"/>
          <w:sz w:val="22"/>
          <w:szCs w:val="22"/>
        </w:rPr>
        <w:t xml:space="preserve">Concordant avec La Finance Pour Tous (lafinancepourtous.com) et guide AMF. La leçon placement-financier utilise un exemple à 8 % dans la fourchette.</w:t>
      </w:r>
    </w:p>
    <w:p>
      <w:pPr>
        <w:pStyle w:val="ListParagraph"/>
        <w:numPr>
          <w:ilvl w:val="0"/>
          <w:numId w:val="1"/>
        </w:numPr>
        <w:spacing w:after="60" w:before="60"/>
      </w:pPr>
      <w:r>
        <w:rPr>
          <w:b/>
          <w:bCs/>
          <w:color w:val="1F2937"/>
          <w:sz w:val="22"/>
          <w:szCs w:val="22"/>
        </w:rPr>
        <w:t xml:space="preserve">lien lemediasocial.fr/incident.html → ⛔ déjà signalé dans le document — </w:t>
      </w:r>
      <w:r>
        <w:rPr>
          <w:color w:val="1F2937"/>
          <w:sz w:val="22"/>
          <w:szCs w:val="22"/>
        </w:rPr>
        <w:t xml:space="preserve">La veille HAS (27/07/2026) marque ce lien ⛔ dans la section Sources et l'exclut du décompte actif. Il retourne 503 au moment du contrôle — cohérent avec l'inaccessibilité déjà documentée.</w:t>
      </w:r>
    </w:p>
    <w:p>
      <w:pPr>
        <w:pStyle w:val="ListParagraph"/>
        <w:numPr>
          <w:ilvl w:val="0"/>
          <w:numId w:val="1"/>
        </w:numPr>
        <w:spacing w:after="60" w:before="60"/>
      </w:pPr>
      <w:r>
        <w:rPr>
          <w:b/>
          <w:bCs/>
          <w:color w:val="1F2937"/>
          <w:sz w:val="22"/>
          <w:szCs w:val="22"/>
        </w:rPr>
        <w:t xml:space="preserve">arxiv.org/abs/2603.25146 — papier réel — </w:t>
      </w:r>
      <w:r>
        <w:rPr>
          <w:color w:val="1F2937"/>
          <w:sz w:val="22"/>
          <w:szCs w:val="22"/>
        </w:rPr>
        <w:t xml:space="preserve">Vérifié : article « Factors Influencing the Quality of AI-Generated Code: A Synthesis of Empirical Evidence » (Geruslu et al., mars 2026). La leçon appli-ia peut légitimement le citer.</w:t>
      </w:r>
    </w:p>
    <w:p>
      <w:pPr>
        <w:pStyle w:val="ListParagraph"/>
        <w:numPr>
          <w:ilvl w:val="0"/>
          <w:numId w:val="1"/>
        </w:numPr>
        <w:spacing w:after="60" w:before="60"/>
      </w:pPr>
      <w:r>
        <w:rPr>
          <w:b/>
          <w:bCs/>
          <w:color w:val="1F2937"/>
          <w:sz w:val="22"/>
          <w:szCs w:val="22"/>
        </w:rPr>
        <w:t xml:space="preserve">Fenêtres temporelles des veilles — </w:t>
      </w:r>
      <w:r>
        <w:rPr>
          <w:color w:val="1F2937"/>
          <w:sz w:val="22"/>
          <w:szCs w:val="22"/>
        </w:rPr>
        <w:t xml:space="preserve">HAS : 20/07→27/07/2026 ✅. SERAFIN-PH : 22/07→29/07/2026 ✅. iMac : 27/07→02/08/2026 ✅. Chaque document signale explicitement les éléments hors fenêtre (section Rappel/contexte).</w:t>
      </w:r>
    </w:p>
    <w:p>
      <w:pPr>
        <w:pStyle w:val="ListParagraph"/>
        <w:numPr>
          <w:ilvl w:val="0"/>
          <w:numId w:val="1"/>
        </w:numPr>
        <w:spacing w:after="60" w:before="60"/>
      </w:pPr>
      <w:r>
        <w:rPr>
          <w:b/>
          <w:bCs/>
          <w:color w:val="1F2937"/>
          <w:sz w:val="22"/>
          <w:szCs w:val="22"/>
        </w:rPr>
        <w:t xml:space="preserve">Décompte sources veille HAS : 5/6 ✅ déclarées — </w:t>
      </w:r>
      <w:r>
        <w:rPr>
          <w:color w:val="1F2937"/>
          <w:sz w:val="22"/>
          <w:szCs w:val="22"/>
        </w:rPr>
        <w:t xml:space="preserve">Recompte effectué : 5 sources HAS consultées + 1 Le Media Social ⛔. Aucun outil (WebSearch, WebFetch) compté comme source. Décompte correct.</w:t>
      </w:r>
    </w:p>
    <w:p>
      <w:pPr>
        <w:pStyle w:val="ListParagraph"/>
        <w:numPr>
          <w:ilvl w:val="0"/>
          <w:numId w:val="1"/>
        </w:numPr>
        <w:spacing w:after="60" w:before="60"/>
      </w:pPr>
      <w:r>
        <w:rPr>
          <w:b/>
          <w:bCs/>
          <w:color w:val="1F2937"/>
          <w:sz w:val="22"/>
          <w:szCs w:val="22"/>
        </w:rPr>
        <w:t xml:space="preserve">Couverture vaccinale 82,7 % pour les 65+ en collectivité — </w:t>
      </w:r>
      <w:r>
        <w:rPr>
          <w:color w:val="1F2937"/>
          <w:sz w:val="22"/>
          <w:szCs w:val="22"/>
        </w:rPr>
        <w:t xml:space="preserve">Mentionnée dans le communiqué HAS lui-même (texte lu directement). La veille HAS ne cite pas ce chiffre — il n'est donc pas à vérifier dans le document.</w:t>
      </w:r>
    </w:p>
    <w:p>
      <w:pPr>
        <w:spacing w:before="80"/>
      </w:pPr>
    </w:p>
    <w:p>
      <w:pPr>
        <w:spacing w:after="80" w:before="80"/>
      </w:pPr>
      <w:r>
        <w:rPr>
          <w:color w:val="CCCCCC"/>
          <w:sz w:val="18"/>
          <w:szCs w:val="18"/>
        </w:rPr>
        <w:t xml:space="preserve">────────────────────────────────────────────────────────────</w:t>
      </w:r>
    </w:p>
    <w:p>
      <w:pPr>
        <w:spacing w:after="120" w:before="240"/>
      </w:pPr>
      <w:r>
        <w:rPr>
          <w:b/>
          <w:bCs/>
          <w:color w:val="1B3A6B"/>
          <w:sz w:val="28"/>
          <w:szCs w:val="28"/>
        </w:rPr>
        <w:t xml:space="preserve">🔍 Non vérifiable dans ce contrôle</w:t>
      </w:r>
    </w:p>
    <w:p>
      <w:pPr>
        <w:pStyle w:val="ListParagraph"/>
        <w:numPr>
          <w:ilvl w:val="0"/>
          <w:numId w:val="1"/>
        </w:numPr>
        <w:spacing w:after="60" w:before="60"/>
      </w:pPr>
      <w:r>
        <w:rPr>
          <w:b/>
          <w:bCs/>
          <w:color w:val="1F2937"/>
          <w:sz w:val="22"/>
          <w:szCs w:val="22"/>
        </w:rPr>
        <w:t xml:space="preserve">Statistiques schizophrénie (psychopathologie_07) : </w:t>
      </w:r>
      <w:r>
        <w:rPr>
          <w:color w:val="1F2937"/>
          <w:sz w:val="22"/>
          <w:szCs w:val="22"/>
        </w:rPr>
        <w:t xml:space="preserve">80 % hallucinations auditives, 70 % déficits cognitifs — issues de Wikipedia EN. Ces chiffres sont dans les plages habituellement citées dans la littérature, mais Wikipedia est une source secondaire. La source primaire serait une méta-analyse ou le DSM-5 — non remontés dans ce contrôle.</w:t>
      </w:r>
    </w:p>
    <w:p>
      <w:pPr>
        <w:pStyle w:val="ListParagraph"/>
        <w:numPr>
          <w:ilvl w:val="0"/>
          <w:numId w:val="1"/>
        </w:numPr>
        <w:spacing w:after="60" w:before="60"/>
      </w:pPr>
      <w:r>
        <w:rPr>
          <w:b/>
          <w:bCs/>
          <w:color w:val="1F2937"/>
          <w:sz w:val="22"/>
          <w:szCs w:val="22"/>
        </w:rPr>
        <w:t xml:space="preserve">Espérance de vie réduite d'environ 15 ans (schizophrénie) : </w:t>
      </w:r>
      <w:r>
        <w:rPr>
          <w:color w:val="1F2937"/>
          <w:sz w:val="22"/>
          <w:szCs w:val="22"/>
        </w:rPr>
        <w:t xml:space="preserve">Statistique courante dans la littérature psychiatrique mais non explicitement sourcée dans le document. Aucun lien ne pointe vers une source primaire pour cette donnée spécifique.</w:t>
      </w:r>
    </w:p>
    <w:p>
      <w:pPr>
        <w:pStyle w:val="ListParagraph"/>
        <w:numPr>
          <w:ilvl w:val="0"/>
          <w:numId w:val="1"/>
        </w:numPr>
        <w:spacing w:after="60" w:before="60"/>
      </w:pPr>
      <w:r>
        <w:rPr>
          <w:b/>
          <w:bCs/>
          <w:color w:val="1F2937"/>
          <w:sz w:val="22"/>
          <w:szCs w:val="22"/>
        </w:rPr>
        <w:t xml:space="preserve">Pronostic schizophrénie (15-25 % récupération, 33 % amélioration, 40 % mauvais) : </w:t>
      </w:r>
      <w:r>
        <w:rPr>
          <w:color w:val="1F2937"/>
          <w:sz w:val="22"/>
          <w:szCs w:val="22"/>
        </w:rPr>
        <w:t xml:space="preserve">Ces chiffres ne sont pas sourcés dans le document. Ils correspondent à des ordres de grandeur fréquemment cités mais difficiles à vérifier sans accès à une méta-analyse spécifique.</w:t>
      </w:r>
    </w:p>
    <w:p>
      <w:pPr>
        <w:pStyle w:val="ListParagraph"/>
        <w:numPr>
          <w:ilvl w:val="0"/>
          <w:numId w:val="1"/>
        </w:numPr>
        <w:spacing w:after="60" w:before="60"/>
      </w:pPr>
      <w:r>
        <w:rPr>
          <w:b/>
          <w:bCs/>
          <w:color w:val="1F2937"/>
          <w:sz w:val="22"/>
          <w:szCs w:val="22"/>
        </w:rPr>
        <w:t xml:space="preserve">Calendrier « deux ans » pour le déploiement progressif de l'obligation vaccinale : </w:t>
      </w:r>
      <w:r>
        <w:rPr>
          <w:color w:val="1F2937"/>
          <w:sz w:val="22"/>
          <w:szCs w:val="22"/>
        </w:rPr>
        <w:t xml:space="preserve">Voir 🟠 Vigilance #2. L'avis complet HAS (PDF) n'a pas été consulté — il pourrait contenir ce détail.</w:t>
      </w:r>
    </w:p>
    <w:p>
      <w:pPr>
        <w:pStyle w:val="ListParagraph"/>
        <w:numPr>
          <w:ilvl w:val="0"/>
          <w:numId w:val="1"/>
        </w:numPr>
        <w:spacing w:after="60" w:before="60"/>
      </w:pPr>
      <w:r>
        <w:rPr>
          <w:b/>
          <w:bCs/>
          <w:color w:val="1F2937"/>
          <w:sz w:val="22"/>
          <w:szCs w:val="22"/>
        </w:rPr>
        <w:t xml:space="preserve">Prix iMac M4 ~1 799 € (veille iMac) : </w:t>
      </w:r>
      <w:r>
        <w:rPr>
          <w:color w:val="1F2937"/>
          <w:sz w:val="22"/>
          <w:szCs w:val="22"/>
        </w:rPr>
        <w:t xml:space="preserve">Apple.com délivre ses prix via JavaScript, non lisibles par curl. Le document le signale et cite des sources secondaires convergentes. Le contrôle ne peut confirmer le prix officiel directement sur apple.com.</w:t>
      </w:r>
    </w:p>
    <w:p>
      <w:pPr>
        <w:pStyle w:val="ListParagraph"/>
        <w:numPr>
          <w:ilvl w:val="0"/>
          <w:numId w:val="1"/>
        </w:numPr>
        <w:spacing w:after="60" w:before="60"/>
      </w:pPr>
      <w:r>
        <w:rPr>
          <w:b/>
          <w:bCs/>
          <w:color w:val="1F2937"/>
          <w:sz w:val="22"/>
          <w:szCs w:val="22"/>
        </w:rPr>
        <w:t xml:space="preserve">Taux de prélèvements sociaux sur revenus fonciers 2026 (17,2 % ou 18,6 %) : </w:t>
      </w:r>
      <w:r>
        <w:rPr>
          <w:color w:val="1F2937"/>
          <w:sz w:val="22"/>
          <w:szCs w:val="22"/>
        </w:rPr>
        <w:t xml:space="preserve">La leçon revenus-passifs soulève correctement cette ambiguïté et renvoie à impots.gouv.fr. La page des revenus mobiliers confirme le 18,6 % pour les revenus du capital, mais la règle spécifique aux revenus fonciers (date d'encaissement) nécessite une lecture de la page dédiée — non effectuée exhaustivement dans ce contrôle.</w:t>
      </w:r>
    </w:p>
    <w:p>
      <w:pPr>
        <w:spacing w:before="80"/>
      </w:pPr>
    </w:p>
    <w:p>
      <w:pPr>
        <w:spacing w:after="80" w:before="80"/>
      </w:pPr>
      <w:r>
        <w:rPr>
          <w:color w:val="CCCCCC"/>
          <w:sz w:val="18"/>
          <w:szCs w:val="18"/>
        </w:rPr>
        <w:t xml:space="preserve">────────────────────────────────────────────────────────────</w:t>
      </w:r>
    </w:p>
    <w:p>
      <w:pPr>
        <w:spacing w:after="120" w:before="240"/>
      </w:pPr>
      <w:r>
        <w:rPr>
          <w:b/>
          <w:bCs/>
          <w:color w:val="1B3A6B"/>
          <w:sz w:val="28"/>
          <w:szCs w:val="28"/>
        </w:rPr>
        <w:t xml:space="preserve">📊 Bilan de ce contrôle</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Indicateur</w:t>
            </w:r>
          </w:p>
        </w:tc>
        <w:tc>
          <w:tcPr>
            <w:shd w:fill="1B3A6B" w:color="1B3A6B" w:val="solid"/>
            <w:tcMar>
              <w:top w:type="dxa" w:w="60"/>
              <w:left w:type="dxa" w:w="80"/>
              <w:bottom w:type="dxa" w:w="60"/>
              <w:right w:type="dxa" w:w="80"/>
            </w:tcMar>
            <w:vAlign w:val="center"/>
          </w:tcPr>
          <w:p>
            <w:pPr>
              <w:jc w:val="center"/>
            </w:pPr>
            <w:r>
              <w:rPr>
                <w:b/>
                <w:bCs/>
                <w:color w:val="FFFFFF"/>
                <w:sz w:val="18"/>
                <w:szCs w:val="18"/>
              </w:rPr>
              <w:t xml:space="preserve">Valeur</w:t>
            </w:r>
          </w:p>
        </w:tc>
      </w:tr>
      <w:tr>
        <w:tc>
          <w:tcPr>
            <w:tcMar>
              <w:top w:type="dxa" w:w="60"/>
              <w:left w:type="dxa" w:w="80"/>
              <w:bottom w:type="dxa" w:w="60"/>
              <w:right w:type="dxa" w:w="80"/>
            </w:tcMar>
            <w:vAlign w:val="center"/>
          </w:tcPr>
          <w:p>
            <w:r>
              <w:rPr>
                <w:b w:val="false"/>
                <w:bCs w:val="false"/>
                <w:color w:val="1F2937"/>
                <w:sz w:val="18"/>
                <w:szCs w:val="18"/>
              </w:rPr>
              <w:t xml:space="preserve">Livrables recensés et contrôlés</w:t>
            </w:r>
          </w:p>
        </w:tc>
        <w:tc>
          <w:tcPr>
            <w:tcMar>
              <w:top w:type="dxa" w:w="60"/>
              <w:left w:type="dxa" w:w="80"/>
              <w:bottom w:type="dxa" w:w="60"/>
              <w:right w:type="dxa" w:w="80"/>
            </w:tcMar>
            <w:vAlign w:val="center"/>
          </w:tcPr>
          <w:p>
            <w:r>
              <w:rPr>
                <w:b w:val="false"/>
                <w:bCs w:val="false"/>
                <w:color w:val="1F2937"/>
                <w:sz w:val="18"/>
                <w:szCs w:val="18"/>
              </w:rPr>
              <w:t xml:space="preserve">13 / 13</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URL déclarées (total)</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80</w:t>
            </w:r>
          </w:p>
        </w:tc>
      </w:tr>
      <w:tr>
        <w:tc>
          <w:tcPr>
            <w:tcMar>
              <w:top w:type="dxa" w:w="60"/>
              <w:left w:type="dxa" w:w="80"/>
              <w:bottom w:type="dxa" w:w="60"/>
              <w:right w:type="dxa" w:w="80"/>
            </w:tcMar>
            <w:vAlign w:val="center"/>
          </w:tcPr>
          <w:p>
            <w:r>
              <w:rPr>
                <w:b w:val="false"/>
                <w:bCs w:val="false"/>
                <w:color w:val="1F2937"/>
                <w:sz w:val="18"/>
                <w:szCs w:val="18"/>
              </w:rPr>
              <w:t xml:space="preserve">URL testées (total)</w:t>
            </w:r>
          </w:p>
        </w:tc>
        <w:tc>
          <w:tcPr>
            <w:tcMar>
              <w:top w:type="dxa" w:w="60"/>
              <w:left w:type="dxa" w:w="80"/>
              <w:bottom w:type="dxa" w:w="60"/>
              <w:right w:type="dxa" w:w="80"/>
            </w:tcMar>
            <w:vAlign w:val="center"/>
          </w:tcPr>
          <w:p>
            <w:r>
              <w:rPr>
                <w:b w:val="false"/>
                <w:bCs w:val="false"/>
                <w:color w:val="1F2937"/>
                <w:sz w:val="18"/>
                <w:szCs w:val="18"/>
              </w:rPr>
              <w:t xml:space="preserve">80</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Liens morts (4xx/5xx signalés)</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0 (hors ⛔ déjà documentés)</w:t>
            </w:r>
          </w:p>
        </w:tc>
      </w:tr>
      <w:tr>
        <w:tc>
          <w:tcPr>
            <w:tcMar>
              <w:top w:type="dxa" w:w="60"/>
              <w:left w:type="dxa" w:w="80"/>
              <w:bottom w:type="dxa" w:w="60"/>
              <w:right w:type="dxa" w:w="80"/>
            </w:tcMar>
            <w:vAlign w:val="center"/>
          </w:tcPr>
          <w:p>
            <w:r>
              <w:rPr>
                <w:b w:val="false"/>
                <w:bCs w:val="false"/>
                <w:color w:val="1F2937"/>
                <w:sz w:val="18"/>
                <w:szCs w:val="18"/>
              </w:rPr>
              <w:t xml:space="preserve">Liens anti-robot 403 (existence probable)</w:t>
            </w:r>
          </w:p>
        </w:tc>
        <w:tc>
          <w:tcPr>
            <w:tcMar>
              <w:top w:type="dxa" w:w="60"/>
              <w:left w:type="dxa" w:w="80"/>
              <w:bottom w:type="dxa" w:w="60"/>
              <w:right w:type="dxa" w:w="80"/>
            </w:tcMar>
            <w:vAlign w:val="center"/>
          </w:tcPr>
          <w:p>
            <w:r>
              <w:rPr>
                <w:b w:val="false"/>
                <w:bCs w:val="false"/>
                <w:color w:val="1F2937"/>
                <w:sz w:val="18"/>
                <w:szCs w:val="18"/>
              </w:rPr>
              <w:t xml:space="preserve">2 — besthypnosisscripts.com, make.com</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Chiffres vérifiés à la source primaire</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10</w:t>
            </w:r>
          </w:p>
        </w:tc>
      </w:tr>
      <w:tr>
        <w:tc>
          <w:tcPr>
            <w:tcMar>
              <w:top w:type="dxa" w:w="60"/>
              <w:left w:type="dxa" w:w="80"/>
              <w:bottom w:type="dxa" w:w="60"/>
              <w:right w:type="dxa" w:w="80"/>
            </w:tcMar>
            <w:vAlign w:val="center"/>
          </w:tcPr>
          <w:p>
            <w:r>
              <w:rPr>
                <w:b w:val="false"/>
                <w:bCs w:val="false"/>
                <w:color w:val="1F2937"/>
                <w:sz w:val="18"/>
                <w:szCs w:val="18"/>
              </w:rPr>
              <w:t xml:space="preserve">Défauts 🔴 (erreurs factuelles)</w:t>
            </w:r>
          </w:p>
        </w:tc>
        <w:tc>
          <w:tcPr>
            <w:tcMar>
              <w:top w:type="dxa" w:w="60"/>
              <w:left w:type="dxa" w:w="80"/>
              <w:bottom w:type="dxa" w:w="60"/>
              <w:right w:type="dxa" w:w="80"/>
            </w:tcMar>
            <w:vAlign w:val="center"/>
          </w:tcPr>
          <w:p>
            <w:r>
              <w:rPr>
                <w:b w:val="false"/>
                <w:bCs w:val="false"/>
                <w:color w:val="1F2937"/>
                <w:sz w:val="18"/>
                <w:szCs w:val="18"/>
              </w:rPr>
              <w:t xml:space="preserve">0</w:t>
            </w:r>
          </w:p>
        </w:tc>
      </w:tr>
      <w:tr>
        <w:tc>
          <w:tcPr>
            <w:shd w:fill="EEF2F7" w:color="EEF2F7" w:val="solid"/>
            <w:tcMar>
              <w:top w:type="dxa" w:w="60"/>
              <w:left w:type="dxa" w:w="80"/>
              <w:bottom w:type="dxa" w:w="60"/>
              <w:right w:type="dxa" w:w="80"/>
            </w:tcMar>
            <w:vAlign w:val="center"/>
          </w:tcPr>
          <w:p>
            <w:r>
              <w:rPr>
                <w:b w:val="false"/>
                <w:bCs w:val="false"/>
                <w:color w:val="1F2937"/>
                <w:sz w:val="18"/>
                <w:szCs w:val="18"/>
              </w:rPr>
              <w:t xml:space="preserve">Points de vigilance 🟠</w:t>
            </w:r>
          </w:p>
        </w:tc>
        <w:tc>
          <w:tcPr>
            <w:shd w:fill="EEF2F7" w:color="EEF2F7" w:val="solid"/>
            <w:tcMar>
              <w:top w:type="dxa" w:w="60"/>
              <w:left w:type="dxa" w:w="80"/>
              <w:bottom w:type="dxa" w:w="60"/>
              <w:right w:type="dxa" w:w="80"/>
            </w:tcMar>
            <w:vAlign w:val="center"/>
          </w:tcPr>
          <w:p>
            <w:r>
              <w:rPr>
                <w:b w:val="false"/>
                <w:bCs w:val="false"/>
                <w:color w:val="1F2937"/>
                <w:sz w:val="18"/>
                <w:szCs w:val="18"/>
              </w:rPr>
              <w:t xml:space="preserve">2</w:t>
            </w:r>
          </w:p>
        </w:tc>
      </w:tr>
      <w:tr>
        <w:tc>
          <w:tcPr>
            <w:tcMar>
              <w:top w:type="dxa" w:w="60"/>
              <w:left w:type="dxa" w:w="80"/>
              <w:bottom w:type="dxa" w:w="60"/>
              <w:right w:type="dxa" w:w="80"/>
            </w:tcMar>
            <w:vAlign w:val="center"/>
          </w:tcPr>
          <w:p>
            <w:r>
              <w:rPr>
                <w:b w:val="false"/>
                <w:bCs w:val="false"/>
                <w:color w:val="1F2937"/>
                <w:sz w:val="18"/>
                <w:szCs w:val="18"/>
              </w:rPr>
              <w:t xml:space="preserve">Éléments non vérifiables</w:t>
            </w:r>
          </w:p>
        </w:tc>
        <w:tc>
          <w:tcPr>
            <w:tcMar>
              <w:top w:type="dxa" w:w="60"/>
              <w:left w:type="dxa" w:w="80"/>
              <w:bottom w:type="dxa" w:w="60"/>
              <w:right w:type="dxa" w:w="80"/>
            </w:tcMar>
            <w:vAlign w:val="center"/>
          </w:tcPr>
          <w:p>
            <w:r>
              <w:rPr>
                <w:b w:val="false"/>
                <w:bCs w:val="false"/>
                <w:color w:val="1F2937"/>
                <w:sz w:val="18"/>
                <w:szCs w:val="18"/>
              </w:rPr>
              <w:t xml:space="preserve">6</w:t>
            </w:r>
          </w:p>
        </w:tc>
      </w:tr>
    </w:tbl>
    <w:p>
      <w:pPr>
        <w:spacing w:before="120"/>
      </w:pPr>
    </w:p>
    <w:p>
      <w:pPr>
        <w:spacing w:before="120"/>
        <w:jc w:val="center"/>
      </w:pPr>
      <w:r>
        <w:rPr>
          <w:i/>
          <w:iCs/>
          <w:color w:val="999999"/>
          <w:sz w:val="18"/>
          <w:szCs w:val="18"/>
        </w:rPr>
        <w:t xml:space="preserve">Note produite automatiquement par le job controle-livrables — Claude Code — 02/08/2026. Aucun livrable existant n'a été modifié.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2026-08-02T12:50:17.680Z</dcterms:created>
  <dcterms:modified xsi:type="dcterms:W3CDTF">2026-08-02T12:50:17.682Z</dcterms:modified>
</cp:coreProperties>
</file>

<file path=docProps/custom.xml><?xml version="1.0" encoding="utf-8"?>
<Properties xmlns="http://schemas.openxmlformats.org/officeDocument/2006/custom-properties" xmlns:vt="http://schemas.openxmlformats.org/officeDocument/2006/docPropsVTypes"/>
</file>