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Calibri" w:cs="Calibri" w:eastAsia="Calibri" w:hAnsi="Calibri"/>
          <w:b/>
          <w:bCs/>
          <w:color w:val="1B3A6B"/>
          <w:sz w:val="56"/>
          <w:szCs w:val="56"/>
        </w:rPr>
        <w:t xml:space="preserve">Veille AI Act — Compte-rendu quotidien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1F2937"/>
          <w:sz w:val="28"/>
          <w:szCs w:val="28"/>
        </w:rPr>
        <w:t xml:space="preserve">Date : 13 juin 2026</w:t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D97706"/>
          <w:sz w:val="30"/>
          <w:szCs w:val="30"/>
        </w:rPr>
        <w:t xml:space="preserve">🟡 Niveau d'alerte : À surveiller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1F2937"/>
          <w:sz w:val="28"/>
          <w:szCs w:val="28"/>
        </w:rPr>
        <w:t xml:space="preserve">Sources directes : 4/7 | Fallback WebSearch : 3/7 (corrigé le 12/09/2026 — voir le journal des corrections)</w:t>
      </w:r>
    </w:p>
    <w:p>
      <w:pPr>
        <w:pBdr>
          <w:bottom w:color="CCCCCC" w:sz="1" w:space="1"/>
        </w:pBdr>
        <w:spacing w:after="200" w:before="200"/>
      </w:pPr>
    </w:p>
    <w:p>
      <w:pPr>
        <w:spacing w:after="120" w:before="3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🔵 En bref — Faits marquants du jour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AI Act enforcement gets independent expert support (1 juin 2026) — L'UE mobilise des experts indépendants pour renforcer l'application du règlement AI Act dans les États membres.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Notes AIGG Europe 2026 (10 juin) — La conférence de gouvernance IA révèle des défis concrets d'implémentation : normes techniques, conformité distribuée, rôle des DPO dans la chaîne IA.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CADA (Cloud and AI Development Act) : analyses critiques IAPP (11 juin) — Le projet législatif UE sur la souveraineté cloud/IA reçoit des évaluations mitigées : ambition forte, mais fondations fragiles selon les experts.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Code de pratique UE sur le marquage IA (10 juin 2026) — Outil volontaire de conformité Art. 50 publié ; date limite de signature : 22 juillet 2026.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Partenariat numérique UE-Brésil (12 juin 2026) — Cooperation internationale sur la régulation de l'IA.</w:t>
      </w:r>
    </w:p>
    <w:p>
      <w:pPr>
        <w:pBdr>
          <w:bottom w:color="CCCCCC" w:sz="1" w:space="1"/>
        </w:pBdr>
        <w:spacing w:after="200" w:before="200"/>
      </w:pPr>
    </w:p>
    <w:p>
      <w:pPr>
        <w:spacing w:after="120" w:before="3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📅 Échéances réglementaires à venir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22 juillet 2026 — Signature du Code de pratique sur le marquage des contenus IA générés (Art. 50 AI Act).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2 août 2026 — Application de l'AI Act : IA générative (GPAI), obligations de transparence (Art. 50), sandboxes nationales à établir dans chaque État membre, systèmes haut risque Annexe III.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2 décembre 2026 — Marquage machine-readable obligatoire pour les IA génératives déjà sur le marché ; nouvelles interdictions (nudification non consentie, CSAM).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2 décembre 2027 — Conformité systèmes IA à haut risque stand-alone (report Omnibus VII — mai 2026).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2 août 2028 — Règles pour l'IA intégrée dans des produits réglementés (ascenseurs, dispositifs médicaux, jouets, machines).</w:t>
      </w:r>
    </w:p>
    <w:p>
      <w:pPr>
        <w:pBdr>
          <w:bottom w:color="CCCCCC" w:sz="1" w:space="1"/>
        </w:pBdr>
        <w:spacing w:after="200" w:before="200"/>
      </w:pPr>
    </w:p>
    <w:p>
      <w:pPr>
        <w:spacing w:after="120" w:before="3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🏛️ Actualité officielle UE</w:t>
      </w:r>
    </w:p>
    <w:p>
      <w:p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Commission européenne — digital-strategy.ec.europa.eu ✅</w:t>
      </w:r>
    </w:p>
    <w:p>
      <w:pPr>
        <w:spacing w:after="40"/>
      </w:pPr>
      <w:hyperlink w:history="1" r:id="rIdy7c9u6umco2ltpp7op9xa">
        <w:r>
          <w:rPr>
            <w:rFonts w:ascii="Calibri" w:cs="Calibri" w:eastAsia="Calibri" w:hAnsi="Calibri"/>
            <w:b/>
            <w:bCs/>
            <w:color w:val="1155CC"/>
            <w:sz w:val="22"/>
            <w:szCs w:val="22"/>
            <w:u w:val="single"/>
          </w:rPr>
          <w:t xml:space="preserve">AI Act enforcement gets independent expert support</w:t>
        </w:r>
      </w:hyperlink>
      <w:r>
        <w:rPr>
          <w:rFonts w:ascii="Calibri" w:cs="Calibri" w:eastAsia="Calibri" w:hAnsi="Calibri"/>
          <w:color w:val="444444"/>
          <w:sz w:val="22"/>
          <w:szCs w:val="22"/>
        </w:rPr>
        <w:t xml:space="preserve"> — 1 juin 2026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1F2937"/>
          <w:sz w:val="22"/>
          <w:szCs w:val="22"/>
        </w:rPr>
        <w:t xml:space="preserve">L'UE renforce ses mécanismes d'application en mobilisant des experts indépendants pour assister la mise en œuvre et le suivi de conformité AI Act. Signal fort : la Commission anticipe des difficultés d'application uniformes dans les 27 États membres.</w:t>
      </w:r>
    </w:p>
    <w:p>
      <w:pPr>
        <w:spacing w:after="40"/>
      </w:pPr>
      <w:hyperlink w:history="1" r:id="rIdgn8xzuvnpassplpe3ognm">
        <w:r>
          <w:rPr>
            <w:rFonts w:ascii="Calibri" w:cs="Calibri" w:eastAsia="Calibri" w:hAnsi="Calibri"/>
            <w:b/>
            <w:bCs/>
            <w:color w:val="1155CC"/>
            <w:sz w:val="22"/>
            <w:szCs w:val="22"/>
            <w:u w:val="single"/>
          </w:rPr>
          <w:t xml:space="preserve">Commission publishes Code of Practice on marking and labelling AI-generated content</w:t>
        </w:r>
      </w:hyperlink>
      <w:r>
        <w:rPr>
          <w:rFonts w:ascii="Calibri" w:cs="Calibri" w:eastAsia="Calibri" w:hAnsi="Calibri"/>
          <w:color w:val="444444"/>
          <w:sz w:val="22"/>
          <w:szCs w:val="22"/>
        </w:rPr>
        <w:t xml:space="preserve"> — 10 juin 2026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1F2937"/>
          <w:sz w:val="22"/>
          <w:szCs w:val="22"/>
        </w:rPr>
        <w:t xml:space="preserve">Outil de conformité volontaire pour guider les fournisseurs dans la divulgation des contenus générés par IA (deepfakes, médias synthétiques). Couvre les obligations de transparence Art. 50.</w:t>
      </w:r>
    </w:p>
    <w:p>
      <w:pPr>
        <w:spacing w:after="40"/>
      </w:pPr>
      <w:hyperlink w:history="1" r:id="rIdu_xg6im1x-eaxmuzwvbd4">
        <w:r>
          <w:rPr>
            <w:rFonts w:ascii="Calibri" w:cs="Calibri" w:eastAsia="Calibri" w:hAnsi="Calibri"/>
            <w:b/>
            <w:bCs/>
            <w:color w:val="1155CC"/>
            <w:sz w:val="22"/>
            <w:szCs w:val="22"/>
            <w:u w:val="single"/>
          </w:rPr>
          <w:t xml:space="preserve">EU and Brazil deepen ties through Digital Partnership</w:t>
        </w:r>
      </w:hyperlink>
      <w:r>
        <w:rPr>
          <w:rFonts w:ascii="Calibri" w:cs="Calibri" w:eastAsia="Calibri" w:hAnsi="Calibri"/>
          <w:color w:val="444444"/>
          <w:sz w:val="22"/>
          <w:szCs w:val="22"/>
        </w:rPr>
        <w:t xml:space="preserve"> — 12 juin 2026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1F2937"/>
          <w:sz w:val="22"/>
          <w:szCs w:val="22"/>
        </w:rPr>
        <w:t xml:space="preserve">Accord de partenariat numérique UE-Brésil, incluant la coopération sur la gouvernance de l'IA.</w:t>
      </w:r>
    </w:p>
    <w:p>
      <w:p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Conseil de l'UE — consilium.europa.eu ⛔ (403 → données via WebSearch)</w:t>
      </w:r>
    </w:p>
    <w:p>
      <w:pPr>
        <w:spacing w:after="40"/>
      </w:pPr>
      <w:hyperlink w:history="1" r:id="rIdiqe-imliergq3yahzt7th">
        <w:r>
          <w:rPr>
            <w:rFonts w:ascii="Calibri" w:cs="Calibri" w:eastAsia="Calibri" w:hAnsi="Calibri"/>
            <w:b/>
            <w:bCs/>
            <w:color w:val="1155CC"/>
            <w:sz w:val="22"/>
            <w:szCs w:val="22"/>
            <w:u w:val="single"/>
          </w:rPr>
          <w:t xml:space="preserve">Council and Parliament agree to simplify and streamline rules on AI (Omnibus VII)</w:t>
        </w:r>
      </w:hyperlink>
      <w:r>
        <w:rPr>
          <w:rFonts w:ascii="Calibri" w:cs="Calibri" w:eastAsia="Calibri" w:hAnsi="Calibri"/>
          <w:color w:val="444444"/>
          <w:sz w:val="22"/>
          <w:szCs w:val="22"/>
        </w:rPr>
        <w:t xml:space="preserve"> — 7 mai 2026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1F2937"/>
          <w:sz w:val="22"/>
          <w:szCs w:val="22"/>
        </w:rPr>
        <w:t xml:space="preserve">Accord provisoire Omnibus VII : report high-risk stand-alone au 2 déc. 2027, systèmes embarqués au 2 août 2028. Nouvelle interdiction : IA générant CSAM ou contenu intime non consenti.</w:t>
      </w:r>
    </w:p>
    <w:p>
      <w:pPr>
        <w:pBdr>
          <w:bottom w:color="CCCCCC" w:sz="1" w:space="1"/>
        </w:pBdr>
        <w:spacing w:after="200" w:before="200"/>
      </w:pPr>
    </w:p>
    <w:p>
      <w:pPr>
        <w:spacing w:after="120" w:before="3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📰 Analyses &amp; Gouvernance</w:t>
      </w:r>
    </w:p>
    <w:p>
      <w:p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IAPP — iapp.org ✅</w:t>
      </w:r>
    </w:p>
    <w:p>
      <w:pPr>
        <w:spacing w:after="40"/>
      </w:pPr>
      <w:hyperlink w:history="1" r:id="rIdfxgbizgkf4o6hba0o4ttp">
        <w:r>
          <w:rPr>
            <w:rFonts w:ascii="Calibri" w:cs="Calibri" w:eastAsia="Calibri" w:hAnsi="Calibri"/>
            <w:b/>
            <w:bCs/>
            <w:color w:val="1155CC"/>
            <w:sz w:val="22"/>
            <w:szCs w:val="22"/>
            <w:u w:val="single"/>
          </w:rPr>
          <w:t xml:space="preserve">Notes from the AI Governance Center: Key issues tackled at AIGG Europe 2026</w:t>
        </w:r>
      </w:hyperlink>
      <w:r>
        <w:rPr>
          <w:rFonts w:ascii="Calibri" w:cs="Calibri" w:eastAsia="Calibri" w:hAnsi="Calibri"/>
          <w:color w:val="444444"/>
          <w:sz w:val="22"/>
          <w:szCs w:val="22"/>
        </w:rPr>
        <w:t xml:space="preserve"> — 10 juin 2026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1F2937"/>
          <w:sz w:val="22"/>
          <w:szCs w:val="22"/>
        </w:rPr>
        <w:t xml:space="preserve">Retour sur AIGG Europe 2026 : défis d'implémentation AI Act, gouvernance de l'innovation distribuée, rôle critique des standards techniques (CEN/CENELEC) pour la conformité — point d'attention pour les déployeurs.</w:t>
      </w:r>
    </w:p>
    <w:p>
      <w:pPr>
        <w:spacing w:after="40"/>
      </w:pPr>
      <w:hyperlink w:history="1" r:id="rIdgk3r6m1qwm7h8sl4temxy">
        <w:r>
          <w:rPr>
            <w:rFonts w:ascii="Calibri" w:cs="Calibri" w:eastAsia="Calibri" w:hAnsi="Calibri"/>
            <w:b/>
            <w:bCs/>
            <w:color w:val="1155CC"/>
            <w:sz w:val="22"/>
            <w:szCs w:val="22"/>
            <w:u w:val="single"/>
          </w:rPr>
          <w:t xml:space="preserve">Europe's Cloud and AI Development Act: Grand ambition, fragile foundations</w:t>
        </w:r>
      </w:hyperlink>
      <w:r>
        <w:rPr>
          <w:rFonts w:ascii="Calibri" w:cs="Calibri" w:eastAsia="Calibri" w:hAnsi="Calibri"/>
          <w:color w:val="444444"/>
          <w:sz w:val="22"/>
          <w:szCs w:val="22"/>
        </w:rPr>
        <w:t xml:space="preserve"> — 11 juin 2026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1F2937"/>
          <w:sz w:val="22"/>
          <w:szCs w:val="22"/>
        </w:rPr>
        <w:t xml:space="preserve">Analyse critique du CADA : niveaux de souveraineté cloud proposés, risque que les exigences dépassent les capacités réelles du marché, impact sur les fournisseurs de solutions cloud utilisées dans les ESSMS.</w:t>
      </w:r>
    </w:p>
    <w:p>
      <w:pPr>
        <w:spacing w:after="40"/>
      </w:pPr>
      <w:hyperlink w:history="1" r:id="rId512ax54ulrexik2hb6pls">
        <w:r>
          <w:rPr>
            <w:rFonts w:ascii="Calibri" w:cs="Calibri" w:eastAsia="Calibri" w:hAnsi="Calibri"/>
            <w:b/>
            <w:bCs/>
            <w:color w:val="1155CC"/>
            <w:sz w:val="22"/>
            <w:szCs w:val="22"/>
            <w:u w:val="single"/>
          </w:rPr>
          <w:t xml:space="preserve">A view from Brussels: Why the CADA sovereignty proposal deserves attention</w:t>
        </w:r>
      </w:hyperlink>
      <w:r>
        <w:rPr>
          <w:rFonts w:ascii="Calibri" w:cs="Calibri" w:eastAsia="Calibri" w:hAnsi="Calibri"/>
          <w:color w:val="444444"/>
          <w:sz w:val="22"/>
          <w:szCs w:val="22"/>
        </w:rPr>
        <w:t xml:space="preserve"> — 11 juin 2026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1F2937"/>
          <w:sz w:val="22"/>
          <w:szCs w:val="22"/>
        </w:rPr>
        <w:t xml:space="preserve">Le CADA introduit des niveaux d'assurance impactant le screening fournisseurs, les transferts de données et l'entraînement des modèles IA — à surveiller pour les contrats cloud des structures médico-sociales.</w:t>
      </w:r>
    </w:p>
    <w:p>
      <w:p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Future of Life Institute — artificialintelligenceact.eu ⛔ (JS non rendu → WebSearch)</w:t>
      </w:r>
    </w:p>
    <w:p>
      <w:pPr>
        <w:spacing w:after="40"/>
      </w:pPr>
      <w:hyperlink w:history="1" r:id="rIdobvioydnrpf-crsnhzgc3">
        <w:r>
          <w:rPr>
            <w:rFonts w:ascii="Calibri" w:cs="Calibri" w:eastAsia="Calibri" w:hAnsi="Calibri"/>
            <w:b/>
            <w:bCs/>
            <w:color w:val="1155CC"/>
            <w:sz w:val="22"/>
            <w:szCs w:val="22"/>
            <w:u w:val="single"/>
          </w:rPr>
          <w:t xml:space="preserve">What providers and deployers must do by August 2026</w:t>
        </w:r>
      </w:hyperlink>
      <w:r>
        <w:rPr>
          <w:rFonts w:ascii="Calibri" w:cs="Calibri" w:eastAsia="Calibri" w:hAnsi="Calibri"/>
          <w:color w:val="444444"/>
          <w:sz w:val="22"/>
          <w:szCs w:val="22"/>
        </w:rPr>
        <w:t xml:space="preserve"> — 14 mai 2026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1F2937"/>
          <w:sz w:val="22"/>
          <w:szCs w:val="22"/>
        </w:rPr>
        <w:t xml:space="preserve">Synthèse des obligations concrètes à remplir avant l'échéance d'août 2026 pour fournisseurs et déployeurs de systèmes IA.</w:t>
      </w:r>
    </w:p>
    <w:p>
      <w:pPr>
        <w:spacing w:after="40"/>
      </w:pPr>
      <w:hyperlink w:history="1" r:id="rIdi8yv_qkucxytb6th-lmjk">
        <w:r>
          <w:rPr>
            <w:rFonts w:ascii="Calibri" w:cs="Calibri" w:eastAsia="Calibri" w:hAnsi="Calibri"/>
            <w:b/>
            <w:bCs/>
            <w:color w:val="1155CC"/>
            <w:sz w:val="22"/>
            <w:szCs w:val="22"/>
            <w:u w:val="single"/>
          </w:rPr>
          <w:t xml:space="preserve">The EU AI Act's Transparency Rules: A Practical Guide to Article 50</w:t>
        </w:r>
      </w:hyperlink>
      <w:r>
        <w:rPr>
          <w:rFonts w:ascii="Calibri" w:cs="Calibri" w:eastAsia="Calibri" w:hAnsi="Calibri"/>
          <w:color w:val="444444"/>
          <w:sz w:val="22"/>
          <w:szCs w:val="22"/>
        </w:rPr>
        <w:t xml:space="preserve"> — mars 2026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1F2937"/>
          <w:sz w:val="22"/>
          <w:szCs w:val="22"/>
        </w:rPr>
        <w:t xml:space="preserve">Guide pratique sur les obligations de transparence (Art. 50), notamment pour les systèmes IA en contact avec des utilisateurs finaux (chatbots, assistants vocaux).</w:t>
      </w:r>
    </w:p>
    <w:p>
      <w:pPr>
        <w:pBdr>
          <w:bottom w:color="CCCCCC" w:sz="1" w:space="1"/>
        </w:pBdr>
        <w:spacing w:after="200" w:before="200"/>
      </w:pPr>
    </w:p>
    <w:p>
      <w:pPr>
        <w:spacing w:after="120" w:before="3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🇫🇷 Perspective française (CNIL/RGPD)</w:t>
      </w:r>
    </w:p>
    <w:p>
      <w:p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CNIL — cnil.fr/fr/intelligence-artificielle ✅</w:t>
      </w:r>
    </w:p>
    <w:p>
      <w:pPr>
        <w:spacing w:after="40"/>
      </w:pPr>
      <w:hyperlink w:history="1" r:id="rIde3grwjnmftlx6juwpqor0">
        <w:r>
          <w:rPr>
            <w:rFonts w:ascii="Calibri" w:cs="Calibri" w:eastAsia="Calibri" w:hAnsi="Calibri"/>
            <w:b/>
            <w:bCs/>
            <w:color w:val="1155CC"/>
            <w:sz w:val="22"/>
            <w:szCs w:val="22"/>
            <w:u w:val="single"/>
          </w:rPr>
          <w:t xml:space="preserve">« IA générative et vie privée » : affiche coproduite PIPC/CNIL</w:t>
        </w:r>
      </w:hyperlink>
      <w:r>
        <w:rPr>
          <w:rFonts w:ascii="Calibri" w:cs="Calibri" w:eastAsia="Calibri" w:hAnsi="Calibri"/>
          <w:color w:val="444444"/>
          <w:sz w:val="22"/>
          <w:szCs w:val="22"/>
        </w:rPr>
        <w:t xml:space="preserve"> — 27 mai 2026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1F2937"/>
          <w:sz w:val="22"/>
          <w:szCs w:val="22"/>
        </w:rPr>
        <w:t xml:space="preserve">Affiche pédagogique CNIL/PIPC (Corée du Sud) sur la protection des données personnelles lors de l'usage d'IA générative. Outil de sensibilisation réutilisable pour les équipes.</w:t>
      </w:r>
    </w:p>
    <w:p>
      <w:pPr>
        <w:spacing w:after="40"/>
      </w:pPr>
      <w:hyperlink w:history="1" r:id="rIdl6sll20dsjx6tkvecwpm1">
        <w:r>
          <w:rPr>
            <w:rFonts w:ascii="Calibri" w:cs="Calibri" w:eastAsia="Calibri" w:hAnsi="Calibri"/>
            <w:b/>
            <w:bCs/>
            <w:color w:val="1155CC"/>
            <w:sz w:val="22"/>
            <w:szCs w:val="22"/>
            <w:u w:val="single"/>
          </w:rPr>
          <w:t xml:space="preserve">IA conversationnelle et santé mentale des jeunes : résultats enquête européenne</w:t>
        </w:r>
      </w:hyperlink>
      <w:r>
        <w:rPr>
          <w:rFonts w:ascii="Calibri" w:cs="Calibri" w:eastAsia="Calibri" w:hAnsi="Calibri"/>
          <w:color w:val="444444"/>
          <w:sz w:val="22"/>
          <w:szCs w:val="22"/>
        </w:rPr>
        <w:t xml:space="preserve"> — 5 mai 2026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1F2937"/>
          <w:sz w:val="22"/>
          <w:szCs w:val="22"/>
        </w:rPr>
        <w:t xml:space="preserve">9 jeunes sur 10 utilisent une IA conversationnelle ; près d'1 sur 2 y aborde des sujets sensibles (santé mentale, sexualité). Résultats d'une étude menée dans 4 pays européens — enjeux de protection des données vulnérables.</w:t>
      </w:r>
    </w:p>
    <w:p>
      <w:pPr>
        <w:spacing w:after="40"/>
      </w:pPr>
      <w:hyperlink w:history="1" r:id="rIdj5zbbyyzhc1beu8uasr5i">
        <w:r>
          <w:rPr>
            <w:rFonts w:ascii="Calibri" w:cs="Calibri" w:eastAsia="Calibri" w:hAnsi="Calibri"/>
            <w:b/>
            <w:bCs/>
            <w:color w:val="1155CC"/>
            <w:sz w:val="22"/>
            <w:szCs w:val="22"/>
            <w:u w:val="single"/>
          </w:rPr>
          <w:t xml:space="preserve">Projet PANAME : tester un outil d'audit RGPD des modèles d'IA</w:t>
        </w:r>
      </w:hyperlink>
      <w:r>
        <w:rPr>
          <w:rFonts w:ascii="Calibri" w:cs="Calibri" w:eastAsia="Calibri" w:hAnsi="Calibri"/>
          <w:color w:val="444444"/>
          <w:sz w:val="22"/>
          <w:szCs w:val="22"/>
        </w:rPr>
        <w:t xml:space="preserve"> — 26 févr. 2026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1F2937"/>
          <w:sz w:val="22"/>
          <w:szCs w:val="22"/>
        </w:rPr>
        <w:t xml:space="preserve">Appel à testeurs pour PANAME, outil d'audit RGPD des modèles IA développé avec ANSSI, PEReN et Inria — pertinent pour les structures envisageant un audit de conformité IA.</w:t>
      </w:r>
    </w:p>
    <w:p>
      <w:pPr>
        <w:pBdr>
          <w:bottom w:color="CCCCCC" w:sz="1" w:space="1"/>
        </w:pBdr>
        <w:spacing w:after="200" w:before="200"/>
      </w:pPr>
    </w:p>
    <w:p>
      <w:pPr>
        <w:spacing w:after="120" w:before="3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⚠️ Impacts pour les ESSMS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Échéance 2 août 2026 — CRITIQUE : les systèmes IA utilisés dans les foyers (aide à la décision, analyse comportementale, DUI, outils d'orientation) entrent dans le champ des systèmes à haut risque Annexe III s'ils concernent des personnes vulnérables. Inventaire et classification à réaliser d'urgence.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Transparence Art. 50 — Toute IA en contact direct avec les personnes accompagnées (chatbots, assistants, outils de communication augmentative) doit faire l'objet d'une information claire à l'usager. À intégrer dans les pratiques professionnelles et les contrats de séjour.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CADA / Cloud — Les fournisseurs de solutions numériques médico-sociales (DUI, logiciels de planification) hébergés sur cloud seront impactés par les niveaux d'assurance CADA. Anticiper lors des renouvellements de marché.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Formation des équipes — L'obligation de littératie IA (Art. 4 AI Act) est applicable depuis le 2 février 2025. Former les professionnels à identifier les systèmes IA présents dans leur pratique quotidienne.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Experts enforcement — La mobilisation d'experts indépendants par l'UE signale un renforcement progressif des contrôles. Les ESSMS utilisateurs de systèmes IA doivent disposer d'une documentation de conformité.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Enquête CNIL jeunes — Bien que centrée sur les mineurs, les résultats alertent sur les usages d'IA conversationnelle par des personnes vulnérables (personnes handicapées psychiques) : vigilance sur les données sensibles partagées.</w:t>
      </w:r>
    </w:p>
    <w:p>
      <w:pPr>
        <w:pBdr>
          <w:bottom w:color="CCCCCC" w:sz="1" w:space="1"/>
        </w:pBdr>
        <w:spacing w:after="200" w:before="200"/>
      </w:pPr>
    </w:p>
    <w:p>
      <w:pPr>
        <w:spacing w:after="120" w:before="3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📚 Sources du jour</w:t>
      </w:r>
    </w:p>
    <w:p>
      <w:pPr>
        <w:pStyle w:val="ListParagraph"/>
        <w:numPr>
          <w:ilvl w:val="0"/>
          <w:numId w:val="1"/>
        </w:numPr>
        <w:spacing w:after="60"/>
      </w:pPr>
      <w:hyperlink w:history="1" r:id="rIds5-loc0n1niu94tky8rfa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1. digital-strategy.ec.europa.eu — Commission européenne IA</w:t>
        </w:r>
      </w:hyperlink>
      <w:r>
        <w:rPr>
          <w:rFonts w:ascii="Calibri" w:cs="Calibri" w:eastAsia="Calibri" w:hAnsi="Calibri"/>
          <w:color w:val="1F2937"/>
          <w:sz w:val="22"/>
          <w:szCs w:val="22"/>
        </w:rPr>
        <w:t xml:space="preserve"> ✅</w:t>
      </w:r>
    </w:p>
    <w:p>
      <w:pPr>
        <w:pStyle w:val="ListParagraph"/>
        <w:numPr>
          <w:ilvl w:val="0"/>
          <w:numId w:val="1"/>
        </w:numPr>
        <w:spacing w:after="60"/>
      </w:pPr>
      <w:hyperlink w:history="1" r:id="rId0ghflhpgfnlatohvjud2n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2. ai-act-service-desk.ec.europa.eu — Timeline officielle</w:t>
        </w:r>
      </w:hyperlink>
      <w:r>
        <w:rPr>
          <w:rFonts w:ascii="Calibri" w:cs="Calibri" w:eastAsia="Calibri" w:hAnsi="Calibri"/>
          <w:color w:val="1F2937"/>
          <w:sz w:val="22"/>
          <w:szCs w:val="22"/>
        </w:rPr>
        <w:t xml:space="preserve"> ✅</w:t>
      </w:r>
    </w:p>
    <w:p>
      <w:pPr>
        <w:pStyle w:val="ListParagraph"/>
        <w:numPr>
          <w:ilvl w:val="0"/>
          <w:numId w:val="1"/>
        </w:numPr>
        <w:spacing w:after="60"/>
      </w:pPr>
      <w:hyperlink w:history="1" r:id="rId5x6kffzmlszrh6pqtmbpj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3. consilium.europa.eu — Communiqués Conseil UE</w:t>
        </w:r>
      </w:hyperlink>
      <w:r>
        <w:rPr>
          <w:rFonts w:ascii="Calibri" w:cs="Calibri" w:eastAsia="Calibri" w:hAnsi="Calibri"/>
          <w:color w:val="1F2937"/>
          <w:sz w:val="22"/>
          <w:szCs w:val="22"/>
        </w:rPr>
        <w:t xml:space="preserve"> ⛔ (403 → WebSearch)</w:t>
      </w:r>
    </w:p>
    <w:p>
      <w:pPr>
        <w:pStyle w:val="ListParagraph"/>
        <w:numPr>
          <w:ilvl w:val="0"/>
          <w:numId w:val="1"/>
        </w:numPr>
        <w:spacing w:after="60"/>
      </w:pPr>
      <w:hyperlink w:history="1" r:id="rIdcqagcfqrhi2mfxp8mrf6b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4. artificialintelligenceact.eu — Future of Life Institute</w:t>
        </w:r>
      </w:hyperlink>
      <w:r>
        <w:rPr>
          <w:rFonts w:ascii="Calibri" w:cs="Calibri" w:eastAsia="Calibri" w:hAnsi="Calibri"/>
          <w:color w:val="1F2937"/>
          <w:sz w:val="22"/>
          <w:szCs w:val="22"/>
        </w:rPr>
        <w:t xml:space="preserve"> ⛔ (JS → WebSearch)</w:t>
      </w:r>
    </w:p>
    <w:p>
      <w:pPr>
        <w:pStyle w:val="ListParagraph"/>
        <w:numPr>
          <w:ilvl w:val="0"/>
          <w:numId w:val="1"/>
        </w:numPr>
        <w:spacing w:after="60"/>
      </w:pPr>
      <w:hyperlink w:history="1" r:id="rIdj8ov2lgbuvnbkysykyjmj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5. artificialintelligenceact.eu/implementation-timeline/</w:t>
        </w:r>
      </w:hyperlink>
      <w:r>
        <w:rPr>
          <w:rFonts w:ascii="Calibri" w:cs="Calibri" w:eastAsia="Calibri" w:hAnsi="Calibri"/>
          <w:color w:val="1F2937"/>
          <w:sz w:val="22"/>
          <w:szCs w:val="22"/>
        </w:rPr>
        <w:t xml:space="preserve"> ⛔ (JS → WebSearch)</w:t>
      </w:r>
    </w:p>
    <w:p>
      <w:pPr>
        <w:pStyle w:val="ListParagraph"/>
        <w:numPr>
          <w:ilvl w:val="0"/>
          <w:numId w:val="1"/>
        </w:numPr>
        <w:spacing w:after="60"/>
      </w:pPr>
      <w:hyperlink w:history="1" r:id="rIdtbtxzxtouft08dx3qqze2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6. iapp.org/news/ — IAPP Gouvernance IA</w:t>
        </w:r>
      </w:hyperlink>
      <w:r>
        <w:rPr>
          <w:rFonts w:ascii="Calibri" w:cs="Calibri" w:eastAsia="Calibri" w:hAnsi="Calibri"/>
          <w:color w:val="1F2937"/>
          <w:sz w:val="22"/>
          <w:szCs w:val="22"/>
        </w:rPr>
        <w:t xml:space="preserve"> ✅</w:t>
      </w:r>
    </w:p>
    <w:p>
      <w:pPr>
        <w:pStyle w:val="ListParagraph"/>
        <w:numPr>
          <w:ilvl w:val="0"/>
          <w:numId w:val="1"/>
        </w:numPr>
        <w:spacing w:after="60"/>
      </w:pPr>
      <w:hyperlink w:history="1" r:id="rId5_winqoj0px3n7j-p9p1h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7. cnil.fr/fr/intelligence-artificielle</w:t>
        </w:r>
      </w:hyperlink>
      <w:r>
        <w:rPr>
          <w:rFonts w:ascii="Calibri" w:cs="Calibri" w:eastAsia="Calibri" w:hAnsi="Calibri"/>
          <w:color w:val="1F2937"/>
          <w:sz w:val="22"/>
          <w:szCs w:val="22"/>
        </w:rPr>
        <w:t xml:space="preserve"> ✅</w:t>
      </w:r>
    </w:p>
    <w:p>
      <w:pPr>
        <w:pBdr>
          <w:bottom w:color="CCCCCC" w:sz="1" w:space="1"/>
        </w:pBdr>
        <w:spacing w:after="200" w:before="200"/>
      </w:pPr>
    </w:p>
    <w:p>
      <w:pPr>
        <w:spacing w:after="120" w:before="3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🔜 À surveiller demain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Adoption formelle de l'accord Omnibus VII par le Parlement européen (vote en plénière attendu).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Signature du Code de pratique sur le marquage AI — date limite 22 juillet 2026 (J-39).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Publication des normes techniques CEN/CENELEC pour les systèmes haut risque (référence pour la conformité août 2026).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Avancement du CADA : audition au Parlement européen sur les niveaux de souveraineté cloud.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Table ronde G7 des DPA à Paris (23-26 juin 2026) — conclusions attendues sur la gouvernance IA et les données.</w:t>
      </w:r>
    </w:p>
    <w:p>
      <w:pPr>
        <w:spacing w:after="120" w:before="32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📝 Journal des corrections — 12 septembre 2026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Décompte des sources corrigé le 12/09/2026, au cours d'un contrôle des 85 veilles du dépôt (outils/scripts/controle_decompte.py). Le contenu de la note est inchangé ; seuls les nombres annoncés ont été alignés sur la liste des sources qu'elle contient. Formulation d'origine conservée ici.</w:t>
      </w:r>
    </w:p>
    <w:p>
      <w:p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Version initiale : « Sources directes : 3/7 | Fallback WebSearch : 4/7 » en en-tête et « 3/7 directes + 4/7 WebSearch » en pied de note. La liste Sources du jour compte quatre ✅ (Commission, Service Desk, IAPP, CNIL) et trois ⛔ passées par WebSearch (Conseil, artificialintelligenceact.eu × 2) : les deux nombres étaient inversés.</w:t>
      </w:r>
    </w:p>
    <w:p>
      <w:pPr>
        <w:spacing w:before="400"/>
        <w:jc w:val="center"/>
      </w:pPr>
      <w:r>
        <w:rPr>
          <w:rFonts w:ascii="Calibri" w:cs="Calibri" w:eastAsia="Calibri" w:hAnsi="Calibri"/>
          <w:i/>
          <w:iCs/>
          <w:color w:val="888888"/>
          <w:sz w:val="18"/>
          <w:szCs w:val="18"/>
        </w:rPr>
        <w:t xml:space="preserve">Produit le 13 juin 2026 — Job automatique ai-act-veille — Sources consultées : 4/7 directes + 3/7 WebSearch (corrigé le 12/09/2026 — voir le journal des corrections)</w:t>
      </w:r>
    </w:p>
    <w:sectPr>
      <w:pgSz w:w="11906" w:h="16838" w:orient="portrait"/>
      <w:pgMar w:top="800" w:right="900" w:bottom="8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y7c9u6umco2ltpp7op9xa" Type="http://schemas.openxmlformats.org/officeDocument/2006/relationships/hyperlink" Target="https://digital-strategy.ec.europa.eu/en/news/ai-act-enforcement-gets-independent-expert-support" TargetMode="External"/><Relationship Id="rIdgn8xzuvnpassplpe3ognm" Type="http://schemas.openxmlformats.org/officeDocument/2006/relationships/hyperlink" Target="https://digital-strategy.ec.europa.eu/en/news/commission-publishes-code-practice-marking-and-labelling-ai-generated-content" TargetMode="External"/><Relationship Id="rIdu_xg6im1x-eaxmuzwvbd4" Type="http://schemas.openxmlformats.org/officeDocument/2006/relationships/hyperlink" Target="https://digital-strategy.ec.europa.eu/en/news/eu-and-brazil-deepen-ties-through-digital-partnership" TargetMode="External"/><Relationship Id="rIdiqe-imliergq3yahzt7th" Type="http://schemas.openxmlformats.org/officeDocument/2006/relationships/hyperlink" Target="https://www.consilium.europa.eu/en/press/press-releases/2026/05/07/artificial-intelligence-council-and-parliament-agree-to-simplify-and-streamline-rules/" TargetMode="External"/><Relationship Id="rIdfxgbizgkf4o6hba0o4ttp" Type="http://schemas.openxmlformats.org/officeDocument/2006/relationships/hyperlink" Target="https://iapp.org/news/a/notes-from-the-ai-governance-center-the-key-ai-governance-issues-tackled-at-aigg-europe-2026" TargetMode="External"/><Relationship Id="rIdgk3r6m1qwm7h8sl4temxy" Type="http://schemas.openxmlformats.org/officeDocument/2006/relationships/hyperlink" Target="https://iapp.org/news/a/europes-cloud-and-ai-development-act-grand-ambition-fragile-foundations" TargetMode="External"/><Relationship Id="rId512ax54ulrexik2hb6pls" Type="http://schemas.openxmlformats.org/officeDocument/2006/relationships/hyperlink" Target="https://iapp.org/news/a/a-view-from-brussels-why-the-cada-sovereignty-proposal-deserves-attention" TargetMode="External"/><Relationship Id="rIdobvioydnrpf-crsnhzgc3" Type="http://schemas.openxmlformats.org/officeDocument/2006/relationships/hyperlink" Target="https://artificialintelligenceact.eu/ai-act-implementation-next-steps/" TargetMode="External"/><Relationship Id="rIdi8yv_qkucxytb6th-lmjk" Type="http://schemas.openxmlformats.org/officeDocument/2006/relationships/hyperlink" Target="https://artificialintelligenceact.eu/transparency-rules-article-50/" TargetMode="External"/><Relationship Id="rIde3grwjnmftlx6juwpqor0" Type="http://schemas.openxmlformats.org/officeDocument/2006/relationships/hyperlink" Target="https://www.cnil.fr/fr/ia-generative-et-vie-privee-affiche-coproduite-pipc-cnil" TargetMode="External"/><Relationship Id="rIdl6sll20dsjx6tkvecwpm1" Type="http://schemas.openxmlformats.org/officeDocument/2006/relationships/hyperlink" Target="https://www.cnil.fr/fr/ia-conversationnelle-et-sante-mentale-des-jeunes-resultats-de-lenquete-europeenne" TargetMode="External"/><Relationship Id="rIdj5zbbyyzhc1beu8uasr5i" Type="http://schemas.openxmlformats.org/officeDocument/2006/relationships/hyperlink" Target="https://www.cnil.fr/fr/projet-paname-participez-aux-tests-dun-outil-daudit-rgpd-des-modeles-dia" TargetMode="External"/><Relationship Id="rIds5-loc0n1niu94tky8rfa" Type="http://schemas.openxmlformats.org/officeDocument/2006/relationships/hyperlink" Target="https://digital-strategy.ec.europa.eu/en/policies/regulatory-framework-ai" TargetMode="External"/><Relationship Id="rId0ghflhpgfnlatohvjud2n" Type="http://schemas.openxmlformats.org/officeDocument/2006/relationships/hyperlink" Target="https://ai-act-service-desk.ec.europa.eu/en/ai-act/timeline/timeline-implementation-eu-ai-act" TargetMode="External"/><Relationship Id="rId5x6kffzmlszrh6pqtmbpj" Type="http://schemas.openxmlformats.org/officeDocument/2006/relationships/hyperlink" Target="https://www.consilium.europa.eu/en/press/press-releases/" TargetMode="External"/><Relationship Id="rIdcqagcfqrhi2mfxp8mrf6b" Type="http://schemas.openxmlformats.org/officeDocument/2006/relationships/hyperlink" Target="https://artificialintelligenceact.eu/" TargetMode="External"/><Relationship Id="rIdj8ov2lgbuvnbkysykyjmj" Type="http://schemas.openxmlformats.org/officeDocument/2006/relationships/hyperlink" Target="https://artificialintelligenceact.eu/implementation-timeline/" TargetMode="External"/><Relationship Id="rIdtbtxzxtouft08dx3qqze2" Type="http://schemas.openxmlformats.org/officeDocument/2006/relationships/hyperlink" Target="https://iapp.org/news/" TargetMode="External"/><Relationship Id="rId5_winqoj0px3n7j-p9p1h" Type="http://schemas.openxmlformats.org/officeDocument/2006/relationships/hyperlink" Target="https://www.cnil.fr/fr/intelligence-artificielle" TargetMode="External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2026-06-13T05:07:00.664Z</dcterms:created>
  <dcterms:modified xsi:type="dcterms:W3CDTF">2026-06-13T05:07:00.678Z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