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 hebdomadaire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4A4A"/>
          <w:sz w:val="28"/>
          <w:szCs w:val="28"/>
        </w:rPr>
        <w:t xml:space="preserve">Dimanche 21 juin 2026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D97706"/>
          <w:sz w:val="32"/>
          <w:szCs w:val="32"/>
        </w:rPr>
        <w:t xml:space="preserve">🟡 Niveau d'alerte : À surveiller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Sources accessibles : 4/7 (corrigé le 12/09/2026 — voir le journal des corrections)</w:t>
      </w:r>
    </w:p>
    <w:p>
      <w:pPr>
        <w:spacing w:after="200" w:before="200"/>
      </w:pPr>
      <w:r>
        <w:rPr>
          <w:rFonts w:ascii="Calibri" w:cs="Calibri" w:eastAsia="Calibri" w:hAnsi="Calibri"/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 de la semaine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Consortium EUROPA sélectionné par la Commission (19 juin) pour construire un modèle IA open-source multilingue couvrant les 24 langues officielles de l'UE.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Code de conduite sur le marquage des contenus IA générés publié (10 juin) — les fournisseurs ont jusqu'au 2 décembre 2026 pour se conformer (Article 50).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Lignes directrices conjointes RGPD/AI Act imminentes (IAPP, 18 juin) — elles couvriront transparence, évaluation des risques, détection des biais et responsabilité.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AI Omnibus (accord mai 2026) : délais haut risque repoussés à déc. 2027 (autonomes) / août 2028 (embarqués) — mais Art. 50 transparence maintenu à déc. 2026.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Retard généralisé de transposition : seulement 9 États membres sur 27 ont désigné leurs autorités nationales compétentes (mise à jour du 17 juin 2026).</w:t>
      </w:r>
    </w:p>
    <w:p>
      <w:pPr>
        <w:spacing w:after="200" w:before="200"/>
      </w:pPr>
      <w:r>
        <w:rPr>
          <w:rFonts w:ascii="Calibri" w:cs="Calibri" w:eastAsia="Calibri" w:hAnsi="Calibri"/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Calendrier mis à jour suite à l'AI Omnibus (accord politique mai 2026) :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✅ 2 février 2025 — Interdictions pratiques prohibées + obligations de littératie IA (en vigueur)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✅ 2 août 2025 — Règles GPAI (modèles à usage général) + gouvernance + autorités nationales (en vigueur)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⚡ 2 août 2026 (dans 42 jours) — Majorité des règles AI Act : systèmes à haut risque (Annexe III), transparence Art. 50, sandboxes réglementaires, supervision nationale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📌 2 décembre 2026 — Obligation de marquage contenus IA générative (Art. 50.2) + Code de conduite applicable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🔜 2 août 2027 — Sandboxes réglementaires nationales opérationnelles (repoussé par AI Omnibus)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🔜 2 décembre 2027 — Systèmes à haut risque autonomes (repoussé par AI Omnibus)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🔜 2 août 2028 — Systèmes à haut risque embarqués dans produits réglementés (repoussé)</w:t>
      </w:r>
    </w:p>
    <w:p>
      <w:pPr>
        <w:spacing w:after="200" w:before="200"/>
      </w:pPr>
      <w:r>
        <w:rPr>
          <w:rFonts w:ascii="Calibri" w:cs="Calibri" w:eastAsia="Calibri" w:hAnsi="Calibri"/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Actualité officielle UE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Commission européenne — Digital Strategy ✅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5jvivaax5dxwentgrnuov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Commission selects EUROPA consortium as winner of the Frontier AI Grande Challenge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(19 juin 2026)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Commission désigne le consortium EUROPA pour construire un modèle IA open-source couvrant les 24 langues officielles de l'UE. Objectif de souveraineté numérique européenne.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f2jmbvouxm-heinny_chc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Commission publishes Code of Practice on marking and labelling AI-generated content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(10 juin 2026)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Code de conduite volontaire pour les fournisseurs d'IA générative sur les obligations de transparence et d'étiquetage (Article 50 AI Act). Application obligatoire à partir de décembre 2026.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i9olgvyl9nigdjji5_eye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EU agrees to simplify AI rules, boost innovation and ban nudification apps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(7 mai 2026)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Accord politique sur le paquet "AI Omnibus" : calendrier repoussé pour les systèmes à haut risque, interdiction des apps de nudification non-consentie, renforcement des pouvoirs du Bureau de l'IA.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Conseil de l'UE ⛔ (accès direct 403 — données via WebSearch)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iaw6etdkcnycgamza_5t2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Council and Parliament agree to simplify and streamline rules on AI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(7 mai 2026)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Accord provisoire Conseil/Parlement sur l'AI Omnibus : délais haut risque repoussés, interdiction CSAM et contenus intimes non-consentis, sandboxes repoussées à août 2027.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3ovufyotnvxinyr2qtmbe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Council agrees position to streamline rules on Artificial Intelligence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(13 mars 2026)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Le Conseil adopte sa position sur la simplification des règles AI Act avant les trilogues avec le Parlement — amorçant les négociations de l'AI Omnibus.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 Act Service Desk (calendrier officiel) ✅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Calendrier mis à jour post-AI Omnibus disponible en ligne.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</w:t>
      </w:r>
      <w:hyperlink w:history="1" r:id="rId70jlsccx6qizjjilbvm7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Timeline officielle d'implémentation</w:t>
        </w:r>
      </w:hyperlink>
    </w:p>
    <w:p>
      <w:pPr>
        <w:spacing w:after="200" w:before="200"/>
      </w:pPr>
      <w:r>
        <w:rPr>
          <w:rFonts w:ascii="Calibri" w:cs="Calibri" w:eastAsia="Calibri" w:hAnsi="Calibri"/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📰 Analyses &amp; gouvernance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artificialintelligenceact.eu (Future of Life Institute) ⛔ (rendu JS — données via WebSearch)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qtxfwwth8qjev9yttwf-l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The EU AI Act's Transparency Rules: A Practical Guide to Article 50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(Juin 2026)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Guide pratique sur les règles de transparence applicables aux fournisseurs d'IA générative à partir d'août/décembre 2026.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pbgaoknv9gjeh4jc2uzp0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Overview of all AI Act National Implementation Plans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(17 juin 2026)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Seulement 9 États membres sur 27 ont désigné leurs autorités nationales compétentes — retard généralisé par rapport au délai d'août 2025.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IAPP (gouvernance IA mondiale) ✅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nykvtkrbrkrhr_byztum0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A view from Brussels: upcoming guidelines on GDPR / AI Act interplay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(18 juin 2026)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La Commission et le CEPD préparent des lignes directrices conjointes RGPD/AI Act couvrant transparence, évaluation des risques, biais et responsabilité — impact direct sur les DPO.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qav2f9djk_se-jxameivh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The Anthropic episode: governance challenge, not Europe's "kill switch"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(16 juin 2026)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Analyse de la directive US bloquant l'accès européen aux modèles Anthropic avancés — enjeux de gouvernance transatlantique et de souveraineté numérique.</w:t>
      </w:r>
    </w:p>
    <w:p>
      <w:pPr>
        <w:spacing w:after="200" w:before="200"/>
      </w:pPr>
      <w:r>
        <w:rPr>
          <w:rFonts w:ascii="Calibri" w:cs="Calibri" w:eastAsia="Calibri" w:hAnsi="Calibri"/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🇫🇷 Perspective française — CNIL / RGPD ✅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aa-expzm3lgs0dyxfvy12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IA conversationnelle et santé mentale des jeunes — résultats enquête européenne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(5 mai 2026)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9 jeunes sur 10 utilisent une IA conversationnelle en France ; 1 tiers évoque des sujets liés à leur bien-être mental. Résultats coordonnés entre APDs européennes — pertinent pour les ESSMS accueillant des jeunes adultes vulnérables.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2lotkupwg4nrokpdkale2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CNIL finalise ses recommandations sur le développement des systèmes d'IA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(22 juillet 2025)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Finalisation des recommandations RGPD pour le développement IA (annotation, sécurité, applicabilité). Travaux sectoriels annoncés : santé, éducation, RH — secteur social en attente.</w:t>
      </w:r>
    </w:p>
    <w:p>
      <w:pPr>
        <w:spacing w:after="60" w:before="160"/>
        <w:ind w:left="360"/>
      </w:pPr>
      <w:r>
        <w:rPr>
          <w:rFonts w:ascii="Calibri" w:cs="Calibri" w:eastAsia="Calibri" w:hAnsi="Calibri"/>
          <w:color w:val="1B3A6B"/>
          <w:sz w:val="22"/>
          <w:szCs w:val="22"/>
        </w:rPr>
        <w:t xml:space="preserve">▸ </w:t>
      </w:r>
      <w:hyperlink w:history="1" r:id="rId64o9zjhrjpihs391uqxe8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Les APD européennes veulent être chargées des systèmes IA à haut risque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(2025-2026)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Position commune des APDs pour obtenir compétence principale sur les systèmes IA à haut risque impliquant des données personnelles — impact sur la supervision des outils DUI dans les ESSMS.</w:t>
      </w:r>
    </w:p>
    <w:p>
      <w:pPr>
        <w:spacing w:after="200" w:before="200"/>
      </w:pPr>
      <w:r>
        <w:rPr>
          <w:rFonts w:ascii="Calibri" w:cs="Calibri" w:eastAsia="Calibri" w:hAnsi="Calibri"/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 — Points de vigilance</w:t>
      </w:r>
    </w:p>
    <w:p>
      <w:pPr>
        <w:spacing w:after="12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2 août 2026 (dans 42 jours) marque l'entrée en vigueur des règles majeures. Points d'attention pour un foyer d'hébergement :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📋 Inventaire des outils IA utilisés — Identifier tous les systèmes IA en production (DUI Imago, outils de planification, détection comportements, etc.) et les classer selon la nomenclature AI Act (prohibé / haut risque / risque limité / risque minimal).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🔍 Systèmes à haut risque (Annexe III) — Les outils IA d'aide à la décision sur les droits des personnes (admission, sortie, évaluation des besoins, accès aux services) sont probablement classifiés "haut risque". Audit de conformité requis avant déc. 2027 (AI Omnibus).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📣 Transparence vis-à-vis des personnes accompagnées — Obligation dès août 2026 d'informer les personnes lorsqu'elles interagissent avec un système IA. À intégrer dans les projets personnalisés et les chartes d'établissement.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🔗 Interopérabilité RGPD/AI Act — Les lignes directrices CEPD/Commission attendues clarifient les obligations croisées. Le DPO de l'association doit être associé à la démarche de mise en conformité AI Act.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📚 Formation des équipes — L'obligation de "littératie IA" (en vigueur depuis févr. 2025) impose une formation des professionnels utilisant des outils IA. À intégrer dans le plan de formation et les actions collectives de travail (OPCO Santé).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🧠 IA conversationnelle et vulnérabilité — Les résultats CNIL/APDs sur la santé mentale des jeunes utilisateurs d'IA interpellent pour les adultes accompagnés en ESSMS : vigilance sur les usages personnels non supervisés.</w:t>
      </w:r>
    </w:p>
    <w:p>
      <w:pPr>
        <w:spacing w:after="200" w:before="200"/>
      </w:pPr>
      <w:r>
        <w:rPr>
          <w:rFonts w:ascii="Calibri" w:cs="Calibri" w:eastAsia="Calibri" w:hAnsi="Calibri"/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consultées le 21 juin 2026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✅ </w:t>
      </w:r>
      <w:hyperlink w:history="1" r:id="rIde7wbfqxo_eosbykrnzp_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digital-strategy.ec.europa.eu — Regulatory framework for AI (Commission)</w:t>
        </w:r>
      </w:hyperlink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✅ </w:t>
      </w:r>
      <w:hyperlink w:history="1" r:id="rIds4o1jof-hayelmnfe5hr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ai-act-service-desk.ec.europa.eu — Timeline implementation (Service desk officiel)</w:t>
        </w:r>
      </w:hyperlink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⛔ (403 — données via WebSearch) </w:t>
      </w:r>
      <w:hyperlink w:history="1" r:id="rIdf29mm9fsxvwp9vr0_aol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consilium.europa.eu — Communiqués de presse (Conseil UE)</w:t>
        </w:r>
      </w:hyperlink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⛔ (rendu JS — données via WebSearch) </w:t>
      </w:r>
      <w:hyperlink w:history="1" r:id="rIdc1nzbzvk7otpdjut4umi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artificialintelligenceact.eu — Analyses &amp; guides (Future of Life Institute)</w:t>
        </w:r>
      </w:hyperlink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⛔ (rendu JS — données via WebSearch) </w:t>
      </w:r>
      <w:hyperlink w:history="1" r:id="rIdc5lzu2upclsfzzymtkik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artificialintelligenceact.eu/implementation-timeline — Calendrier détaillé</w:t>
        </w:r>
      </w:hyperlink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✅ </w:t>
      </w:r>
      <w:hyperlink w:history="1" r:id="rId8jppgdeogk7kjriu13km2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iapp.org/news — Gouvernance IA mondiale (IAPP)</w:t>
        </w:r>
      </w:hyperlink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✅ </w:t>
      </w:r>
      <w:hyperlink w:history="1" r:id="rIdy1zo9ccrqluodfan77llt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cnil.fr/fr/intelligence-artificielle — Régulateur français RGPD/IA</w:t>
        </w:r>
      </w:hyperlink>
    </w:p>
    <w:p>
      <w:pPr>
        <w:spacing w:after="200" w:before="200"/>
      </w:pPr>
      <w:r>
        <w:rPr>
          <w:rFonts w:ascii="Calibri" w:cs="Calibri" w:eastAsia="Calibri" w:hAnsi="Calibri"/>
          <w:color w:val="D1D5D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Publication des lignes directrices conjointes RGPD/AI Act (CEPD + Commission) — annoncées comme imminentes (IAPP 18 juin).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Finalisation du Code de conduite IA générative (version définitive attendue juin 2026).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Avancement des désignations d'autorités nationales compétentes — seulement 9/27 États membres à ce jour.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Compte à rebours 2 août 2026 — surveiller les circulaires et recommandations sectorielles pour les ESSMS (DGCS, CNSA).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Décompte des sources corrigé le 12/09/2026, au cours d'un contrôle des 85 veilles du dépôt (outils/scripts/controle_decompte.py). Le contenu de la note est inchangé ; seuls les nombres annoncés ont été alignés sur la liste des sources qu'elle contient. Formulation d'origine conservée ici.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Version initiale : « Sources accessibles : 5/7 ». La liste compte quatre ✅ (Commission, Service Desk, IAPP, CNIL) et trois ⛔ (Conseil 403, artificialintelligenceact.eu × 2 rendu JS). Même écart dans les éditions du 14/06 et du 28/06.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Transposition française de l'AI Act — position française sur la désignation de l'autorité compétente (CNIL vs autorité sectorielle ?).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jvivaax5dxwentgrnuov" Type="http://schemas.openxmlformats.org/officeDocument/2006/relationships/hyperlink" Target="https://digital-strategy.ec.europa.eu/en/news/commission-selects-europa-consortium-winner-frontier-ai-grande-challenge-project-build-european" TargetMode="External"/><Relationship Id="rIdf2jmbvouxm-heinny_chc" Type="http://schemas.openxmlformats.org/officeDocument/2006/relationships/hyperlink" Target="https://digital-strategy.ec.europa.eu/en/news/commission-publishes-code-practice-marking-and-labelling-ai-generated-content" TargetMode="External"/><Relationship Id="rIdi9olgvyl9nigdjji5_eye" Type="http://schemas.openxmlformats.org/officeDocument/2006/relationships/hyperlink" Target="https://digital-strategy.ec.europa.eu/en/news/eu-agrees-simplify-ai-rules-boost-innovation-and-ban-nudification-apps-protect-citizens" TargetMode="External"/><Relationship Id="rIdiaw6etdkcnycgamza_5t2" Type="http://schemas.openxmlformats.org/officeDocument/2006/relationships/hyperlink" Target="https://www.consilium.europa.eu/en/press/press-releases/2026/05/07/artificial-intelligence-council-and-parliament-agree-to-simplify-and-streamline-rules/" TargetMode="External"/><Relationship Id="rId3ovufyotnvxinyr2qtmbe" Type="http://schemas.openxmlformats.org/officeDocument/2006/relationships/hyperlink" Target="https://www.consilium.europa.eu/en/press/press-releases/2026/03/13/council-agrees-position-to-streamline-rules-on-artificial-intelligence/" TargetMode="External"/><Relationship Id="rId70jlsccx6qizjjilbvm7u" Type="http://schemas.openxmlformats.org/officeDocument/2006/relationships/hyperlink" Target="https://ai-act-service-desk.ec.europa.eu/en/ai-act/timeline/timeline-implementation-eu-ai-act" TargetMode="External"/><Relationship Id="rIdqtxfwwth8qjev9yttwf-l" Type="http://schemas.openxmlformats.org/officeDocument/2006/relationships/hyperlink" Target="https://artificialintelligenceact.eu/transparency-rules-article-50/" TargetMode="External"/><Relationship Id="rIdpbgaoknv9gjeh4jc2uzp0" Type="http://schemas.openxmlformats.org/officeDocument/2006/relationships/hyperlink" Target="https://artificialintelligenceact.eu/national-implementation-plans/" TargetMode="External"/><Relationship Id="rIdnykvtkrbrkrhr_byztum0" Type="http://schemas.openxmlformats.org/officeDocument/2006/relationships/hyperlink" Target="https://iapp.org/news/a/a-view-from-brussels-a-sneak-peek-into-upcoming-guidelines-on-gdpr-ai-act-interplay" TargetMode="External"/><Relationship Id="rIdqav2f9djk_se-jxameivh" Type="http://schemas.openxmlformats.org/officeDocument/2006/relationships/hyperlink" Target="https://iapp.org/news/a/the-anthropic-episode-probably-a-security-challenge-in-need-of-governance-certainly-not-europe-s-kill-switch" TargetMode="External"/><Relationship Id="rIdaa-expzm3lgs0dyxfvy12" Type="http://schemas.openxmlformats.org/officeDocument/2006/relationships/hyperlink" Target="https://www.cnil.fr/fr/ia-conversationnelle-et-sante-mentale-des-jeunes-resultats-de-lenquete-europeenne" TargetMode="External"/><Relationship Id="rId2lotkupwg4nrokpdkale2" Type="http://schemas.openxmlformats.org/officeDocument/2006/relationships/hyperlink" Target="https://www.cnil.fr/fr/ia-finalisation-recommandations-developpement-des-systemes-ia" TargetMode="External"/><Relationship Id="rId64o9zjhrjpihs391uqxe8" Type="http://schemas.openxmlformats.org/officeDocument/2006/relationships/hyperlink" Target="https://www.cnil.fr/fr/regulation-de-lia-les-autorites-de-protection-des-donnees-europeennes-veulent-etre-chargees" TargetMode="External"/><Relationship Id="rIde7wbfqxo_eosbykrnzp_o" Type="http://schemas.openxmlformats.org/officeDocument/2006/relationships/hyperlink" Target="https://digital-strategy.ec.europa.eu/en/policies/regulatory-framework-ai" TargetMode="External"/><Relationship Id="rIds4o1jof-hayelmnfe5hrd" Type="http://schemas.openxmlformats.org/officeDocument/2006/relationships/hyperlink" Target="https://ai-act-service-desk.ec.europa.eu/en/ai-act/timeline/timeline-implementation-eu-ai-act" TargetMode="External"/><Relationship Id="rIdf29mm9fsxvwp9vr0_aolb" Type="http://schemas.openxmlformats.org/officeDocument/2006/relationships/hyperlink" Target="https://www.consilium.europa.eu/en/press/press-releases/" TargetMode="External"/><Relationship Id="rIdc1nzbzvk7otpdjut4umih" Type="http://schemas.openxmlformats.org/officeDocument/2006/relationships/hyperlink" Target="https://artificialintelligenceact.eu/" TargetMode="External"/><Relationship Id="rIdc5lzu2upclsfzzymtkiko" Type="http://schemas.openxmlformats.org/officeDocument/2006/relationships/hyperlink" Target="https://artificialintelligenceact.eu/implementation-timeline/" TargetMode="External"/><Relationship Id="rId8jppgdeogk7kjriu13km2" Type="http://schemas.openxmlformats.org/officeDocument/2006/relationships/hyperlink" Target="https://iapp.org/news/" TargetMode="External"/><Relationship Id="rIdy1zo9ccrqluodfan77llt" Type="http://schemas.openxmlformats.org/officeDocument/2006/relationships/hyperlink" Target="https://www.cnil.fr/fr/intelligence-artificielle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AI Act — 21 juin 2026</dc:title>
  <dc:creator>Claude Code — Veille AI Act</dc:creator>
  <dc:description>Compte-rendu hebdomadaire de veille AI Act — impacts ESSMS</dc:description>
  <cp:lastModifiedBy>Un-named</cp:lastModifiedBy>
  <cp:revision>1</cp:revision>
  <dcterms:created xsi:type="dcterms:W3CDTF">2026-06-21T05:07:08.995Z</dcterms:created>
  <dcterms:modified xsi:type="dcterms:W3CDTF">2026-06-21T05:07:08.996Z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