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AI Act — Compte-rendu hebdomadaire</w:t>
      </w:r>
    </w:p>
    <w:p>
      <w:pPr>
        <w:spacing w:after="120"/>
        <w:jc w:val="center"/>
      </w:pPr>
      <w:r>
        <w:rPr>
          <w:rFonts w:ascii="Calibri" w:cs="Calibri" w:eastAsia="Calibri" w:hAnsi="Calibri"/>
          <w:color w:val="1B3A6B"/>
          <w:sz w:val="28"/>
          <w:szCs w:val="28"/>
        </w:rPr>
        <w:t xml:space="preserve">Dimanche 28 juin 2026</w:t>
      </w:r>
    </w:p>
    <w:p>
      <w:pPr>
        <w:spacing w:after="120"/>
        <w:jc w:val="center"/>
      </w:pPr>
      <w:r>
        <w:rPr>
          <w:rFonts w:ascii="Calibri" w:cs="Calibri" w:eastAsia="Calibri" w:hAnsi="Calibri"/>
          <w:b/>
          <w:bCs/>
          <w:color w:val="1F2937"/>
          <w:sz w:val="26"/>
          <w:szCs w:val="26"/>
        </w:rPr>
        <w:t xml:space="preserve">Niveau d'alerte : </w:t>
      </w:r>
      <w:r>
        <w:rPr>
          <w:rFonts w:ascii="Calibri" w:cs="Calibri" w:eastAsia="Calibri" w:hAnsi="Calibri"/>
          <w:b/>
          <w:bCs/>
          <w:color w:val="D97706"/>
          <w:sz w:val="26"/>
          <w:szCs w:val="26"/>
        </w:rPr>
        <w:t xml:space="preserve">🟡 À SURVEILLER</w:t>
      </w:r>
    </w:p>
    <w:p>
      <w:pPr>
        <w:spacing w:after="80"/>
      </w:pPr>
      <w:r>
        <w:rPr>
          <w:rFonts w:ascii="Calibri" w:cs="Calibri" w:eastAsia="Calibri" w:hAnsi="Calibri"/>
          <w:color w:val="1F2937"/>
          <w:sz w:val="22"/>
          <w:szCs w:val="22"/>
        </w:rPr>
        <w:t xml:space="preserve">Sources accessibles : 4/7 (corrigé le 12/09/2026 — voir le journal des corrections)  •  Faits marquants : 5  •  Nouveautés post-21 juin : 3</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En bref — Faits marquants de la semaine</w:t>
      </w:r>
    </w:p>
    <w:p>
      <w:pPr>
        <w:pStyle w:val="ListParagraph"/>
        <w:numPr>
          <w:ilvl w:val="0"/>
          <w:numId w:val="1"/>
        </w:numPr>
        <w:spacing w:after="60"/>
      </w:pPr>
      <w:r>
        <w:rPr>
          <w:rFonts w:ascii="Calibri" w:cs="Calibri" w:eastAsia="Calibri" w:hAnsi="Calibri"/>
          <w:color w:val="1F2937"/>
          <w:sz w:val="22"/>
          <w:szCs w:val="22"/>
        </w:rPr>
        <w:t xml:space="preserve">🔜 Adoption formelle du Digital Omnibus par le Conseil de l'UE attendue le 29 juin 2026 (demain) — publication imminente au Journal officiel</w:t>
      </w:r>
    </w:p>
    <w:p>
      <w:pPr>
        <w:pStyle w:val="ListParagraph"/>
        <w:numPr>
          <w:ilvl w:val="0"/>
          <w:numId w:val="1"/>
        </w:numPr>
        <w:spacing w:after="60"/>
      </w:pPr>
      <w:r>
        <w:rPr>
          <w:rFonts w:ascii="Calibri" w:cs="Calibri" w:eastAsia="Calibri" w:hAnsi="Calibri"/>
          <w:color w:val="1F2937"/>
          <w:sz w:val="22"/>
          <w:szCs w:val="22"/>
        </w:rPr>
        <w:t xml:space="preserve">📅 Reports de délais confirmés par le Digital Omnibus : systèmes IA à haut risque Annexe III → 2 décembre 2027 (report de 16 mois) ; Annexe I → 2 août 2028 ; sandboxes nationales → 2 août 2027</w:t>
      </w:r>
    </w:p>
    <w:p>
      <w:pPr>
        <w:pStyle w:val="ListParagraph"/>
        <w:numPr>
          <w:ilvl w:val="0"/>
          <w:numId w:val="1"/>
        </w:numPr>
        <w:spacing w:after="60"/>
      </w:pPr>
      <w:r>
        <w:rPr>
          <w:rFonts w:ascii="Calibri" w:cs="Calibri" w:eastAsia="Calibri" w:hAnsi="Calibri"/>
          <w:color w:val="1F2937"/>
          <w:sz w:val="22"/>
          <w:szCs w:val="22"/>
        </w:rPr>
        <w:t xml:space="preserve">🚫 Nouvelle interdiction explicite des outils de "nudification" / génération CSAM ajoutée à l'AI Act (applicable 2 décembre 2026)</w:t>
      </w:r>
    </w:p>
    <w:p>
      <w:pPr>
        <w:pStyle w:val="ListParagraph"/>
        <w:numPr>
          <w:ilvl w:val="0"/>
          <w:numId w:val="1"/>
        </w:numPr>
        <w:spacing w:after="60"/>
      </w:pPr>
      <w:r>
        <w:rPr>
          <w:rFonts w:ascii="Calibri" w:cs="Calibri" w:eastAsia="Calibri" w:hAnsi="Calibri"/>
          <w:color w:val="1F2937"/>
          <w:sz w:val="22"/>
          <w:szCs w:val="22"/>
        </w:rPr>
        <w:t xml:space="preserve">🇫🇷 Prix CNIL/EHESS 2026 (24 juin) : étude révélant que les citoyens perçoivent tous les systèmes IA comme présentant un risque modéré, indépendamment du niveau de risque réel — décalage majeur avec les catégories de l'AI Act</w:t>
      </w:r>
    </w:p>
    <w:p>
      <w:pPr>
        <w:pStyle w:val="ListParagraph"/>
        <w:numPr>
          <w:ilvl w:val="0"/>
          <w:numId w:val="1"/>
        </w:numPr>
        <w:spacing w:after="60"/>
      </w:pPr>
      <w:r>
        <w:rPr>
          <w:rFonts w:ascii="Calibri" w:cs="Calibri" w:eastAsia="Calibri" w:hAnsi="Calibri"/>
          <w:color w:val="1F2937"/>
          <w:sz w:val="22"/>
          <w:szCs w:val="22"/>
        </w:rPr>
        <w:t xml:space="preserve">🌐 Consortium EUROPA sélectionné pour le Frontier AI Grand Challenge (19 juin) : modèle IA frontier open-source, 24 langues officielles UE — pilier de la souveraineté technologique européenne</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Échéances réglementaires à venir (mises à jour post-Digital Omnibus)</w:t>
      </w:r>
    </w:p>
    <w:p>
      <w:pPr>
        <w:pStyle w:val="ListParagraph"/>
        <w:numPr>
          <w:ilvl w:val="0"/>
          <w:numId w:val="1"/>
        </w:numPr>
        <w:spacing w:after="60"/>
      </w:pPr>
      <w:r>
        <w:rPr>
          <w:rFonts w:ascii="Calibri" w:cs="Calibri" w:eastAsia="Calibri" w:hAnsi="Calibri"/>
          <w:b/>
          <w:bCs/>
          <w:color w:val="1B3A6B"/>
          <w:sz w:val="22"/>
          <w:szCs w:val="22"/>
        </w:rPr>
        <w:t xml:space="preserve">⚠️ URGENT 2 août 2026 : </w:t>
      </w:r>
      <w:r>
        <w:rPr>
          <w:rFonts w:ascii="Calibri" w:cs="Calibri" w:eastAsia="Calibri" w:hAnsi="Calibri"/>
          <w:color w:val="1F2937"/>
          <w:sz w:val="22"/>
          <w:szCs w:val="22"/>
        </w:rPr>
        <w:t xml:space="preserve">Premières obligations AI Act en vigueur (pratiques interdites, codes de pratique GPAI)</w:t>
      </w:r>
    </w:p>
    <w:p>
      <w:pPr>
        <w:pStyle w:val="ListParagraph"/>
        <w:numPr>
          <w:ilvl w:val="0"/>
          <w:numId w:val="1"/>
        </w:numPr>
        <w:spacing w:after="60"/>
      </w:pPr>
      <w:r>
        <w:rPr>
          <w:rFonts w:ascii="Calibri" w:cs="Calibri" w:eastAsia="Calibri" w:hAnsi="Calibri"/>
          <w:b/>
          <w:bCs/>
          <w:color w:val="1B3A6B"/>
          <w:sz w:val="22"/>
          <w:szCs w:val="22"/>
        </w:rPr>
        <w:t xml:space="preserve">⚠️ PROCHE 2 décembre 2026 : </w:t>
      </w:r>
      <w:r>
        <w:rPr>
          <w:rFonts w:ascii="Calibri" w:cs="Calibri" w:eastAsia="Calibri" w:hAnsi="Calibri"/>
          <w:color w:val="1F2937"/>
          <w:sz w:val="22"/>
          <w:szCs w:val="22"/>
        </w:rPr>
        <w:t xml:space="preserve">Marquage contenu synthétique (Article 50) — systèmes déjà sur marché avant août 2026 ; interdiction nudifiers/CSAM</w:t>
      </w:r>
    </w:p>
    <w:p>
      <w:pPr>
        <w:pStyle w:val="ListParagraph"/>
        <w:numPr>
          <w:ilvl w:val="0"/>
          <w:numId w:val="1"/>
        </w:numPr>
        <w:spacing w:after="60"/>
      </w:pPr>
      <w:r>
        <w:rPr>
          <w:rFonts w:ascii="Calibri" w:cs="Calibri" w:eastAsia="Calibri" w:hAnsi="Calibri"/>
          <w:b/>
          <w:bCs/>
          <w:color w:val="1B3A6B"/>
          <w:sz w:val="22"/>
          <w:szCs w:val="22"/>
        </w:rPr>
        <w:t xml:space="preserve">📌 2 août 2027 : </w:t>
      </w:r>
      <w:r>
        <w:rPr>
          <w:rFonts w:ascii="Calibri" w:cs="Calibri" w:eastAsia="Calibri" w:hAnsi="Calibri"/>
          <w:color w:val="1F2937"/>
          <w:sz w:val="22"/>
          <w:szCs w:val="22"/>
        </w:rPr>
        <w:t xml:space="preserve">Mise en place des sandboxes réglementaires nationales (report de 1 an)</w:t>
      </w:r>
    </w:p>
    <w:p>
      <w:pPr>
        <w:pStyle w:val="ListParagraph"/>
        <w:numPr>
          <w:ilvl w:val="0"/>
          <w:numId w:val="1"/>
        </w:numPr>
        <w:spacing w:after="60"/>
      </w:pPr>
      <w:r>
        <w:rPr>
          <w:rFonts w:ascii="Calibri" w:cs="Calibri" w:eastAsia="Calibri" w:hAnsi="Calibri"/>
          <w:b/>
          <w:bCs/>
          <w:color w:val="1B3A6B"/>
          <w:sz w:val="22"/>
          <w:szCs w:val="22"/>
        </w:rPr>
        <w:t xml:space="preserve">📌 2 décembre 2027 : </w:t>
      </w:r>
      <w:r>
        <w:rPr>
          <w:rFonts w:ascii="Calibri" w:cs="Calibri" w:eastAsia="Calibri" w:hAnsi="Calibri"/>
          <w:color w:val="1F2937"/>
          <w:sz w:val="22"/>
          <w:szCs w:val="22"/>
        </w:rPr>
        <w:t xml:space="preserve">Systèmes IA à haut risque Annexe III (standalone, ex. recrutement, éducation, soins) — report de 16 mois</w:t>
      </w:r>
    </w:p>
    <w:p>
      <w:pPr>
        <w:pStyle w:val="ListParagraph"/>
        <w:numPr>
          <w:ilvl w:val="0"/>
          <w:numId w:val="1"/>
        </w:numPr>
        <w:spacing w:after="60"/>
      </w:pPr>
      <w:r>
        <w:rPr>
          <w:rFonts w:ascii="Calibri" w:cs="Calibri" w:eastAsia="Calibri" w:hAnsi="Calibri"/>
          <w:b/>
          <w:bCs/>
          <w:color w:val="1B3A6B"/>
          <w:sz w:val="22"/>
          <w:szCs w:val="22"/>
        </w:rPr>
        <w:t xml:space="preserve">📌 2 août 2028 : </w:t>
      </w:r>
      <w:r>
        <w:rPr>
          <w:rFonts w:ascii="Calibri" w:cs="Calibri" w:eastAsia="Calibri" w:hAnsi="Calibri"/>
          <w:color w:val="1F2937"/>
          <w:sz w:val="22"/>
          <w:szCs w:val="22"/>
        </w:rPr>
        <w:t xml:space="preserve">Systèmes IA à haut risque Annexe I (produits réglementés : DM, jouets, machines)</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color w:val="1F2937"/>
          <w:sz w:val="22"/>
          <w:szCs w:val="22"/>
        </w:rPr>
        <w:t xml:space="preserve">Commission européenne — Digital Strategy ✅</w:t>
      </w:r>
    </w:p>
    <w:p>
      <w:pPr>
        <w:pStyle w:val="ListParagraph"/>
        <w:numPr>
          <w:ilvl w:val="0"/>
          <w:numId w:val="1"/>
        </w:numPr>
        <w:spacing w:after="40"/>
      </w:pPr>
      <w:hyperlink w:history="1" r:id="rId9zhrtmek0zhuivywphlmc">
        <w:r>
          <w:rPr>
            <w:rFonts w:ascii="Calibri" w:cs="Calibri" w:eastAsia="Calibri" w:hAnsi="Calibri"/>
            <w:color w:val="1155CC"/>
            <w:sz w:val="22"/>
            <w:szCs w:val="22"/>
            <w:u w:val="single"/>
          </w:rPr>
          <w:t xml:space="preserve">Commission selects EUROPA consortium as winner of the Frontier AI Grand Challenge</w:t>
        </w:r>
      </w:hyperlink>
      <w:r>
        <w:rPr>
          <w:rFonts w:ascii="Calibri" w:cs="Calibri" w:eastAsia="Calibri" w:hAnsi="Calibri"/>
          <w:i/>
          <w:iCs/>
          <w:color w:val="6B7280"/>
          <w:sz w:val="20"/>
          <w:szCs w:val="20"/>
        </w:rPr>
        <w:t xml:space="preserve"> (19 juin 2026)</w:t>
      </w:r>
    </w:p>
    <w:p>
      <w:pPr>
        <w:spacing w:after="80"/>
        <w:ind w:left="360"/>
      </w:pPr>
      <w:r>
        <w:rPr>
          <w:rFonts w:ascii="Calibri" w:cs="Calibri" w:eastAsia="Calibri" w:hAnsi="Calibri"/>
          <w:color w:val="374151"/>
          <w:sz w:val="20"/>
          <w:szCs w:val="20"/>
        </w:rPr>
        <w:t xml:space="preserve">La Commission désigne le consortium EUROPA pour développer un modèle d'IA frontier open-source couvrant les 24 langues officielles de l'UE. Objectif : renforcer l'autonomie technologique européenne.</w:t>
      </w:r>
    </w:p>
    <w:p>
      <w:pPr>
        <w:pStyle w:val="ListParagraph"/>
        <w:numPr>
          <w:ilvl w:val="0"/>
          <w:numId w:val="1"/>
        </w:numPr>
        <w:spacing w:after="40"/>
      </w:pPr>
      <w:hyperlink w:history="1" r:id="rIdgmezejwk_m3oekjoldlsd">
        <w:r>
          <w:rPr>
            <w:rFonts w:ascii="Calibri" w:cs="Calibri" w:eastAsia="Calibri" w:hAnsi="Calibri"/>
            <w:color w:val="1155CC"/>
            <w:sz w:val="22"/>
            <w:szCs w:val="22"/>
            <w:u w:val="single"/>
          </w:rPr>
          <w:t xml:space="preserve">Commission publishes Code of Practice on marking and labelling AI-generated content</w:t>
        </w:r>
      </w:hyperlink>
      <w:r>
        <w:rPr>
          <w:rFonts w:ascii="Calibri" w:cs="Calibri" w:eastAsia="Calibri" w:hAnsi="Calibri"/>
          <w:i/>
          <w:iCs/>
          <w:color w:val="6B7280"/>
          <w:sz w:val="20"/>
          <w:szCs w:val="20"/>
        </w:rPr>
        <w:t xml:space="preserve"> (10 juin 2026)</w:t>
      </w:r>
    </w:p>
    <w:p>
      <w:pPr>
        <w:spacing w:after="80"/>
        <w:ind w:left="360"/>
      </w:pPr>
      <w:r>
        <w:rPr>
          <w:rFonts w:ascii="Calibri" w:cs="Calibri" w:eastAsia="Calibri" w:hAnsi="Calibri"/>
          <w:color w:val="374151"/>
          <w:sz w:val="20"/>
          <w:szCs w:val="20"/>
        </w:rPr>
        <w:t xml:space="preserve">Code de pratique volontaire pour aider les fournisseurs d'IA générative à se conformer aux obligations de transparence de l'AI Act (Article 50) : identification deepfakes et contenu généré par IA.</w:t>
      </w:r>
    </w:p>
    <w:p>
      <w:pPr>
        <w:spacing w:after="80"/>
      </w:pPr>
      <w:r>
        <w:rPr>
          <w:rFonts w:ascii="Calibri" w:cs="Calibri" w:eastAsia="Calibri" w:hAnsi="Calibri"/>
          <w:color w:val="1F2937"/>
          <w:sz w:val="22"/>
          <w:szCs w:val="22"/>
        </w:rPr>
        <w:t xml:space="preserve">Conseil de l'UE ⛔ (403) — WebSearch fallback ✅</w:t>
      </w:r>
    </w:p>
    <w:p>
      <w:pPr>
        <w:pStyle w:val="ListParagraph"/>
        <w:numPr>
          <w:ilvl w:val="0"/>
          <w:numId w:val="1"/>
        </w:numPr>
        <w:spacing w:after="40"/>
      </w:pPr>
      <w:hyperlink w:history="1" r:id="rIdwrwnwqx9ywdezvbkt4qdp">
        <w:r>
          <w:rPr>
            <w:rFonts w:ascii="Calibri" w:cs="Calibri" w:eastAsia="Calibri" w:hAnsi="Calibri"/>
            <w:color w:val="1155CC"/>
            <w:sz w:val="22"/>
            <w:szCs w:val="22"/>
            <w:u w:val="single"/>
          </w:rPr>
          <w:t xml:space="preserve">Digital Omnibus on AI — adoption formelle Conseil attendue le 29 juin 2026</w:t>
        </w:r>
      </w:hyperlink>
      <w:r>
        <w:rPr>
          <w:rFonts w:ascii="Calibri" w:cs="Calibri" w:eastAsia="Calibri" w:hAnsi="Calibri"/>
          <w:i/>
          <w:iCs/>
          <w:color w:val="6B7280"/>
          <w:sz w:val="20"/>
          <w:szCs w:val="20"/>
        </w:rPr>
        <w:t xml:space="preserve"> (16 juin / 29 juin 2026)</w:t>
      </w:r>
    </w:p>
    <w:p>
      <w:pPr>
        <w:spacing w:after="80"/>
        <w:ind w:left="360"/>
      </w:pPr>
      <w:r>
        <w:rPr>
          <w:rFonts w:ascii="Calibri" w:cs="Calibri" w:eastAsia="Calibri" w:hAnsi="Calibri"/>
          <w:color w:val="374151"/>
          <w:sz w:val="20"/>
          <w:szCs w:val="20"/>
        </w:rPr>
        <w:t xml:space="preserve">Le Parlement européen a approuvé le Digital Omnibus le 16 juin 2026. L'adoption formelle par le Conseil est attendue le 29 juin 2026, avant publication au Journal officiel. Ce texte modifie l'AI Act et reporte les délais de conformité.</w:t>
      </w:r>
    </w:p>
    <w:p>
      <w:pPr>
        <w:spacing w:after="80"/>
      </w:pPr>
      <w:r>
        <w:rPr>
          <w:rFonts w:ascii="Calibri" w:cs="Calibri" w:eastAsia="Calibri" w:hAnsi="Calibri"/>
          <w:color w:val="1F2937"/>
          <w:sz w:val="22"/>
          <w:szCs w:val="22"/>
        </w:rPr>
        <w:t xml:space="preserve">AI Act Service Desk — Timeline ✅ (contenu statique, mis à jour post-Omnibus)</w:t>
      </w:r>
    </w:p>
    <w:p>
      <w:pPr>
        <w:spacing w:after="80"/>
      </w:pPr>
      <w:r>
        <w:rPr>
          <w:rFonts w:ascii="Calibri" w:cs="Calibri" w:eastAsia="Calibri" w:hAnsi="Calibri"/>
          <w:color w:val="1F2937"/>
          <w:sz w:val="22"/>
          <w:szCs w:val="22"/>
        </w:rPr>
        <w:t xml:space="preserve">Timeline officielle mise à jour : </w:t>
      </w:r>
      <w:hyperlink w:history="1" r:id="rIdszzdjluohvzdb5x17xsbm">
        <w:r>
          <w:rPr>
            <w:rFonts w:ascii="Calibri" w:cs="Calibri" w:eastAsia="Calibri" w:hAnsi="Calibri"/>
            <w:color w:val="1155CC"/>
            <w:sz w:val="22"/>
            <w:szCs w:val="22"/>
            <w:u w:val="single"/>
          </w:rPr>
          <w:t xml:space="preserve">ai-act-service-desk.ec.europa.eu</w:t>
        </w:r>
      </w:hyperlink>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color w:val="1F2937"/>
          <w:sz w:val="22"/>
          <w:szCs w:val="22"/>
        </w:rPr>
        <w:t xml:space="preserve">Future of Life Institute — artificialintelligenceact.eu ⛔ (JS) — WebSearch fallback ✅</w:t>
      </w:r>
    </w:p>
    <w:p>
      <w:pPr>
        <w:pStyle w:val="ListParagraph"/>
        <w:numPr>
          <w:ilvl w:val="0"/>
          <w:numId w:val="1"/>
        </w:numPr>
        <w:spacing w:after="40"/>
      </w:pPr>
      <w:hyperlink w:history="1" r:id="rIdpj2wkiaprtnbaa5g8is-a">
        <w:r>
          <w:rPr>
            <w:rFonts w:ascii="Calibri" w:cs="Calibri" w:eastAsia="Calibri" w:hAnsi="Calibri"/>
            <w:color w:val="1155CC"/>
            <w:sz w:val="22"/>
            <w:szCs w:val="22"/>
            <w:u w:val="single"/>
          </w:rPr>
          <w:t xml:space="preserve">Overview of all AI Act National Implementation Plans</w:t>
        </w:r>
      </w:hyperlink>
      <w:r>
        <w:rPr>
          <w:rFonts w:ascii="Calibri" w:cs="Calibri" w:eastAsia="Calibri" w:hAnsi="Calibri"/>
          <w:i/>
          <w:iCs/>
          <w:color w:val="6B7280"/>
          <w:sz w:val="20"/>
          <w:szCs w:val="20"/>
        </w:rPr>
        <w:t xml:space="preserve"> (Juin 2026)</w:t>
      </w:r>
    </w:p>
    <w:p>
      <w:pPr>
        <w:spacing w:after="80"/>
        <w:ind w:left="360"/>
      </w:pPr>
      <w:r>
        <w:rPr>
          <w:rFonts w:ascii="Calibri" w:cs="Calibri" w:eastAsia="Calibri" w:hAnsi="Calibri"/>
          <w:color w:val="374151"/>
          <w:sz w:val="20"/>
          <w:szCs w:val="20"/>
        </w:rPr>
        <w:t xml:space="preserve">Au 21 juin 2026, seulement 9 États membres sur 27 ont désigné à la fois une autorité de surveillance du marché ET une autorité de notification. La majorité n'a pas respecté le délai du 2 août 2025.</w:t>
      </w:r>
    </w:p>
    <w:p>
      <w:pPr>
        <w:pStyle w:val="ListParagraph"/>
        <w:numPr>
          <w:ilvl w:val="0"/>
          <w:numId w:val="1"/>
        </w:numPr>
        <w:spacing w:after="40"/>
      </w:pPr>
      <w:hyperlink w:history="1" r:id="rId331jjpf9-qxkw32vftfh1">
        <w:r>
          <w:rPr>
            <w:rFonts w:ascii="Calibri" w:cs="Calibri" w:eastAsia="Calibri" w:hAnsi="Calibri"/>
            <w:color w:val="1155CC"/>
            <w:sz w:val="22"/>
            <w:szCs w:val="22"/>
            <w:u w:val="single"/>
          </w:rPr>
          <w:t xml:space="preserve">Digital Omnibus on AI — EU Parliament Votes, Deadlines Redrawn</w:t>
        </w:r>
      </w:hyperlink>
      <w:r>
        <w:rPr>
          <w:rFonts w:ascii="Calibri" w:cs="Calibri" w:eastAsia="Calibri" w:hAnsi="Calibri"/>
          <w:i/>
          <w:iCs/>
          <w:color w:val="6B7280"/>
          <w:sz w:val="20"/>
          <w:szCs w:val="20"/>
        </w:rPr>
        <w:t xml:space="preserve"> (16 juin 2026)</w:t>
      </w:r>
    </w:p>
    <w:p>
      <w:pPr>
        <w:spacing w:after="80"/>
        <w:ind w:left="360"/>
      </w:pPr>
      <w:r>
        <w:rPr>
          <w:rFonts w:ascii="Calibri" w:cs="Calibri" w:eastAsia="Calibri" w:hAnsi="Calibri"/>
          <w:color w:val="374151"/>
          <w:sz w:val="20"/>
          <w:szCs w:val="20"/>
        </w:rPr>
        <w:t xml:space="preserve">Analyse des reports majeurs de l'AI Act acté par le vote du 16 juin. Impacts concrets pour les organisations devant se conformer avant août 2026 : les délais pour les HRAIS Annexe III sont repoussés au 2 décembre 2027.</w:t>
      </w:r>
    </w:p>
    <w:p>
      <w:pPr>
        <w:spacing w:after="80"/>
      </w:pPr>
      <w:r>
        <w:rPr>
          <w:rFonts w:ascii="Calibri" w:cs="Calibri" w:eastAsia="Calibri" w:hAnsi="Calibri"/>
          <w:color w:val="1F2937"/>
          <w:sz w:val="22"/>
          <w:szCs w:val="22"/>
        </w:rPr>
        <w:t xml:space="preserve">IAPP — iapp.org/news ✅</w:t>
      </w:r>
    </w:p>
    <w:p>
      <w:pPr>
        <w:pStyle w:val="ListParagraph"/>
        <w:numPr>
          <w:ilvl w:val="0"/>
          <w:numId w:val="1"/>
        </w:numPr>
        <w:spacing w:after="40"/>
      </w:pPr>
      <w:hyperlink w:history="1" r:id="rId4ywe6qi9ep3cebjct1_tp">
        <w:r>
          <w:rPr>
            <w:rFonts w:ascii="Calibri" w:cs="Calibri" w:eastAsia="Calibri" w:hAnsi="Calibri"/>
            <w:color w:val="1155CC"/>
            <w:sz w:val="22"/>
            <w:szCs w:val="22"/>
            <w:u w:val="single"/>
          </w:rPr>
          <w:t xml:space="preserve">Notes from the IAPP Europe: Children's protection, simplification and GDPR developments</w:t>
        </w:r>
      </w:hyperlink>
      <w:r>
        <w:rPr>
          <w:rFonts w:ascii="Calibri" w:cs="Calibri" w:eastAsia="Calibri" w:hAnsi="Calibri"/>
          <w:i/>
          <w:iCs/>
          <w:color w:val="6B7280"/>
          <w:sz w:val="20"/>
          <w:szCs w:val="20"/>
        </w:rPr>
        <w:t xml:space="preserve"> (25 juin 2026)</w:t>
      </w:r>
    </w:p>
    <w:p>
      <w:pPr>
        <w:spacing w:after="80"/>
        <w:ind w:left="360"/>
      </w:pPr>
      <w:r>
        <w:rPr>
          <w:rFonts w:ascii="Calibri" w:cs="Calibri" w:eastAsia="Calibri" w:hAnsi="Calibri"/>
          <w:color w:val="374151"/>
          <w:sz w:val="20"/>
          <w:szCs w:val="20"/>
        </w:rPr>
        <w:t xml:space="preserve">Le Digital Omnibus intègre une interdiction explicite des systèmes IA générant du contenu sexuel non consenti (nudifiers/CSAM), applicable dès le 2 décembre 2026. Simplifications pour les PME et avancement RGPD également couverts.</w:t>
      </w:r>
    </w:p>
    <w:p>
      <w:pPr>
        <w:pStyle w:val="ListParagraph"/>
        <w:numPr>
          <w:ilvl w:val="0"/>
          <w:numId w:val="1"/>
        </w:numPr>
        <w:spacing w:after="40"/>
      </w:pPr>
      <w:hyperlink w:history="1" r:id="rIdirwdzj_8stij_hi_xo1va">
        <w:r>
          <w:rPr>
            <w:rFonts w:ascii="Calibri" w:cs="Calibri" w:eastAsia="Calibri" w:hAnsi="Calibri"/>
            <w:color w:val="1155CC"/>
            <w:sz w:val="22"/>
            <w:szCs w:val="22"/>
            <w:u w:val="single"/>
          </w:rPr>
          <w:t xml:space="preserve">GDPR EU representative enforcement continues</w:t>
        </w:r>
      </w:hyperlink>
      <w:r>
        <w:rPr>
          <w:rFonts w:ascii="Calibri" w:cs="Calibri" w:eastAsia="Calibri" w:hAnsi="Calibri"/>
          <w:i/>
          <w:iCs/>
          <w:color w:val="6B7280"/>
          <w:sz w:val="20"/>
          <w:szCs w:val="20"/>
        </w:rPr>
        <w:t xml:space="preserve"> (25 juin 2026)</w:t>
      </w:r>
    </w:p>
    <w:p>
      <w:pPr>
        <w:spacing w:after="80"/>
        <w:ind w:left="360"/>
      </w:pPr>
      <w:r>
        <w:rPr>
          <w:rFonts w:ascii="Calibri" w:cs="Calibri" w:eastAsia="Calibri" w:hAnsi="Calibri"/>
          <w:color w:val="374151"/>
          <w:sz w:val="20"/>
          <w:szCs w:val="20"/>
        </w:rPr>
        <w:t xml:space="preserve">Intensification des contrôles RGPD sur les entreprises non-européennes sans représentant désigné dans l'UE. Illustre la convergence réglementaire AI Act / RGPD.</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Perspective française — CNIL / RGPD</w:t>
      </w:r>
    </w:p>
    <w:p>
      <w:pPr>
        <w:spacing w:after="80"/>
      </w:pPr>
      <w:r>
        <w:rPr>
          <w:rFonts w:ascii="Calibri" w:cs="Calibri" w:eastAsia="Calibri" w:hAnsi="Calibri"/>
          <w:color w:val="1F2937"/>
          <w:sz w:val="22"/>
          <w:szCs w:val="22"/>
        </w:rPr>
        <w:t xml:space="preserve">CNIL — cnil.fr/fr/intelligence-artificielle ✅</w:t>
      </w:r>
    </w:p>
    <w:p>
      <w:pPr>
        <w:pStyle w:val="ListParagraph"/>
        <w:numPr>
          <w:ilvl w:val="0"/>
          <w:numId w:val="1"/>
        </w:numPr>
        <w:spacing w:after="40"/>
      </w:pPr>
      <w:hyperlink w:history="1" r:id="rIdzpymrid3wucupql39rn4a">
        <w:r>
          <w:rPr>
            <w:rFonts w:ascii="Calibri" w:cs="Calibri" w:eastAsia="Calibri" w:hAnsi="Calibri"/>
            <w:color w:val="1155CC"/>
            <w:sz w:val="22"/>
            <w:szCs w:val="22"/>
            <w:u w:val="single"/>
          </w:rPr>
          <w:t xml:space="preserve">Prix CNIL/EHESS 2026 — Étude sur la perception citoyenne du règlement IA</w:t>
        </w:r>
      </w:hyperlink>
      <w:r>
        <w:rPr>
          <w:rFonts w:ascii="Calibri" w:cs="Calibri" w:eastAsia="Calibri" w:hAnsi="Calibri"/>
          <w:i/>
          <w:iCs/>
          <w:color w:val="6B7280"/>
          <w:sz w:val="20"/>
          <w:szCs w:val="20"/>
        </w:rPr>
        <w:t xml:space="preserve"> (24 juin 2026)</w:t>
      </w:r>
    </w:p>
    <w:p>
      <w:pPr>
        <w:spacing w:after="80"/>
        <w:ind w:left="360"/>
      </w:pPr>
      <w:r>
        <w:rPr>
          <w:rFonts w:ascii="Calibri" w:cs="Calibri" w:eastAsia="Calibri" w:hAnsi="Calibri"/>
          <w:color w:val="374151"/>
          <w:sz w:val="20"/>
          <w:szCs w:val="20"/>
        </w:rPr>
        <w:t xml:space="preserve">Gabriel Lima et al. ont remporté le prix pour une étude révélant que les citoyens européens perçoivent tous les systèmes IA comme présentant un risque modéré, quel que soit le niveau de risque réel catégorisé par l'AI Act. Ce décalage pose un défi de communication réglementaire majeur.</w:t>
      </w:r>
    </w:p>
    <w:p>
      <w:pPr>
        <w:spacing w:after="80"/>
      </w:pPr>
      <w:r>
        <w:rPr>
          <w:rFonts w:ascii="Calibri" w:cs="Calibri" w:eastAsia="Calibri" w:hAnsi="Calibri"/>
          <w:color w:val="1F2937"/>
          <w:sz w:val="22"/>
          <w:szCs w:val="22"/>
        </w:rPr>
        <w:t xml:space="preserve">Note : La CNIL est désignée autorité de surveillance du marché pour les systèmes IA à haut risque relevant de la biométrie et de l'emploi (en attente de transposition formelle).</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Impacts pour les ESSMS — Points de vigilance</w:t>
      </w:r>
    </w:p>
    <w:p>
      <w:pPr>
        <w:pStyle w:val="ListParagraph"/>
        <w:numPr>
          <w:ilvl w:val="0"/>
          <w:numId w:val="1"/>
        </w:numPr>
        <w:spacing w:after="60"/>
      </w:pPr>
      <w:r>
        <w:rPr>
          <w:rFonts w:ascii="Calibri" w:cs="Calibri" w:eastAsia="Calibri" w:hAnsi="Calibri"/>
          <w:color w:val="1F2937"/>
          <w:sz w:val="22"/>
          <w:szCs w:val="22"/>
        </w:rPr>
        <w:t xml:space="preserve">📋 Systèmes d'aide à la décision (DUI, AGEVAL, outils prédictifs) : si ces outils influencent la prise en charge des personnes, ils peuvent relever des systèmes à haut risque (Annexe III, catégorie "services essentiels"). Le report au 2 décembre 2027 laisse du temps, mais l'inventaire doit commencer maintenant.</w:t>
      </w:r>
    </w:p>
    <w:p>
      <w:pPr>
        <w:pStyle w:val="ListParagraph"/>
        <w:numPr>
          <w:ilvl w:val="0"/>
          <w:numId w:val="1"/>
        </w:numPr>
        <w:spacing w:after="60"/>
      </w:pPr>
      <w:r>
        <w:rPr>
          <w:rFonts w:ascii="Calibri" w:cs="Calibri" w:eastAsia="Calibri" w:hAnsi="Calibri"/>
          <w:color w:val="1F2937"/>
          <w:sz w:val="22"/>
          <w:szCs w:val="22"/>
        </w:rPr>
        <w:t xml:space="preserve">🔍 Transparence obligatoire : toute interaction d'un professionnel ou d'une personne accompagnée avec un système IA doit faire l'objet d'une information (Article 50). Prévoir clause dans le contrat de séjour / projet personnalisé.</w:t>
      </w:r>
    </w:p>
    <w:p>
      <w:pPr>
        <w:pStyle w:val="ListParagraph"/>
        <w:numPr>
          <w:ilvl w:val="0"/>
          <w:numId w:val="1"/>
        </w:numPr>
        <w:spacing w:after="60"/>
      </w:pPr>
      <w:r>
        <w:rPr>
          <w:rFonts w:ascii="Calibri" w:cs="Calibri" w:eastAsia="Calibri" w:hAnsi="Calibri"/>
          <w:color w:val="1F2937"/>
          <w:sz w:val="22"/>
          <w:szCs w:val="22"/>
        </w:rPr>
        <w:t xml:space="preserve">👥 Formation des équipes : l'AI Act impose une "littératie IA" suffisante pour les professionnels utilisant des outils IA. À intégrer dans le plan de formation 2026-2027 (DPC, plan établissement).</w:t>
      </w:r>
    </w:p>
    <w:p>
      <w:pPr>
        <w:pStyle w:val="ListParagraph"/>
        <w:numPr>
          <w:ilvl w:val="0"/>
          <w:numId w:val="1"/>
        </w:numPr>
        <w:spacing w:after="60"/>
      </w:pPr>
      <w:r>
        <w:rPr>
          <w:rFonts w:ascii="Calibri" w:cs="Calibri" w:eastAsia="Calibri" w:hAnsi="Calibri"/>
          <w:color w:val="1F2937"/>
          <w:sz w:val="22"/>
          <w:szCs w:val="22"/>
        </w:rPr>
        <w:t xml:space="preserve">🔒 Articulation RGPD / AI Act : les données des personnes accompagnées (vulnérables) sont soumises aux deux régimes. La CNIL accompagne cette convergence — se référer aux lignes directrices CNIL IA générative pour le secteur santé/médico-social.</w:t>
      </w:r>
    </w:p>
    <w:p>
      <w:pPr>
        <w:pStyle w:val="ListParagraph"/>
        <w:numPr>
          <w:ilvl w:val="0"/>
          <w:numId w:val="1"/>
        </w:numPr>
        <w:spacing w:after="60"/>
      </w:pPr>
      <w:r>
        <w:rPr>
          <w:rFonts w:ascii="Calibri" w:cs="Calibri" w:eastAsia="Calibri" w:hAnsi="Calibri"/>
          <w:color w:val="1F2937"/>
          <w:sz w:val="22"/>
          <w:szCs w:val="22"/>
        </w:rPr>
        <w:t xml:space="preserve">🚫 Outils IA à proscrire dès août 2026 : systèmes de scoring social, notation comportementale, profilage à des fins de manipulation. Vérifier les outils numériques déployés dans l'établissement.</w:t>
      </w:r>
    </w:p>
    <w:p>
      <w:pPr>
        <w:pStyle w:val="ListParagraph"/>
        <w:numPr>
          <w:ilvl w:val="0"/>
          <w:numId w:val="1"/>
        </w:numPr>
        <w:spacing w:after="60"/>
      </w:pPr>
      <w:r>
        <w:rPr>
          <w:rFonts w:ascii="Calibri" w:cs="Calibri" w:eastAsia="Calibri" w:hAnsi="Calibri"/>
          <w:color w:val="1F2937"/>
          <w:sz w:val="22"/>
          <w:szCs w:val="22"/>
        </w:rPr>
        <w:t xml:space="preserve">📊 SERAFIN-PH 2027 : la bascule vers la tarification à l'activité impliquera probablement des outils d'analyse de données. Anticiper leur qualification au regard de l'AI Act (haut risque ou non).</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Sources consultées</w:t>
      </w:r>
    </w:p>
    <w:p>
      <w:pPr>
        <w:pStyle w:val="ListParagraph"/>
        <w:numPr>
          <w:ilvl w:val="0"/>
          <w:numId w:val="1"/>
        </w:numPr>
        <w:spacing w:after="60"/>
      </w:pPr>
      <w:hyperlink w:history="1" r:id="rIdhzfgtqbkmgvec--ccxy__">
        <w:r>
          <w:rPr>
            <w:rFonts w:ascii="Calibri" w:cs="Calibri" w:eastAsia="Calibri" w:hAnsi="Calibri"/>
            <w:color w:val="1155CC"/>
            <w:sz w:val="22"/>
            <w:szCs w:val="22"/>
            <w:u w:val="single"/>
          </w:rPr>
          <w:t xml:space="preserve">✅ Commission européenne — Digital Strategy (regulatory-framework-ai)</w:t>
        </w:r>
      </w:hyperlink>
    </w:p>
    <w:p>
      <w:pPr>
        <w:pStyle w:val="ListParagraph"/>
        <w:numPr>
          <w:ilvl w:val="0"/>
          <w:numId w:val="1"/>
        </w:numPr>
        <w:spacing w:after="60"/>
      </w:pPr>
      <w:hyperlink w:history="1" r:id="rIdgb675nd90vzv--uthaery">
        <w:r>
          <w:rPr>
            <w:rFonts w:ascii="Calibri" w:cs="Calibri" w:eastAsia="Calibri" w:hAnsi="Calibri"/>
            <w:color w:val="1155CC"/>
            <w:sz w:val="22"/>
            <w:szCs w:val="22"/>
            <w:u w:val="single"/>
          </w:rPr>
          <w:t xml:space="preserve">✅ AI Act Service Desk — Timeline officielle</w:t>
        </w:r>
      </w:hyperlink>
    </w:p>
    <w:p>
      <w:pPr>
        <w:pStyle w:val="ListParagraph"/>
        <w:numPr>
          <w:ilvl w:val="0"/>
          <w:numId w:val="1"/>
        </w:numPr>
        <w:spacing w:after="60"/>
      </w:pPr>
      <w:hyperlink w:history="1" r:id="rIdesgt3elvqtfxyx3tnfnp0">
        <w:r>
          <w:rPr>
            <w:rFonts w:ascii="Calibri" w:cs="Calibri" w:eastAsia="Calibri" w:hAnsi="Calibri"/>
            <w:color w:val="1155CC"/>
            <w:sz w:val="22"/>
            <w:szCs w:val="22"/>
            <w:u w:val="single"/>
          </w:rPr>
          <w:t xml:space="preserve">⛔ Conseil de l'UE — Communiqués (403) → WebSearch fallback</w:t>
        </w:r>
      </w:hyperlink>
    </w:p>
    <w:p>
      <w:pPr>
        <w:pStyle w:val="ListParagraph"/>
        <w:numPr>
          <w:ilvl w:val="0"/>
          <w:numId w:val="1"/>
        </w:numPr>
        <w:spacing w:after="60"/>
      </w:pPr>
      <w:hyperlink w:history="1" r:id="rIdbwkjh74r_xwqpf8pbvdsj">
        <w:r>
          <w:rPr>
            <w:rFonts w:ascii="Calibri" w:cs="Calibri" w:eastAsia="Calibri" w:hAnsi="Calibri"/>
            <w:color w:val="1155CC"/>
            <w:sz w:val="22"/>
            <w:szCs w:val="22"/>
            <w:u w:val="single"/>
          </w:rPr>
          <w:t xml:space="preserve">⛔ artificialintelligenceact.eu (JS) → WebSearch fallback</w:t>
        </w:r>
      </w:hyperlink>
    </w:p>
    <w:p>
      <w:pPr>
        <w:pStyle w:val="ListParagraph"/>
        <w:numPr>
          <w:ilvl w:val="0"/>
          <w:numId w:val="1"/>
        </w:numPr>
        <w:spacing w:after="60"/>
      </w:pPr>
      <w:hyperlink w:history="1" r:id="rId5q_qfzpwxvwfsuifetbkd">
        <w:r>
          <w:rPr>
            <w:rFonts w:ascii="Calibri" w:cs="Calibri" w:eastAsia="Calibri" w:hAnsi="Calibri"/>
            <w:color w:val="1155CC"/>
            <w:sz w:val="22"/>
            <w:szCs w:val="22"/>
            <w:u w:val="single"/>
          </w:rPr>
          <w:t xml:space="preserve">⛔ artificialintelligenceact.eu/implementation-timeline (JS) → WebSearch fallback</w:t>
        </w:r>
      </w:hyperlink>
    </w:p>
    <w:p>
      <w:pPr>
        <w:pStyle w:val="ListParagraph"/>
        <w:numPr>
          <w:ilvl w:val="0"/>
          <w:numId w:val="1"/>
        </w:numPr>
        <w:spacing w:after="60"/>
      </w:pPr>
      <w:hyperlink w:history="1" r:id="rIdlxz-luamurq1smdcmzwrm">
        <w:r>
          <w:rPr>
            <w:rFonts w:ascii="Calibri" w:cs="Calibri" w:eastAsia="Calibri" w:hAnsi="Calibri"/>
            <w:color w:val="1155CC"/>
            <w:sz w:val="22"/>
            <w:szCs w:val="22"/>
            <w:u w:val="single"/>
          </w:rPr>
          <w:t xml:space="preserve">✅ IAPP — iapp.org/news</w:t>
        </w:r>
      </w:hyperlink>
    </w:p>
    <w:p>
      <w:pPr>
        <w:pStyle w:val="ListParagraph"/>
        <w:numPr>
          <w:ilvl w:val="0"/>
          <w:numId w:val="1"/>
        </w:numPr>
        <w:spacing w:after="60"/>
      </w:pPr>
      <w:hyperlink w:history="1" r:id="rIdlu9zoppfto0co_hno76kp">
        <w:r>
          <w:rPr>
            <w:rFonts w:ascii="Calibri" w:cs="Calibri" w:eastAsia="Calibri" w:hAnsi="Calibri"/>
            <w:color w:val="1155CC"/>
            <w:sz w:val="22"/>
            <w:szCs w:val="22"/>
            <w:u w:val="single"/>
          </w:rPr>
          <w:t xml:space="preserve">✅ CNIL — intelligence artificielle</w:t>
        </w:r>
      </w:hyperlink>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60"/>
      </w:pPr>
      <w:r>
        <w:rPr>
          <w:rFonts w:ascii="Calibri" w:cs="Calibri" w:eastAsia="Calibri" w:hAnsi="Calibri"/>
          <w:color w:val="1F2937"/>
          <w:sz w:val="22"/>
          <w:szCs w:val="22"/>
        </w:rPr>
        <w:t xml:space="preserve">⭐ 29 juin 2026 : adoption formelle du Digital Omnibus par le Conseil de l'UE → publication au Journal officiel → la date officielle d'entrée en vigueur des reports sera connue</w:t>
      </w:r>
    </w:p>
    <w:p>
      <w:pPr>
        <w:pStyle w:val="ListParagraph"/>
        <w:numPr>
          <w:ilvl w:val="0"/>
          <w:numId w:val="1"/>
        </w:numPr>
        <w:spacing w:after="60"/>
      </w:pPr>
      <w:r>
        <w:rPr>
          <w:rFonts w:ascii="Calibri" w:cs="Calibri" w:eastAsia="Calibri" w:hAnsi="Calibri"/>
          <w:color w:val="1F2937"/>
          <w:sz w:val="22"/>
          <w:szCs w:val="22"/>
        </w:rPr>
        <w:t xml:space="preserve">Juillet 2026 : consultation publique sur les guidelines AI Office concernant la mise en œuvre de l'Article 50 (marquage contenu IA)</w:t>
      </w:r>
    </w:p>
    <w:p>
      <w:pPr>
        <w:pStyle w:val="ListParagraph"/>
        <w:numPr>
          <w:ilvl w:val="0"/>
          <w:numId w:val="1"/>
        </w:numPr>
        <w:spacing w:after="60"/>
      </w:pPr>
      <w:r>
        <w:rPr>
          <w:rFonts w:ascii="Calibri" w:cs="Calibri" w:eastAsia="Calibri" w:hAnsi="Calibri"/>
          <w:color w:val="1F2937"/>
          <w:sz w:val="22"/>
          <w:szCs w:val="22"/>
        </w:rPr>
        <w:t xml:space="preserve">Juillet 2026 : premiers retours des États membres sur les plans nationaux de mise en œuvre (9 seulement conformes à date)</w:t>
      </w:r>
    </w:p>
    <w:p>
      <w:pPr>
        <w:pStyle w:val="ListParagraph"/>
        <w:numPr>
          <w:ilvl w:val="0"/>
          <w:numId w:val="1"/>
        </w:numPr>
        <w:spacing w:after="60"/>
      </w:pPr>
      <w:r>
        <w:rPr>
          <w:rFonts w:ascii="Calibri" w:cs="Calibri" w:eastAsia="Calibri" w:hAnsi="Calibri"/>
          <w:color w:val="1F2937"/>
          <w:sz w:val="22"/>
          <w:szCs w:val="22"/>
        </w:rPr>
        <w:t xml:space="preserve">Août 2026 (horizon) : premières obligations AI Act applicables — pratiques IA interdites, codes de pratique GPAI</w:t>
      </w:r>
    </w:p>
    <w:p>
      <w:pPr>
        <w:pStyle w:val="ListParagraph"/>
        <w:numPr>
          <w:ilvl w:val="0"/>
          <w:numId w:val="1"/>
        </w:numPr>
        <w:spacing w:after="60"/>
      </w:pPr>
      <w:r>
        <w:rPr>
          <w:rFonts w:ascii="Calibri" w:cs="Calibri" w:eastAsia="Calibri" w:hAnsi="Calibri"/>
          <w:color w:val="1F2937"/>
          <w:sz w:val="22"/>
          <w:szCs w:val="22"/>
        </w:rPr>
        <w:t xml:space="preserve">SERAFIN-PH : surveiller les publications CNSA sur les outils d'évaluation des besoins (potentiellement concernés par la catégorie haut risque "services essentiels")</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b/>
          <w:bCs/>
          <w:color w:val="1F2937"/>
          <w:sz w:val="22"/>
          <w:szCs w:val="22"/>
        </w:rPr>
        <w:t xml:space="preserve">Décompte des sources corrigé le 12/09/2026, au cours d'un contrôle des 85 veilles du dépôt (outils/scripts/controle_decompte.py). Le contenu de la note est inchangé ; seuls les nombres annoncés ont été alignés sur la liste des sources qu'elle contient. Formulation d'origine conservée ici.</w:t>
      </w:r>
    </w:p>
    <w:p>
      <w:pPr>
        <w:spacing w:after="80"/>
      </w:pPr>
      <w:r>
        <w:rPr>
          <w:rFonts w:ascii="Calibri" w:cs="Calibri" w:eastAsia="Calibri" w:hAnsi="Calibri"/>
          <w:color w:val="1F2937"/>
          <w:sz w:val="22"/>
          <w:szCs w:val="22"/>
        </w:rPr>
        <w:t xml:space="preserve">Version initiale : « Sources accessibles : 5/7 ». La liste compte quatre ✅ (Commission, Service Desk, IAPP, CNIL) et trois ⛔ (Conseil 403, artificialintelligenceact.eu × 2 rendu JS). Même écart dans les éditions du 14/06 et du 21/06.</w:t>
      </w:r>
    </w:p>
    <w:p>
      <w:pPr>
        <w:spacing w:before="120"/>
        <w:jc w:val="center"/>
      </w:pPr>
      <w:r>
        <w:rPr>
          <w:rFonts w:ascii="Calibri" w:cs="Calibri" w:eastAsia="Calibri" w:hAnsi="Calibri"/>
          <w:i/>
          <w:iCs/>
          <w:color w:val="9CA3AF"/>
          <w:sz w:val="18"/>
          <w:szCs w:val="18"/>
        </w:rPr>
        <w:t xml:space="preserve">Veille produite le 28 juin 2026 — Claude_Travail · AI Act Watch ESSMS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zhrtmek0zhuivywphlmc" Type="http://schemas.openxmlformats.org/officeDocument/2006/relationships/hyperlink" Target="https://digital-strategy.ec.europa.eu/en/news/commission-selects-europa-consortium-winner-frontier-ai-grand-challenge-project-build-european-open" TargetMode="External"/><Relationship Id="rIdgmezejwk_m3oekjoldlsd" Type="http://schemas.openxmlformats.org/officeDocument/2006/relationships/hyperlink" Target="https://digital-strategy.ec.europa.eu/en/news/commission-publishes-code-practice-marking-and-labelling-ai-generated-content" TargetMode="External"/><Relationship Id="rIdwrwnwqx9ywdezvbkt4qdp" Type="http://schemas.openxmlformats.org/officeDocument/2006/relationships/hyperlink" Target="https://www.consilium.europa.eu/en/press/press-releases/2026/05/07/artificial-intelligence-council-and-parliament-agree-to-simplify-and-streamline-rules/" TargetMode="External"/><Relationship Id="rIdszzdjluohvzdb5x17xsbm" Type="http://schemas.openxmlformats.org/officeDocument/2006/relationships/hyperlink" Target="https://ai-act-service-desk.ec.europa.eu/en/ai-act/timeline/timeline-implementation-eu-ai-act" TargetMode="External"/><Relationship Id="rIdpj2wkiaprtnbaa5g8is-a" Type="http://schemas.openxmlformats.org/officeDocument/2006/relationships/hyperlink" Target="https://artificialintelligenceact.eu/national-implementation-plans/" TargetMode="External"/><Relationship Id="rId331jjpf9-qxkw32vftfh1" Type="http://schemas.openxmlformats.org/officeDocument/2006/relationships/hyperlink" Target="https://www.dastra.eu/en/blog/digital-omnibus-on-ai-parliament-votes-deadlines-redrawn/60108" TargetMode="External"/><Relationship Id="rId4ywe6qi9ep3cebjct1_tp" Type="http://schemas.openxmlformats.org/officeDocument/2006/relationships/hyperlink" Target="https://iapp.org/news/a/notes-from-the-iapp-europe-childrens-protection-simplification-and-gdpr-developments" TargetMode="External"/><Relationship Id="rIdirwdzj_8stij_hi_xo1va" Type="http://schemas.openxmlformats.org/officeDocument/2006/relationships/hyperlink" Target="https://iapp.org/news/a/gdpr-eu-representative-enforcement-continues" TargetMode="External"/><Relationship Id="rIdzpymrid3wucupql39rn4a" Type="http://schemas.openxmlformats.org/officeDocument/2006/relationships/hyperlink" Target="https://www.cnil.fr/fr/prix-ehess-cnil-2026" TargetMode="External"/><Relationship Id="rIdhzfgtqbkmgvec--ccxy__" Type="http://schemas.openxmlformats.org/officeDocument/2006/relationships/hyperlink" Target="https://digital-strategy.ec.europa.eu/en/policies/regulatory-framework-ai" TargetMode="External"/><Relationship Id="rIdgb675nd90vzv--uthaery" Type="http://schemas.openxmlformats.org/officeDocument/2006/relationships/hyperlink" Target="https://ai-act-service-desk.ec.europa.eu/en/ai-act/timeline/timeline-implementation-eu-ai-act" TargetMode="External"/><Relationship Id="rIdesgt3elvqtfxyx3tnfnp0" Type="http://schemas.openxmlformats.org/officeDocument/2006/relationships/hyperlink" Target="https://www.consilium.europa.eu/en/press/press-releases/" TargetMode="External"/><Relationship Id="rIdbwkjh74r_xwqpf8pbvdsj" Type="http://schemas.openxmlformats.org/officeDocument/2006/relationships/hyperlink" Target="https://artificialintelligenceact.eu/" TargetMode="External"/><Relationship Id="rId5q_qfzpwxvwfsuifetbkd" Type="http://schemas.openxmlformats.org/officeDocument/2006/relationships/hyperlink" Target="https://artificialintelligenceact.eu/implementation-timeline/" TargetMode="External"/><Relationship Id="rIdlxz-luamurq1smdcmzwrm" Type="http://schemas.openxmlformats.org/officeDocument/2006/relationships/hyperlink" Target="https://iapp.org/news/" TargetMode="External"/><Relationship Id="rIdlu9zoppfto0co_hno76kp" Type="http://schemas.openxmlformats.org/officeDocument/2006/relationships/hyperlink" Target="https://www.cnil.fr/fr/intelligence-artificielle"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2026-06-28T05:07:28.649Z</dcterms:created>
  <dcterms:modified xsi:type="dcterms:W3CDTF">2026-06-28T05:07:28.650Z</dcterms:modified>
</cp:coreProperties>
</file>

<file path=docProps/custom.xml><?xml version="1.0" encoding="utf-8"?>
<Properties xmlns="http://schemas.openxmlformats.org/officeDocument/2006/custom-properties" xmlns:vt="http://schemas.openxmlformats.org/officeDocument/2006/docPropsVTypes"/>
</file>