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56"/>
          <w:szCs w:val="56"/>
        </w:rPr>
        <w:t xml:space="preserve">Veille AI Act — Compte-rendu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B45309"/>
          <w:sz w:val="24"/>
          <w:szCs w:val="24"/>
        </w:rPr>
        <w:t xml:space="preserve">13 juillet 2026 · Niveau d'alerte : 🟡 À surveiller · Sources : 4/4 listées (headless ; trois autres pages tentées sans succès, non consignées) (corrigé le 12/09/2026 — voir le journal des corrections)</w:t>
      </w:r>
    </w:p>
    <w:p>
      <w:pPr>
        <w:pBdr>
          <w:bottom w:val="single" w:color="1B3A6B" w:sz="6" w:space="4"/>
        </w:pBdr>
        <w:spacing w:after="12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🔵 En bref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Pleine application au 2 août 2026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les règles de transparence (art. 50, contenus générés par IA) et les pouvoirs d'exécution nationaux et européens entrent en vigueur ; la Commission pourra exercer ses pouvoirs sur les modèles à usage général (GPAI).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Report « Digital Omnibus »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accord provisoire du 7 mai 2026 — l'échéance des systèmes à haut risque de l'Annexe III est reportée du 2 août 2026 au 2 décembre 2027 ; celle de l'Annexe I (IA intégrée à des produits) au 2 août 2028.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Code de bonnes pratiques GPAI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finalisé et signé par une vingtaine de fournisseurs (dont Anthropic, Google, IBM, Microsoft, Mistral, OpenAI, Cohere).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Niveau d'alerte : 🟡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— échéance structurante imminente (2 août) mais report des obligations haut-risque : à intégrer dans la planification, sans urgence opérationnelle pour un ESSMS.</w:t>
      </w:r>
    </w:p>
    <w:p>
      <w:pPr>
        <w:pBdr>
          <w:bottom w:val="single" w:color="1B3A6B" w:sz="6" w:space="4"/>
        </w:pBdr>
        <w:spacing w:after="12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📅 Échéances réglementaires à venir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2 août 2026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transparence (art. 50), gouvernance et pouvoirs d'exécution ; début effectif des actions de la Commission sur les GPAI.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2 décembre 2027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obligations des systèmes à haut risque de l'Annexe III (biométrie, infrastructures critiques, emploi, accès aux services essentiels…) — délai reporté.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2 août 2028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obligations des systèmes à haut risque de l'Annexe I (IA intégrée à des produits réglementés).</w:t>
      </w:r>
    </w:p>
    <w:p>
      <w:pPr>
        <w:pBdr>
          <w:bottom w:val="single" w:color="1B3A6B" w:sz="6" w:space="4"/>
        </w:pBdr>
        <w:spacing w:after="12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🏛️ Actualité officielle UE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Commission européenne.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 cadre de mise en œuvre se précise à l'approche du 2 août 2026 : transparence des contenus IA, articulation avec l'AI Office, et calendrier révisé par le paquet « Digital Omnibus » qui échelonne les obligations les plus lourdes.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AI Office / GPAI.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 Code de bonnes pratiques pour l'IA à usage général sert de référentiel volontaire de conformité ; les pouvoirs d'exécution (demandes d'information, accès aux modèles, rappels) deviennent effectifs au 2 août 2026, un an après l'entrée en vigueur des règles GPAI.</w:t>
      </w:r>
    </w:p>
    <w:p>
      <w:pPr>
        <w:pBdr>
          <w:bottom w:val="single" w:color="1B3A6B" w:sz="6" w:space="4"/>
        </w:pBdr>
        <w:spacing w:after="12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📰 Analyses &amp; gouvernance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 report des échéances haut-risque est présenté comme une mesure de simplification et de lisibilité (dates fixes plutôt que conditionnelles), donnant aux organisations plus de temps pour cartographier leurs systèmes. À noter : la transparence (art. 50) n'est PAS reportée — l'obligation d'informer qu'un contenu est généré/assisté par IA s'applique dès le 2 août 2026.</w:t>
      </w:r>
    </w:p>
    <w:p>
      <w:pPr>
        <w:pBdr>
          <w:bottom w:val="single" w:color="1B3A6B" w:sz="6" w:space="4"/>
        </w:pBdr>
        <w:spacing w:after="12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🇫🇷 Perspective française (CNIL / RGPD)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Convergence AI Act / RGPD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les lignes directrices EDPB adoptées le 8 juillet 2026 sur l'anonymisation et le web scraping pour l'IA générative (consultation jusqu'au 30 octobre 2026) éclairent la base légale des données servant à entraîner ou alimenter une IA — un point de vigilance direct pour tout projet d'IA en établissement.</w:t>
      </w:r>
    </w:p>
    <w:p>
      <w:pPr>
        <w:pBdr>
          <w:bottom w:val="single" w:color="1B3A6B" w:sz="6" w:space="4"/>
        </w:pBdr>
        <w:spacing w:after="12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⚠️ Impacts pour les ESSMS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Transparence (art. 50)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si un outil d'IA génère des écrits (comptes-rendus, courriers, supports), prévoir une information claire des personnes concernées dès le 2 août 2026.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Cartographie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recenser les usages d'IA (aide à la rédaction, planification, analyse) et classer leur niveau de risque — le report au 2 déc. 2027 laisse le temps de le faire sereinement.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Données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articuler tout projet IA avec le RGPD (base légale, données de santé, minimisation) — cf. lignes directrices EDPB.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Supervision humaine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maintenir une validation humaine sur toute décision touchant l'accompagnement ; l'IA reste un appui, pas un décideur.</w:t>
      </w:r>
    </w:p>
    <w:p>
      <w:pPr>
        <w:pBdr>
          <w:bottom w:val="single" w:color="1B3A6B" w:sz="6" w:space="4"/>
        </w:pBdr>
        <w:spacing w:after="12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📚 Sources du jour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✅ </w:t>
      </w:r>
      <w:hyperlink w:history="1" r:id="rId5nnzbv5zv-bojujzyhc2s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155CC"/>
            <w:sz w:val="22"/>
            <w:szCs w:val="22"/>
          </w:rPr>
          <w:t xml:space="preserve">Commission européenne — Regulatory framework on AI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— cadre officiel et actualités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✅ </w:t>
      </w:r>
      <w:hyperlink w:history="1" r:id="rId1tuztj1g-qo-hjmwfrdma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155CC"/>
            <w:sz w:val="22"/>
            <w:szCs w:val="22"/>
          </w:rPr>
          <w:t xml:space="preserve">EU Artificial Intelligence Act — Implementation timeline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— calendrier d'application détaillé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✅ </w:t>
      </w:r>
      <w:hyperlink w:history="1" r:id="rIdqy_nejs81g2fzskfy_t71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155CC"/>
            <w:sz w:val="22"/>
            <w:szCs w:val="22"/>
          </w:rPr>
          <w:t xml:space="preserve">EU AI Act — Overview of the Code of Practice (GPAI)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— code de bonnes pratiques pour l'IA à usage général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✅ </w:t>
      </w:r>
      <w:hyperlink w:history="1" r:id="rIda7bxdves_uepahzrpptjk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155CC"/>
            <w:sz w:val="22"/>
            <w:szCs w:val="22"/>
          </w:rPr>
          <w:t xml:space="preserve">EDPB — Anonymisation &amp; web scraping (IA générative)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— lignes directrices du 8 juillet 2026 (volet RGPD)</w:t>
      </w:r>
    </w:p>
    <w:p>
      <w:pPr>
        <w:pBdr>
          <w:bottom w:val="single" w:color="1B3A6B" w:sz="6" w:space="4"/>
        </w:pBdr>
        <w:spacing w:after="12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🔜 À surveiller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Textes d'application du « Digital Omnibus » et confirmation définitive des dates reportées (2 déc. 2027 / 2 août 2028).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Premières actions de l'AI Office sur les GPAI après le 2 août 2026.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Consultation EDPB (web scraping / IA générative) ouverte jusqu'au 30 octobre 2026.</w:t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📝 Journal des corrections — 12 septembre 2026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Décompte des sources corrigé le 12/09/2026, au cours d'un contrôle des 85 veilles du dépôt (outils/scripts/controle_decompte.py). Le contenu de la note est inchangé ; seuls les nombres annoncés ont été alignés sur la liste des sources qu'elle contient. Formulation d'origine conservée ici.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Version initiale : « Sources : 4/7 (headless) ». La liste Sources du jour ne compte que quatre entrées, toutes ✅ : les trois sources tentées sans succès n'y figurent pas, et la note ne dit pas lesquelles. Le dénominateur « 7 » n'était donc vérifiable nulle part. L'en-tête dit désormais ce que la liste montre — quatre — et signale que trois autres pages ont été tentées sans être consignées ; on ne peut pas les nommer après coup.</w:t>
      </w:r>
    </w:p>
    <w:p>
      <w:pPr>
        <w:pBdr>
          <w:top w:val="single" w:color="1B3A6B" w:sz="6" w:space="6"/>
        </w:pBdr>
        <w:spacing w:before="240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Compte-rendu produit le 13 juillet 2026 (rattrapage manuel, mode headless WebSearch — 4 sources). Niveau d'alerte : 🟡 À surveiller.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nnzbv5zv-bojujzyhc2s" Type="http://schemas.openxmlformats.org/officeDocument/2006/relationships/hyperlink" Target="https://digital-strategy.ec.europa.eu/en/policies/regulatory-framework-ai" TargetMode="External"/><Relationship Id="rId1tuztj1g-qo-hjmwfrdma" Type="http://schemas.openxmlformats.org/officeDocument/2006/relationships/hyperlink" Target="https://artificialintelligenceact.eu/implementation-timeline/" TargetMode="External"/><Relationship Id="rIdqy_nejs81g2fzskfy_t71" Type="http://schemas.openxmlformats.org/officeDocument/2006/relationships/hyperlink" Target="https://artificialintelligenceact.eu/code-of-practice-overview/" TargetMode="External"/><Relationship Id="rIda7bxdves_uepahzrpptjk" Type="http://schemas.openxmlformats.org/officeDocument/2006/relationships/hyperlink" Target="https://www.edpb.europa.eu/news/edpb-sheds-light-on-anonymisation-and-web-scraping-for-generative-ai-and-adopts-final-version_en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2026-07-13T08:41:16.806Z</dcterms:created>
  <dcterms:modified xsi:type="dcterms:W3CDTF">2026-07-13T08:41:16.821Z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