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3A6B"/>
          <w:sz w:val="34"/>
          <w:szCs w:val="34"/>
        </w:rPr>
        <w:t xml:space="preserve">Veille AI Act — Compte-rendu</w:t>
      </w:r>
    </w:p>
    <w:p>
      <w:pPr>
        <w:pBdr>
          <w:bottom w:val="single" w:color="1B3A6B" w:sz="8" w:space="6"/>
        </w:pBdr>
        <w:spacing w:after="240"/>
      </w:pPr>
      <w:r>
        <w:rPr>
          <w:rFonts w:ascii="Calibri" w:cs="Calibri" w:eastAsia="Calibri" w:hAnsi="Calibri"/>
          <w:color w:val="595959"/>
          <w:sz w:val="20"/>
          <w:szCs w:val="20"/>
        </w:rPr>
        <w:t xml:space="preserve">2026-08-29  ·  Période couverte : 19 juillet – 29 août 2026  ·  Niveau d'alerte : 🔴 Élevé (échéance franchie, régime de sanction actif)  ·  Sources : 8✅ + 3⚠️ + 2⛔ / 13 (corrigé le 12/09/2026 — voir le journal des corrections)</w:t>
      </w:r>
    </w:p>
    <w:p>
      <w:pPr>
        <w:spacing w:after="140" w:before="320"/>
      </w:pPr>
      <w:r>
        <w:rPr>
          <w:rFonts w:ascii="Calibri" w:cs="Calibri" w:eastAsia="Calibri" w:hAnsi="Calibri"/>
          <w:b/>
          <w:bCs/>
          <w:color w:val="1B3A6B"/>
          <w:sz w:val="26"/>
          <w:szCs w:val="26"/>
        </w:rPr>
        <w:t xml:space="preserve">🛠️ Corrections apportées à l'édition du 19 juillet 2026</w:t>
      </w:r>
    </w:p>
    <w:p>
      <w:pPr>
        <w:spacing w:after="160"/>
      </w:pPr>
      <w:r>
        <w:rPr>
          <w:rFonts w:ascii="Calibri" w:cs="Calibri" w:eastAsia="Calibri" w:hAnsi="Calibri"/>
          <w:i/>
          <w:iCs/>
          <w:color w:val="595959"/>
          <w:sz w:val="19"/>
          <w:szCs w:val="19"/>
        </w:rPr>
        <w:t xml:space="preserve">Vérification faite sur sources primaires. Cinq points de l'édition précédente étaient inexacts ou imprécis.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Cloud and AI Development Act (CADA) — date de proposition erronée. </w:t>
      </w:r>
      <w:r>
        <w:rPr>
          <w:rFonts w:ascii="Calibri" w:cs="Calibri" w:eastAsia="Calibri" w:hAnsi="Calibri"/>
          <w:b w:val="false"/>
          <w:bCs w:val="false"/>
          <w:i w:val="false"/>
          <w:iCs w:val="false"/>
          <w:color w:val="000000"/>
          <w:sz w:val="21"/>
          <w:szCs w:val="21"/>
        </w:rPr>
        <w:t xml:space="preserve">La proposition a été adoptée par la Commission le </w:t>
      </w:r>
      <w:r>
        <w:rPr>
          <w:rFonts w:ascii="Calibri" w:cs="Calibri" w:eastAsia="Calibri" w:hAnsi="Calibri"/>
          <w:b/>
          <w:bCs/>
          <w:i w:val="false"/>
          <w:iCs w:val="false"/>
          <w:color w:val="000000"/>
          <w:sz w:val="21"/>
          <w:szCs w:val="21"/>
        </w:rPr>
        <w:t xml:space="preserve">3 juin 2026</w:t>
      </w:r>
      <w:r>
        <w:rPr>
          <w:rFonts w:ascii="Calibri" w:cs="Calibri" w:eastAsia="Calibri" w:hAnsi="Calibri"/>
          <w:b w:val="false"/>
          <w:bCs w:val="false"/>
          <w:i w:val="false"/>
          <w:iCs w:val="false"/>
          <w:color w:val="000000"/>
          <w:sz w:val="21"/>
          <w:szCs w:val="21"/>
        </w:rPr>
        <w:t xml:space="preserve"> (COM(2026) 502, procédure 2026/0138 COD), dans le cadre du Tech Sovereignty Package — et non le 16 juillet. L'article IAPP du 16 juillet portait sur la publication des outils d'évaluation de la souveraineté (Cloud Sovereignty Framework), pas sur la proposition législative elle-même.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Lignes directrices CEPD — date d'adoption. </w:t>
      </w:r>
      <w:r>
        <w:rPr>
          <w:rFonts w:ascii="Calibri" w:cs="Calibri" w:eastAsia="Calibri" w:hAnsi="Calibri"/>
          <w:b w:val="false"/>
          <w:bCs w:val="false"/>
          <w:i w:val="false"/>
          <w:iCs w:val="false"/>
          <w:color w:val="000000"/>
          <w:sz w:val="21"/>
          <w:szCs w:val="21"/>
        </w:rPr>
        <w:t xml:space="preserve">Adoptées en plénière le </w:t>
      </w:r>
      <w:r>
        <w:rPr>
          <w:rFonts w:ascii="Calibri" w:cs="Calibri" w:eastAsia="Calibri" w:hAnsi="Calibri"/>
          <w:b/>
          <w:bCs/>
          <w:i w:val="false"/>
          <w:iCs w:val="false"/>
          <w:color w:val="000000"/>
          <w:sz w:val="21"/>
          <w:szCs w:val="21"/>
        </w:rPr>
        <w:t xml:space="preserve">7 juillet 2026</w:t>
      </w:r>
      <w:r>
        <w:rPr>
          <w:rFonts w:ascii="Calibri" w:cs="Calibri" w:eastAsia="Calibri" w:hAnsi="Calibri"/>
          <w:b w:val="false"/>
          <w:bCs w:val="false"/>
          <w:i w:val="false"/>
          <w:iCs w:val="false"/>
          <w:color w:val="000000"/>
          <w:sz w:val="21"/>
          <w:szCs w:val="21"/>
        </w:rPr>
        <w:t xml:space="preserve"> (et non le 9 juillet, qui est la date du communiqué CNIL relayant l'information).</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Dénomination du texte de simplification. </w:t>
      </w:r>
      <w:r>
        <w:rPr>
          <w:rFonts w:ascii="Calibri" w:cs="Calibri" w:eastAsia="Calibri" w:hAnsi="Calibri"/>
          <w:b w:val="false"/>
          <w:bCs w:val="false"/>
          <w:i w:val="false"/>
          <w:iCs w:val="false"/>
          <w:color w:val="000000"/>
          <w:sz w:val="21"/>
          <w:szCs w:val="21"/>
        </w:rPr>
        <w:t xml:space="preserve">Le véhicule juridique effectif est le </w:t>
      </w:r>
      <w:r>
        <w:rPr>
          <w:rFonts w:ascii="Calibri" w:cs="Calibri" w:eastAsia="Calibri" w:hAnsi="Calibri"/>
          <w:b/>
          <w:bCs/>
          <w:i w:val="false"/>
          <w:iCs w:val="false"/>
          <w:color w:val="000000"/>
          <w:sz w:val="21"/>
          <w:szCs w:val="21"/>
        </w:rPr>
        <w:t xml:space="preserve">règlement (UE) 2026/1744 du 8 juillet 2026</w:t>
      </w:r>
      <w:r>
        <w:rPr>
          <w:rFonts w:ascii="Calibri" w:cs="Calibri" w:eastAsia="Calibri" w:hAnsi="Calibri"/>
          <w:b w:val="false"/>
          <w:bCs w:val="false"/>
          <w:i w:val="false"/>
          <w:iCs w:val="false"/>
          <w:color w:val="000000"/>
          <w:sz w:val="21"/>
          <w:szCs w:val="21"/>
        </w:rPr>
        <w:t xml:space="preserve"> (« omnibus numérique IA » / « AI Omnibus »), </w:t>
      </w:r>
      <w:r>
        <w:rPr>
          <w:rFonts w:ascii="Calibri" w:cs="Calibri" w:eastAsia="Calibri" w:hAnsi="Calibri"/>
          <w:b/>
          <w:bCs/>
          <w:i w:val="false"/>
          <w:iCs w:val="false"/>
          <w:color w:val="000000"/>
          <w:sz w:val="21"/>
          <w:szCs w:val="21"/>
        </w:rPr>
        <w:t xml:space="preserve">publié au JOUE le 24 juillet 2026 et entré en vigueur le 27 juillet 2026</w:t>
      </w:r>
      <w:r>
        <w:rPr>
          <w:rFonts w:ascii="Calibri" w:cs="Calibri" w:eastAsia="Calibri" w:hAnsi="Calibri"/>
          <w:b w:val="false"/>
          <w:bCs w:val="false"/>
          <w:i w:val="false"/>
          <w:iCs w:val="false"/>
          <w:color w:val="000000"/>
          <w:sz w:val="21"/>
          <w:szCs w:val="21"/>
        </w:rPr>
        <w:t xml:space="preserve">. L'édition précédente parlait de « Digital Omnibus » sans référence de publication — l'étape « publication au JO » listée en veille est donc désormais accomplie.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Échéance du 2 décembre 2026 — formulation imprécise. </w:t>
      </w:r>
      <w:r>
        <w:rPr>
          <w:rFonts w:ascii="Calibri" w:cs="Calibri" w:eastAsia="Calibri" w:hAnsi="Calibri"/>
          <w:b w:val="false"/>
          <w:bCs w:val="false"/>
          <w:i w:val="false"/>
          <w:iCs w:val="false"/>
          <w:color w:val="000000"/>
          <w:sz w:val="21"/>
          <w:szCs w:val="21"/>
        </w:rPr>
        <w:t xml:space="preserve">Il ne s'agit pas d'une « nouvelle obligation de marquage avec délai réduit de 6 à 3 mois ». Il s'agit de la </w:t>
      </w:r>
      <w:r>
        <w:rPr>
          <w:rFonts w:ascii="Calibri" w:cs="Calibri" w:eastAsia="Calibri" w:hAnsi="Calibri"/>
          <w:b/>
          <w:bCs/>
          <w:i w:val="false"/>
          <w:iCs w:val="false"/>
          <w:color w:val="000000"/>
          <w:sz w:val="21"/>
          <w:szCs w:val="21"/>
        </w:rPr>
        <w:t xml:space="preserve">fin de la période transitoire de l'article 50 §2</w:t>
      </w:r>
      <w:r>
        <w:rPr>
          <w:rFonts w:ascii="Calibri" w:cs="Calibri" w:eastAsia="Calibri" w:hAnsi="Calibri"/>
          <w:b w:val="false"/>
          <w:bCs w:val="false"/>
          <w:i w:val="false"/>
          <w:iCs w:val="false"/>
          <w:color w:val="000000"/>
          <w:sz w:val="21"/>
          <w:szCs w:val="21"/>
        </w:rPr>
        <w:t xml:space="preserve"> pour les systèmes génératifs déjà mis sur le marché avant le 2 août 2026. Pour tous les autres, le marquage lisible par machine s'applique depuis le 2 août 2026.</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Périmètre de l'article 50 — à préciser. </w:t>
      </w:r>
      <w:r>
        <w:rPr>
          <w:rFonts w:ascii="Calibri" w:cs="Calibri" w:eastAsia="Calibri" w:hAnsi="Calibri"/>
          <w:b w:val="false"/>
          <w:bCs w:val="false"/>
          <w:i w:val="false"/>
          <w:iCs w:val="false"/>
          <w:color w:val="000000"/>
          <w:sz w:val="21"/>
          <w:szCs w:val="21"/>
        </w:rPr>
        <w:t xml:space="preserve">L'édition précédente laissait entendre qu'un ESSMS devrait informer les personnes accompagnées dès qu'une IA « assiste » un écrit. La lecture des lignes directrices de la Commission (20 juillet 2026) montre que l'obligation de divulgation pour les déployeurs vise des cas précis (voir section ESSMS ci-dessous) — un compte-rendu relu et validé par un professionnel n'entre pas dans le champ de l'art. 50 §4.</w:t>
      </w:r>
    </w:p>
    <w:p>
      <w:pPr>
        <w:spacing w:after="140" w:before="320"/>
      </w:pPr>
      <w:r>
        <w:rPr>
          <w:rFonts w:ascii="Calibri" w:cs="Calibri" w:eastAsia="Calibri" w:hAnsi="Calibri"/>
          <w:b/>
          <w:bCs/>
          <w:color w:val="1B3A6B"/>
          <w:sz w:val="26"/>
          <w:szCs w:val="26"/>
        </w:rPr>
        <w:t xml:space="preserve">🔵 En bref — Faits marquants (19 juillet – 29 août 2026)</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L'AI Act est entré en application le 2 août 2026 (31 juil. 2026, Commission) — </w:t>
      </w:r>
      <w:r>
        <w:rPr>
          <w:rFonts w:ascii="Calibri" w:cs="Calibri" w:eastAsia="Calibri" w:hAnsi="Calibri"/>
          <w:b w:val="false"/>
          <w:bCs w:val="false"/>
          <w:i w:val="false"/>
          <w:iCs w:val="false"/>
          <w:color w:val="000000"/>
          <w:sz w:val="21"/>
          <w:szCs w:val="21"/>
        </w:rPr>
        <w:t xml:space="preserve">le Bureau de l'IA et les autorités nationales ont commencé à faire appliquer le règlement. Les obligations de transparence de l'article 50 s'appliquent : les chatbots doivent signaler qu'ils ne sont pas humains, les hypertrucages doivent être étiquetés, les contenus générés ou modifiés par IA doivent porter un marquage lisible par machine.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Omnibus IA publié et en vigueur (24 et 27 juil. 2026) — </w:t>
      </w:r>
      <w:r>
        <w:rPr>
          <w:rFonts w:ascii="Calibri" w:cs="Calibri" w:eastAsia="Calibri" w:hAnsi="Calibri"/>
          <w:b w:val="false"/>
          <w:bCs w:val="false"/>
          <w:i w:val="false"/>
          <w:iCs w:val="false"/>
          <w:color w:val="000000"/>
          <w:sz w:val="21"/>
          <w:szCs w:val="21"/>
        </w:rPr>
        <w:t xml:space="preserve">le règlement (UE) 2026/1744 modifie le règlement (UE) 2024/1689 ainsi que les règlements aviation civile et machines. Il confirme les reports au 2 décembre 2027 (annexe III) et au 2 août 2028 (annexe I), renforce les pouvoirs du Bureau de l'IA, étend certaines simplifications aux petites ETI et ajoute l'interdiction des systèmes générant des hypertrucages sexuels non consentis et du CSAM.</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Lignes directrices de la Commission sur la transparence (20 juil. 2026) — </w:t>
      </w:r>
      <w:r>
        <w:rPr>
          <w:rFonts w:ascii="Calibri" w:cs="Calibri" w:eastAsia="Calibri" w:hAnsi="Calibri"/>
          <w:b w:val="false"/>
          <w:bCs w:val="false"/>
          <w:i w:val="false"/>
          <w:iCs w:val="false"/>
          <w:color w:val="000000"/>
          <w:sz w:val="21"/>
          <w:szCs w:val="21"/>
        </w:rPr>
        <w:t xml:space="preserve">elles délimitent qui, du fournisseur ou du déployeur, porte chaque obligation de l'article 50, et précisent le champ du marquage et de l'étiquetage. Accompagnées d'une FAQ dédiée et d'une fiche « Quick Facts ».</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Code de bonnes pratiques sur la transparence des contenus IA — plus de 180 signataires (31 juil. 2026) — </w:t>
      </w:r>
      <w:r>
        <w:rPr>
          <w:rFonts w:ascii="Calibri" w:cs="Calibri" w:eastAsia="Calibri" w:hAnsi="Calibri"/>
          <w:b w:val="false"/>
          <w:bCs w:val="false"/>
          <w:i w:val="false"/>
          <w:iCs w:val="false"/>
          <w:color w:val="000000"/>
          <w:sz w:val="21"/>
          <w:szCs w:val="21"/>
        </w:rPr>
        <w:t xml:space="preserve">la Commission a publié la première liste des organisations signataires. Le code est un outil de conformité volontaire qui opérationnalise l'article 50 ; il s'accompagne d'un jeu d'icônes européennes utilisables pour signaler la nature artificielle d'images, d'audios et de textes.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Ouverture des canaux de signalement — </w:t>
      </w:r>
      <w:r>
        <w:rPr>
          <w:rFonts w:ascii="Calibri" w:cs="Calibri" w:eastAsia="Calibri" w:hAnsi="Calibri"/>
          <w:b w:val="false"/>
          <w:bCs w:val="false"/>
          <w:i w:val="false"/>
          <w:iCs w:val="false"/>
          <w:color w:val="000000"/>
          <w:sz w:val="21"/>
          <w:szCs w:val="21"/>
        </w:rPr>
        <w:t xml:space="preserve">trois dispositifs sont désormais actifs : l'outil de plainte AI Act (ouvert aux particuliers et aux organisations), l'outil de lancement d'alerte, et un canal dédié aux fournisseurs en aval utilisant des modèles GPAI.</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CNIL / CIANum — note exploratoire sur l'IA agentique (20 juil. 2026) — </w:t>
      </w:r>
      <w:r>
        <w:rPr>
          <w:rFonts w:ascii="Calibri" w:cs="Calibri" w:eastAsia="Calibri" w:hAnsi="Calibri"/>
          <w:b w:val="false"/>
          <w:bCs w:val="false"/>
          <w:i w:val="false"/>
          <w:iCs w:val="false"/>
          <w:color w:val="000000"/>
          <w:sz w:val="21"/>
          <w:szCs w:val="21"/>
        </w:rPr>
        <w:t xml:space="preserve">premier cadrage français des risques posés par les systèmes capables d'agir sur leur environnement : circulation des données entre services connectés, mémoires persistantes, profils hyperpersonnalisés, et surtout brouillage du partage des responsabilités entre acteurs.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CNIL — questions-réponses sur le règlement IA mises à jour (17 août 2026) — </w:t>
      </w:r>
      <w:r>
        <w:rPr>
          <w:rFonts w:ascii="Calibri" w:cs="Calibri" w:eastAsia="Calibri" w:hAnsi="Calibri"/>
          <w:b w:val="false"/>
          <w:bCs w:val="false"/>
          <w:i w:val="false"/>
          <w:iCs w:val="false"/>
          <w:color w:val="000000"/>
          <w:sz w:val="21"/>
          <w:szCs w:val="21"/>
        </w:rPr>
        <w:t xml:space="preserve">intégration des modifications de l'omnibus IA, nouveau calendrier d'application et pyramide des risques actualisée.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CNIL — outil de traçabilité des modèles open source mis à jour (26 août 2026) — </w:t>
      </w:r>
      <w:r>
        <w:rPr>
          <w:rFonts w:ascii="Calibri" w:cs="Calibri" w:eastAsia="Calibri" w:hAnsi="Calibri"/>
          <w:b w:val="false"/>
          <w:bCs w:val="false"/>
          <w:i w:val="false"/>
          <w:iCs w:val="false"/>
          <w:color w:val="000000"/>
          <w:sz w:val="21"/>
          <w:szCs w:val="21"/>
        </w:rPr>
        <w:t xml:space="preserve">nouvelle version du démonstrateur permettant d'explorer la généalogie des modèles d'IA publiés en source ouverte.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France : la désignation des autorités compétentes n'est toujours pas achevée ⚠️ — </w:t>
      </w:r>
      <w:r>
        <w:rPr>
          <w:rFonts w:ascii="Calibri" w:cs="Calibri" w:eastAsia="Calibri" w:hAnsi="Calibri"/>
          <w:b w:val="false"/>
          <w:bCs w:val="false"/>
          <w:i w:val="false"/>
          <w:iCs w:val="false"/>
          <w:color w:val="000000"/>
          <w:sz w:val="21"/>
          <w:szCs w:val="21"/>
        </w:rPr>
        <w:t xml:space="preserve">le volet numérique du projet de loi DDADUE, adopté par le Sénat le 17 février 2026 et confiant à la CNIL des compétences de surveillance du marché, reste en navette. Cette absence de désignation ne suspend aucune obligation.</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AI Gigafactories — appel à projets lancé (30 juil. 2026) — </w:t>
      </w:r>
      <w:r>
        <w:rPr>
          <w:rFonts w:ascii="Calibri" w:cs="Calibri" w:eastAsia="Calibri" w:hAnsi="Calibri"/>
          <w:b w:val="false"/>
          <w:bCs w:val="false"/>
          <w:i w:val="false"/>
          <w:iCs w:val="false"/>
          <w:color w:val="000000"/>
          <w:sz w:val="21"/>
          <w:szCs w:val="21"/>
        </w:rPr>
        <w:t xml:space="preserve">la Commission vise plus de 30 milliards d'euros d'investissement pour renforcer la capacité de calcul européenne.</w:t>
      </w:r>
    </w:p>
    <w:p>
      <w:pPr>
        <w:spacing w:after="140" w:before="320"/>
      </w:pPr>
      <w:r>
        <w:rPr>
          <w:rFonts w:ascii="Calibri" w:cs="Calibri" w:eastAsia="Calibri" w:hAnsi="Calibri"/>
          <w:b/>
          <w:bCs/>
          <w:color w:val="1B3A6B"/>
          <w:sz w:val="26"/>
          <w:szCs w:val="26"/>
        </w:rPr>
        <w:t xml:space="preserve">📅 Échéances réglementaires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août 2026 — ÉCHÉANCE FRANCHIE ✅ : </w:t>
      </w:r>
      <w:r>
        <w:rPr>
          <w:rFonts w:ascii="Calibri" w:cs="Calibri" w:eastAsia="Calibri" w:hAnsi="Calibri"/>
          <w:b w:val="false"/>
          <w:bCs w:val="false"/>
          <w:i w:val="false"/>
          <w:iCs w:val="false"/>
          <w:color w:val="000000"/>
          <w:sz w:val="21"/>
          <w:szCs w:val="21"/>
        </w:rPr>
        <w:t xml:space="preserve">transparence (art. 50), mesures de soutien à l'innovation, et surtout démarrage de l'exécution (Bureau de l'IA + autorités nationales) sur les GPAI, les pratiques interdites, la transparence et la littératie IA. Le régime de sanction est actif : jusqu'à 15 M€ ou 3 % du CA mondial pour les manquements à la transparence et aux règles GPAI, jusqu'à 35 M€ ou 7 % pour les pratiques interdites.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30 octobre 2026 (dans 62 jours) : </w:t>
      </w:r>
      <w:r>
        <w:rPr>
          <w:rFonts w:ascii="Calibri" w:cs="Calibri" w:eastAsia="Calibri" w:hAnsi="Calibri"/>
          <w:b w:val="false"/>
          <w:bCs w:val="false"/>
          <w:i w:val="false"/>
          <w:iCs w:val="false"/>
          <w:color w:val="000000"/>
          <w:sz w:val="21"/>
          <w:szCs w:val="21"/>
        </w:rPr>
        <w:t xml:space="preserve">clôture de la consultation publique du CEPD sur les lignes directrices anonymisation et moissonnage (IA générative). Fenêtre de contribution encore ouverte pour les fédérations du secteur.</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décembre 2026 (dans 95 jours) : </w:t>
      </w:r>
      <w:r>
        <w:rPr>
          <w:rFonts w:ascii="Calibri" w:cs="Calibri" w:eastAsia="Calibri" w:hAnsi="Calibri"/>
          <w:b w:val="false"/>
          <w:bCs w:val="false"/>
          <w:i w:val="false"/>
          <w:iCs w:val="false"/>
          <w:color w:val="000000"/>
          <w:sz w:val="21"/>
          <w:szCs w:val="21"/>
        </w:rPr>
        <w:t xml:space="preserve">entrée en application de l'interdiction des systèmes générant des hypertrucages sexuels non consentis et du CSAM ; fin de la période transitoire de l'art. 50 §2 pour les systèmes génératifs mis sur le marché avant le 2 août 2026.</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août 2027 : </w:t>
      </w:r>
      <w:r>
        <w:rPr>
          <w:rFonts w:ascii="Calibri" w:cs="Calibri" w:eastAsia="Calibri" w:hAnsi="Calibri"/>
          <w:b w:val="false"/>
          <w:bCs w:val="false"/>
          <w:i w:val="false"/>
          <w:iCs w:val="false"/>
          <w:color w:val="000000"/>
          <w:sz w:val="21"/>
          <w:szCs w:val="21"/>
        </w:rPr>
        <w:t xml:space="preserve">au moins un bac à sable réglementaire IA opérationnel par État membre.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décembre 2027 : </w:t>
      </w:r>
      <w:r>
        <w:rPr>
          <w:rFonts w:ascii="Calibri" w:cs="Calibri" w:eastAsia="Calibri" w:hAnsi="Calibri"/>
          <w:b w:val="false"/>
          <w:bCs w:val="false"/>
          <w:i w:val="false"/>
          <w:iCs w:val="false"/>
          <w:color w:val="000000"/>
          <w:sz w:val="21"/>
          <w:szCs w:val="21"/>
        </w:rPr>
        <w:t xml:space="preserve">règles applicables aux systèmes à haut risque de l'annexe III (biométrie, infrastructures critiques, éducation, emploi, accès aux services essentiels, répression, migration, justice).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août 2028 : </w:t>
      </w:r>
      <w:r>
        <w:rPr>
          <w:rFonts w:ascii="Calibri" w:cs="Calibri" w:eastAsia="Calibri" w:hAnsi="Calibri"/>
          <w:b w:val="false"/>
          <w:bCs w:val="false"/>
          <w:i w:val="false"/>
          <w:iCs w:val="false"/>
          <w:color w:val="000000"/>
          <w:sz w:val="21"/>
          <w:szCs w:val="21"/>
        </w:rPr>
        <w:t xml:space="preserve">règles applicables aux systèmes à haut risque intégrés dans des produits réglementés (annexe I).</w:t>
      </w:r>
    </w:p>
    <w:p>
      <w:pPr>
        <w:spacing w:after="140" w:before="320"/>
      </w:pPr>
      <w:r>
        <w:rPr>
          <w:rFonts w:ascii="Calibri" w:cs="Calibri" w:eastAsia="Calibri" w:hAnsi="Calibri"/>
          <w:b/>
          <w:bCs/>
          <w:color w:val="1B3A6B"/>
          <w:sz w:val="26"/>
          <w:szCs w:val="26"/>
        </w:rPr>
        <w:t xml:space="preserve">🏛️ Actualité officielle UE</w:t>
      </w:r>
    </w:p>
    <w:p>
      <w:pPr>
        <w:spacing w:after="100" w:before="200"/>
      </w:pPr>
      <w:r>
        <w:rPr>
          <w:rFonts w:ascii="Calibri" w:cs="Calibri" w:eastAsia="Calibri" w:hAnsi="Calibri"/>
          <w:b/>
          <w:bCs/>
          <w:color w:val="1B3A6B"/>
          <w:sz w:val="22"/>
          <w:szCs w:val="22"/>
        </w:rPr>
        <w:t xml:space="preserve">Commission européenne — digital-strategy.ec.europa.eu ✅</w:t>
      </w:r>
    </w:p>
    <w:p>
      <w:pPr>
        <w:spacing w:after="60"/>
      </w:pPr>
      <w:hyperlink w:history="1" r:id="rId0wulqmrleydkbj3ysk0td">
        <w:r>
          <w:rPr>
            <w:rFonts w:ascii="Calibri" w:cs="Calibri" w:eastAsia="Calibri" w:hAnsi="Calibri"/>
            <w:b/>
            <w:bCs/>
            <w:color w:val="0563C1"/>
            <w:sz w:val="21"/>
            <w:szCs w:val="21"/>
            <w:u w:val="single"/>
          </w:rPr>
          <w:t xml:space="preserve">Commission starts enforcing AI Act rules and new transparency requirements on 2 August</w:t>
        </w:r>
      </w:hyperlink>
      <w:r>
        <w:rPr>
          <w:rFonts w:ascii="Calibri" w:cs="Calibri" w:eastAsia="Calibri" w:hAnsi="Calibri"/>
          <w:b w:val="false"/>
          <w:bCs w:val="false"/>
          <w:i/>
          <w:iCs/>
          <w:color w:val="000000"/>
          <w:sz w:val="21"/>
          <w:szCs w:val="21"/>
        </w:rPr>
        <w:t xml:space="preserve">  ·  31 juillet 2026</w:t>
      </w:r>
    </w:p>
    <w:p>
      <w:pPr>
        <w:spacing w:after="120"/>
      </w:pPr>
      <w:r>
        <w:rPr>
          <w:rFonts w:ascii="Calibri" w:cs="Calibri" w:eastAsia="Calibri" w:hAnsi="Calibri"/>
          <w:b w:val="false"/>
          <w:bCs w:val="false"/>
          <w:i w:val="false"/>
          <w:iCs w:val="false"/>
          <w:color w:val="000000"/>
          <w:sz w:val="21"/>
          <w:szCs w:val="21"/>
        </w:rPr>
        <w:t xml:space="preserve">À compter du 2 août, le Bureau de l'IA et les autorités nationales commencent à faire appliquer le règlement, et les nouvelles règles de transparence s'appliquent. Publication simultanée de la première liste de plus de 180 signataires du code de bonnes pratiques sur la transparence des contenus générés par IA.</w:t>
      </w:r>
    </w:p>
    <w:p>
      <w:pPr>
        <w:spacing w:after="60"/>
      </w:pPr>
      <w:hyperlink w:history="1" r:id="rIdsl8k98f1lj_wnkc6ztvux">
        <w:r>
          <w:rPr>
            <w:rFonts w:ascii="Calibri" w:cs="Calibri" w:eastAsia="Calibri" w:hAnsi="Calibri"/>
            <w:b/>
            <w:bCs/>
            <w:color w:val="0563C1"/>
            <w:sz w:val="21"/>
            <w:szCs w:val="21"/>
            <w:u w:val="single"/>
          </w:rPr>
          <w:t xml:space="preserve">Commission publishes guidelines on transparency obligations for providers and deployers of certain AI systems</w:t>
        </w:r>
      </w:hyperlink>
      <w:r>
        <w:rPr>
          <w:rFonts w:ascii="Calibri" w:cs="Calibri" w:eastAsia="Calibri" w:hAnsi="Calibri"/>
          <w:b w:val="false"/>
          <w:bCs w:val="false"/>
          <w:i/>
          <w:iCs/>
          <w:color w:val="000000"/>
          <w:sz w:val="21"/>
          <w:szCs w:val="21"/>
        </w:rPr>
        <w:t xml:space="preserve">  ·  20 juillet 2026</w:t>
      </w:r>
    </w:p>
    <w:p>
      <w:pPr>
        <w:spacing w:after="120"/>
      </w:pPr>
      <w:r>
        <w:rPr>
          <w:rFonts w:ascii="Calibri" w:cs="Calibri" w:eastAsia="Calibri" w:hAnsi="Calibri"/>
          <w:b w:val="false"/>
          <w:bCs w:val="false"/>
          <w:i w:val="false"/>
          <w:iCs w:val="false"/>
          <w:color w:val="000000"/>
          <w:sz w:val="21"/>
          <w:szCs w:val="21"/>
        </w:rPr>
        <w:t xml:space="preserve">Les lignes directrices précisent qui doit se conformer et à quoi. Côté fournisseurs : concevoir les systèmes pour informer l'utilisateur qu'il interagit avec une IA, et ajouter un marquage lisible par machine. Côté déployeurs : informer les personnes exposées à des hypertrucages, à des contenus IA portant sur des questions d'intérêt public publiés sans revue humaine ni contrôle éditorial, et à des systèmes de reconnaissance des émotions ou de catégorisation biométrique.</w:t>
      </w:r>
    </w:p>
    <w:p>
      <w:pPr>
        <w:spacing w:after="60"/>
      </w:pPr>
      <w:hyperlink w:history="1" r:id="rId9upd8fziuhvtzh7pwsr3z">
        <w:r>
          <w:rPr>
            <w:rFonts w:ascii="Calibri" w:cs="Calibri" w:eastAsia="Calibri" w:hAnsi="Calibri"/>
            <w:b/>
            <w:bCs/>
            <w:color w:val="0563C1"/>
            <w:sz w:val="21"/>
            <w:szCs w:val="21"/>
            <w:u w:val="single"/>
          </w:rPr>
          <w:t xml:space="preserve">Commission opinion on the assessment of the Code of Practice on Transparency of AI-generated Content</w:t>
        </w:r>
      </w:hyperlink>
      <w:r>
        <w:rPr>
          <w:rFonts w:ascii="Calibri" w:cs="Calibri" w:eastAsia="Calibri" w:hAnsi="Calibri"/>
          <w:b w:val="false"/>
          <w:bCs w:val="false"/>
          <w:i/>
          <w:iCs/>
          <w:color w:val="000000"/>
          <w:sz w:val="21"/>
          <w:szCs w:val="21"/>
        </w:rPr>
        <w:t xml:space="preserve">  ·  9 juillet 2026</w:t>
      </w:r>
    </w:p>
    <w:p>
      <w:pPr>
        <w:spacing w:after="120"/>
      </w:pPr>
      <w:r>
        <w:rPr>
          <w:rFonts w:ascii="Calibri" w:cs="Calibri" w:eastAsia="Calibri" w:hAnsi="Calibri"/>
          <w:b w:val="false"/>
          <w:bCs w:val="false"/>
          <w:i w:val="false"/>
          <w:iCs w:val="false"/>
          <w:color w:val="000000"/>
          <w:sz w:val="21"/>
          <w:szCs w:val="21"/>
        </w:rPr>
        <w:t xml:space="preserve">Avis d'adéquation de la Commission sur le code de bonnes pratiques, préalable à l'ouverture des signatures.</w:t>
      </w:r>
    </w:p>
    <w:p>
      <w:pPr>
        <w:spacing w:after="60"/>
      </w:pPr>
      <w:hyperlink w:history="1" r:id="rIdvoashl_dr9r3b0jqw2i-a">
        <w:r>
          <w:rPr>
            <w:rFonts w:ascii="Calibri" w:cs="Calibri" w:eastAsia="Calibri" w:hAnsi="Calibri"/>
            <w:b/>
            <w:bCs/>
            <w:color w:val="0563C1"/>
            <w:sz w:val="21"/>
            <w:szCs w:val="21"/>
            <w:u w:val="single"/>
          </w:rPr>
          <w:t xml:space="preserve">EU launches AI Gigafactories call to boost Europe's computing capacity</w:t>
        </w:r>
      </w:hyperlink>
      <w:r>
        <w:rPr>
          <w:rFonts w:ascii="Calibri" w:cs="Calibri" w:eastAsia="Calibri" w:hAnsi="Calibri"/>
          <w:b w:val="false"/>
          <w:bCs w:val="false"/>
          <w:i/>
          <w:iCs/>
          <w:color w:val="000000"/>
          <w:sz w:val="21"/>
          <w:szCs w:val="21"/>
        </w:rPr>
        <w:t xml:space="preserve">  ·  30 juillet 2026</w:t>
      </w:r>
    </w:p>
    <w:p>
      <w:pPr>
        <w:spacing w:after="120"/>
      </w:pPr>
      <w:r>
        <w:rPr>
          <w:rFonts w:ascii="Calibri" w:cs="Calibri" w:eastAsia="Calibri" w:hAnsi="Calibri"/>
          <w:b w:val="false"/>
          <w:bCs w:val="false"/>
          <w:i w:val="false"/>
          <w:iCs w:val="false"/>
          <w:color w:val="000000"/>
          <w:sz w:val="21"/>
          <w:szCs w:val="21"/>
        </w:rPr>
        <w:t xml:space="preserve">Appel visant à débloquer plus de 30 milliards d'euros d'investissement dans la capacité de calcul européenne.</w:t>
      </w:r>
    </w:p>
    <w:p>
      <w:pPr>
        <w:spacing w:after="60"/>
      </w:pPr>
      <w:hyperlink w:history="1" r:id="rIds0ihjwajj6fah8cb3tfu4">
        <w:r>
          <w:rPr>
            <w:rFonts w:ascii="Calibri" w:cs="Calibri" w:eastAsia="Calibri" w:hAnsi="Calibri"/>
            <w:b/>
            <w:bCs/>
            <w:color w:val="0563C1"/>
            <w:sz w:val="21"/>
            <w:szCs w:val="21"/>
            <w:u w:val="single"/>
          </w:rPr>
          <w:t xml:space="preserve">AI Office publishes frontier AI expert findings on EU competitiveness, sovereignty and security</w:t>
        </w:r>
      </w:hyperlink>
      <w:r>
        <w:rPr>
          <w:rFonts w:ascii="Calibri" w:cs="Calibri" w:eastAsia="Calibri" w:hAnsi="Calibri"/>
          <w:b w:val="false"/>
          <w:bCs w:val="false"/>
          <w:i/>
          <w:iCs/>
          <w:color w:val="000000"/>
          <w:sz w:val="21"/>
          <w:szCs w:val="21"/>
        </w:rPr>
        <w:t xml:space="preserve">  ·  15 juillet 2026</w:t>
      </w:r>
    </w:p>
    <w:p>
      <w:pPr>
        <w:spacing w:after="120"/>
      </w:pPr>
      <w:r>
        <w:rPr>
          <w:rFonts w:ascii="Calibri" w:cs="Calibri" w:eastAsia="Calibri" w:hAnsi="Calibri"/>
          <w:b w:val="false"/>
          <w:bCs w:val="false"/>
          <w:i w:val="false"/>
          <w:iCs w:val="false"/>
          <w:color w:val="000000"/>
          <w:sz w:val="21"/>
          <w:szCs w:val="21"/>
        </w:rPr>
        <w:t xml:space="preserve">Travaux d'experts du Bureau de l'IA sur la compétitivité, la souveraineté et la sécurité, en appui du plan d'action Cybersécurité et IA du 7 juillet.</w:t>
      </w:r>
    </w:p>
    <w:p>
      <w:pPr>
        <w:spacing w:after="100" w:before="200"/>
      </w:pPr>
      <w:r>
        <w:rPr>
          <w:rFonts w:ascii="Calibri" w:cs="Calibri" w:eastAsia="Calibri" w:hAnsi="Calibri"/>
          <w:b/>
          <w:bCs/>
          <w:color w:val="1B3A6B"/>
          <w:sz w:val="22"/>
          <w:szCs w:val="22"/>
        </w:rPr>
        <w:t xml:space="preserve">Textes de référence — EUR-Lex ✅</w:t>
      </w:r>
    </w:p>
    <w:p>
      <w:pPr>
        <w:spacing w:after="60"/>
      </w:pPr>
      <w:hyperlink w:history="1" r:id="rIdf7y_y6vatrwjmpjp-wwhf">
        <w:r>
          <w:rPr>
            <w:rFonts w:ascii="Calibri" w:cs="Calibri" w:eastAsia="Calibri" w:hAnsi="Calibri"/>
            <w:b/>
            <w:bCs/>
            <w:color w:val="0563C1"/>
            <w:sz w:val="21"/>
            <w:szCs w:val="21"/>
            <w:u w:val="single"/>
          </w:rPr>
          <w:t xml:space="preserve">Règlement (UE) 2026/1744 — « omnibus numérique IA »</w:t>
        </w:r>
      </w:hyperlink>
      <w:r>
        <w:rPr>
          <w:rFonts w:ascii="Calibri" w:cs="Calibri" w:eastAsia="Calibri" w:hAnsi="Calibri"/>
          <w:b w:val="false"/>
          <w:bCs w:val="false"/>
          <w:i/>
          <w:iCs/>
          <w:color w:val="000000"/>
          <w:sz w:val="21"/>
          <w:szCs w:val="21"/>
        </w:rPr>
        <w:t xml:space="preserve">  ·  JOUE du 24 juillet 2026, en vigueur le 27 juillet 2026</w:t>
      </w:r>
    </w:p>
    <w:p>
      <w:pPr>
        <w:spacing w:after="120"/>
      </w:pPr>
      <w:r>
        <w:rPr>
          <w:rFonts w:ascii="Calibri" w:cs="Calibri" w:eastAsia="Calibri" w:hAnsi="Calibri"/>
          <w:b w:val="false"/>
          <w:bCs w:val="false"/>
          <w:i w:val="false"/>
          <w:iCs w:val="false"/>
          <w:color w:val="000000"/>
          <w:sz w:val="21"/>
          <w:szCs w:val="21"/>
        </w:rPr>
        <w:t xml:space="preserve">Texte modificatif du règlement (UE) 2024/1689. C'est désormais la référence à citer dans toute note interne : l'AI Act consolidé s'entend « tel que modifié par l'omnibus IA ».</w:t>
      </w:r>
    </w:p>
    <w:p>
      <w:pPr>
        <w:spacing w:after="100" w:before="200"/>
      </w:pPr>
      <w:r>
        <w:rPr>
          <w:rFonts w:ascii="Calibri" w:cs="Calibri" w:eastAsia="Calibri" w:hAnsi="Calibri"/>
          <w:b/>
          <w:bCs/>
          <w:color w:val="1B3A6B"/>
          <w:sz w:val="22"/>
          <w:szCs w:val="22"/>
        </w:rPr>
        <w:t xml:space="preserve">AI Act Service Desk — calendrier officiel ✅</w:t>
      </w:r>
    </w:p>
    <w:p>
      <w:pPr>
        <w:spacing w:after="120"/>
      </w:pPr>
      <w:r>
        <w:rPr>
          <w:rFonts w:ascii="Calibri" w:cs="Calibri" w:eastAsia="Calibri" w:hAnsi="Calibri"/>
          <w:b w:val="false"/>
          <w:bCs w:val="false"/>
          <w:i w:val="false"/>
          <w:iCs w:val="false"/>
          <w:color w:val="000000"/>
          <w:sz w:val="21"/>
          <w:szCs w:val="21"/>
        </w:rPr>
        <w:t xml:space="preserve">Calendrier vérifié ce jour : 2 août 2026 (transparence + démarrage de l'exécution), 2 décembre 2026 (nouvelles interdictions + transition art. 50 §2), 2 août 2027 (bacs à sable), 2 décembre 2027 (annexe III), 2 août 2028 (annexe I). Le calendrier intègre les modifications de l'omnibus IA.</w:t>
      </w:r>
    </w:p>
    <w:p>
      <w:pPr>
        <w:spacing w:after="100" w:before="200"/>
      </w:pPr>
      <w:r>
        <w:rPr>
          <w:rFonts w:ascii="Calibri" w:cs="Calibri" w:eastAsia="Calibri" w:hAnsi="Calibri"/>
          <w:b/>
          <w:bCs/>
          <w:color w:val="1B3A6B"/>
          <w:sz w:val="22"/>
          <w:szCs w:val="22"/>
        </w:rPr>
        <w:t xml:space="preserve">Bureau de l'IA — premiers dialogues de conformité ⚠️</w:t>
      </w:r>
    </w:p>
    <w:p>
      <w:pPr>
        <w:spacing w:after="120"/>
      </w:pPr>
      <w:r>
        <w:rPr>
          <w:rFonts w:ascii="Calibri" w:cs="Calibri" w:eastAsia="Calibri" w:hAnsi="Calibri"/>
          <w:b w:val="false"/>
          <w:bCs w:val="false"/>
          <w:i w:val="false"/>
          <w:iCs w:val="false"/>
          <w:color w:val="000000"/>
          <w:sz w:val="21"/>
          <w:szCs w:val="21"/>
        </w:rPr>
        <w:t xml:space="preserve">Plusieurs sources secondaires rapportent que le Bureau de l'IA aurait engagé des dialogues bilatéraux de conformité avec des fournisseurs de modèles GPAI dès les premiers jours d'août 2026. </w:t>
      </w:r>
      <w:r>
        <w:rPr>
          <w:rFonts w:ascii="Calibri" w:cs="Calibri" w:eastAsia="Calibri" w:hAnsi="Calibri"/>
          <w:b/>
          <w:bCs/>
          <w:i w:val="false"/>
          <w:iCs w:val="false"/>
          <w:color w:val="000000"/>
          <w:sz w:val="21"/>
          <w:szCs w:val="21"/>
        </w:rPr>
        <w:t xml:space="preserve">Information non confirmée à ce jour sur les canaux officiels de la Commission</w:t>
      </w:r>
      <w:r>
        <w:rPr>
          <w:rFonts w:ascii="Calibri" w:cs="Calibri" w:eastAsia="Calibri" w:hAnsi="Calibri"/>
          <w:b w:val="false"/>
          <w:bCs w:val="false"/>
          <w:i w:val="false"/>
          <w:iCs w:val="false"/>
          <w:color w:val="000000"/>
          <w:sz w:val="21"/>
          <w:szCs w:val="21"/>
        </w:rPr>
        <w:t xml:space="preserve"> — à traiter comme un signal de posture d'exécution, pas comme un fait établi.</w:t>
      </w:r>
    </w:p>
    <w:p>
      <w:pPr>
        <w:spacing w:after="140" w:before="320"/>
      </w:pPr>
      <w:r>
        <w:rPr>
          <w:rFonts w:ascii="Calibri" w:cs="Calibri" w:eastAsia="Calibri" w:hAnsi="Calibri"/>
          <w:b/>
          <w:bCs/>
          <w:color w:val="1B3A6B"/>
          <w:sz w:val="26"/>
          <w:szCs w:val="26"/>
        </w:rPr>
        <w:t xml:space="preserve">📰 Analyses &amp; gouvernance</w:t>
      </w:r>
    </w:p>
    <w:p>
      <w:pPr>
        <w:spacing w:after="100" w:before="200"/>
      </w:pPr>
      <w:r>
        <w:rPr>
          <w:rFonts w:ascii="Calibri" w:cs="Calibri" w:eastAsia="Calibri" w:hAnsi="Calibri"/>
          <w:b/>
          <w:bCs/>
          <w:color w:val="1B3A6B"/>
          <w:sz w:val="22"/>
          <w:szCs w:val="22"/>
        </w:rPr>
        <w:t xml:space="preserve">IAPP — iapp.org ✅ (titres et dates vérifiés ; contenus partiellement réservés aux membres)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Incidents fournisseurs et preuve de conformité (27 août 2026) — </w:t>
      </w:r>
      <w:r>
        <w:rPr>
          <w:rFonts w:ascii="Calibri" w:cs="Calibri" w:eastAsia="Calibri" w:hAnsi="Calibri"/>
          <w:b w:val="false"/>
          <w:bCs w:val="false"/>
          <w:i w:val="false"/>
          <w:iCs w:val="false"/>
          <w:color w:val="000000"/>
          <w:sz w:val="21"/>
          <w:szCs w:val="21"/>
        </w:rPr>
        <w:t xml:space="preserve">analyse d'un incident de chaîne d'approvisionnement logicielle chez un grand fournisseur de modèles, pour montrer pourquoi les déployeurs soumis à l'AI Act doivent obtenir de leurs fournisseurs des éléments de preuve documentés en cas d'incident. Point le plus directement transposable à un ESSMS de toute la période.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Gouvernance IA au-delà de la conformité (27 août 2026) — </w:t>
      </w:r>
      <w:r>
        <w:rPr>
          <w:rFonts w:ascii="Calibri" w:cs="Calibri" w:eastAsia="Calibri" w:hAnsi="Calibri"/>
          <w:b w:val="false"/>
          <w:bCs w:val="false"/>
          <w:i w:val="false"/>
          <w:iCs w:val="false"/>
          <w:color w:val="000000"/>
          <w:sz w:val="21"/>
          <w:szCs w:val="21"/>
        </w:rPr>
        <w:t xml:space="preserve">plaidoyer pour concevoir les systèmes de gouvernance autour de la préservation de l'autonomie décisionnelle humaine plutôt que du seul respect formel des textes.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CADA et souveraineté cloud (20 août 2026) — </w:t>
      </w:r>
      <w:r>
        <w:rPr>
          <w:rFonts w:ascii="Calibri" w:cs="Calibri" w:eastAsia="Calibri" w:hAnsi="Calibri"/>
          <w:b w:val="false"/>
          <w:bCs w:val="false"/>
          <w:i w:val="false"/>
          <w:iCs w:val="false"/>
          <w:color w:val="000000"/>
          <w:sz w:val="21"/>
          <w:szCs w:val="21"/>
        </w:rPr>
        <w:t xml:space="preserve">pourquoi la souveraineté cloud devient un paramètre de stratégie et non plus seulement de conformité. À croiser avec la note « Notes from the IAPP Europe » du même jour sur le plan de l'UE pour sa souveraineté des données.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La confidentialité avant l'achat (26 août 2026) — </w:t>
      </w:r>
      <w:r>
        <w:rPr>
          <w:rFonts w:ascii="Calibri" w:cs="Calibri" w:eastAsia="Calibri" w:hAnsi="Calibri"/>
          <w:b w:val="false"/>
          <w:bCs w:val="false"/>
          <w:i w:val="false"/>
          <w:iCs w:val="false"/>
          <w:color w:val="000000"/>
          <w:sz w:val="21"/>
          <w:szCs w:val="21"/>
        </w:rPr>
        <w:t xml:space="preserve">argumentaire sur l'intégration des exigences de protection des données en amont des procédures d'achat, plutôt qu'en aval du déploiement.</w:t>
      </w:r>
    </w:p>
    <w:p>
      <w:pPr>
        <w:spacing w:after="100" w:before="200"/>
      </w:pPr>
      <w:r>
        <w:rPr>
          <w:rFonts w:ascii="Calibri" w:cs="Calibri" w:eastAsia="Calibri" w:hAnsi="Calibri"/>
          <w:b/>
          <w:bCs/>
          <w:color w:val="1B3A6B"/>
          <w:sz w:val="22"/>
          <w:szCs w:val="22"/>
        </w:rPr>
        <w:t xml:space="preserve">Cloud and AI Development Act (CADA) — état du dossier</w:t>
      </w:r>
    </w:p>
    <w:p>
      <w:pPr>
        <w:spacing w:after="120"/>
      </w:pPr>
      <w:r>
        <w:rPr>
          <w:rFonts w:ascii="Calibri" w:cs="Calibri" w:eastAsia="Calibri" w:hAnsi="Calibri"/>
          <w:b w:val="false"/>
          <w:bCs w:val="false"/>
          <w:i w:val="false"/>
          <w:iCs w:val="false"/>
          <w:color w:val="000000"/>
          <w:sz w:val="21"/>
          <w:szCs w:val="21"/>
        </w:rPr>
        <w:t xml:space="preserve">Proposition de la Commission du 3 juin 2026 (COM(2026) 502), en procédure législative ordinaire. Elle introduit un cadre de souveraineté cloud à quatre niveaux et un volet marchés publics pour les charges de travail sensibles du secteur public. Le CESE prépare son avis. La feuille de route interinstitutionnelle « One Europe, One Market » vise un accord politique à l'horizon Q4 2027 — date indicative, pas une échéance de conformité. </w:t>
      </w:r>
      <w:r>
        <w:rPr>
          <w:rFonts w:ascii="Calibri" w:cs="Calibri" w:eastAsia="Calibri" w:hAnsi="Calibri"/>
          <w:b/>
          <w:bCs/>
          <w:i w:val="false"/>
          <w:iCs w:val="false"/>
          <w:color w:val="000000"/>
          <w:sz w:val="21"/>
          <w:szCs w:val="21"/>
        </w:rPr>
        <w:t xml:space="preserve">Rien d'exigible à court terme pour un ESSMS</w:t>
      </w:r>
      <w:r>
        <w:rPr>
          <w:rFonts w:ascii="Calibri" w:cs="Calibri" w:eastAsia="Calibri" w:hAnsi="Calibri"/>
          <w:b w:val="false"/>
          <w:bCs w:val="false"/>
          <w:i w:val="false"/>
          <w:iCs w:val="false"/>
          <w:color w:val="000000"/>
          <w:sz w:val="21"/>
          <w:szCs w:val="21"/>
        </w:rPr>
        <w:t xml:space="preserve">, mais un signal fort pour les futurs marchés d'hébergement.</w:t>
      </w:r>
    </w:p>
    <w:p>
      <w:pPr>
        <w:spacing w:after="140" w:before="320"/>
      </w:pPr>
      <w:r>
        <w:rPr>
          <w:rFonts w:ascii="Calibri" w:cs="Calibri" w:eastAsia="Calibri" w:hAnsi="Calibri"/>
          <w:b/>
          <w:bCs/>
          <w:color w:val="1B3A6B"/>
          <w:sz w:val="26"/>
          <w:szCs w:val="26"/>
        </w:rPr>
        <w:t xml:space="preserve">🇫🇷 Perspective française — CNIL / CEPD</w:t>
      </w:r>
    </w:p>
    <w:p>
      <w:pPr>
        <w:spacing w:after="60"/>
      </w:pPr>
      <w:hyperlink w:history="1" r:id="rIdx2hjbljgnh20wabm7ru2y">
        <w:r>
          <w:rPr>
            <w:rFonts w:ascii="Calibri" w:cs="Calibri" w:eastAsia="Calibri" w:hAnsi="Calibri"/>
            <w:b/>
            <w:bCs/>
            <w:color w:val="0563C1"/>
            <w:sz w:val="21"/>
            <w:szCs w:val="21"/>
            <w:u w:val="single"/>
          </w:rPr>
          <w:t xml:space="preserve">Entrée en vigueur du règlement européen sur l'IA : les questions-réponses de la CNIL</w:t>
        </w:r>
      </w:hyperlink>
      <w:r>
        <w:rPr>
          <w:rFonts w:ascii="Calibri" w:cs="Calibri" w:eastAsia="Calibri" w:hAnsi="Calibri"/>
          <w:b w:val="false"/>
          <w:bCs w:val="false"/>
          <w:i/>
          <w:iCs/>
          <w:color w:val="000000"/>
          <w:sz w:val="21"/>
          <w:szCs w:val="21"/>
        </w:rPr>
        <w:t xml:space="preserve">  ·  mise à jour le 17 août 2026</w:t>
      </w:r>
    </w:p>
    <w:p>
      <w:pPr>
        <w:spacing w:after="120"/>
      </w:pPr>
      <w:r>
        <w:rPr>
          <w:rFonts w:ascii="Calibri" w:cs="Calibri" w:eastAsia="Calibri" w:hAnsi="Calibri"/>
          <w:b w:val="false"/>
          <w:bCs w:val="false"/>
          <w:i w:val="false"/>
          <w:iCs w:val="false"/>
          <w:color w:val="000000"/>
          <w:sz w:val="21"/>
          <w:szCs w:val="21"/>
        </w:rPr>
        <w:t xml:space="preserve">Mise à jour intégrant l'omnibus IA. Contient le calendrier révisé, la pyramide des risques actualisée, et surtout un tableau d'articulation RIA / RGPD précieux pour un DPO : le RIA ne remplace pas le RGPD, l'AIPD reste requise, et le déployeur d'un système à haut risque peut s'appuyer sur l'AIPD du fournisseur pour son analyse d'impact sur les droits fondamentaux (art. 26 et 27).</w:t>
      </w:r>
    </w:p>
    <w:p>
      <w:pPr>
        <w:spacing w:after="60"/>
      </w:pPr>
      <w:hyperlink w:history="1" r:id="rIdj3gztzyottmn7mt1ao3b8">
        <w:r>
          <w:rPr>
            <w:rFonts w:ascii="Calibri" w:cs="Calibri" w:eastAsia="Calibri" w:hAnsi="Calibri"/>
            <w:b/>
            <w:bCs/>
            <w:color w:val="0563C1"/>
            <w:sz w:val="21"/>
            <w:szCs w:val="21"/>
            <w:u w:val="single"/>
          </w:rPr>
          <w:t xml:space="preserve">IA agentique et données personnelles : note exploratoire CNIL / CIANum</w:t>
        </w:r>
      </w:hyperlink>
      <w:r>
        <w:rPr>
          <w:rFonts w:ascii="Calibri" w:cs="Calibri" w:eastAsia="Calibri" w:hAnsi="Calibri"/>
          <w:b w:val="false"/>
          <w:bCs w:val="false"/>
          <w:i/>
          <w:iCs/>
          <w:color w:val="000000"/>
          <w:sz w:val="21"/>
          <w:szCs w:val="21"/>
        </w:rPr>
        <w:t xml:space="preserve">  ·  20 juillet 2026</w:t>
      </w:r>
    </w:p>
    <w:p>
      <w:pPr>
        <w:spacing w:after="120"/>
      </w:pPr>
      <w:r>
        <w:rPr>
          <w:rFonts w:ascii="Calibri" w:cs="Calibri" w:eastAsia="Calibri" w:hAnsi="Calibri"/>
          <w:b w:val="false"/>
          <w:bCs w:val="false"/>
          <w:i w:val="false"/>
          <w:iCs w:val="false"/>
          <w:color w:val="000000"/>
          <w:sz w:val="21"/>
          <w:szCs w:val="21"/>
        </w:rPr>
        <w:t xml:space="preserve">Le passage de l'IA générative à l'IA agentique constitue un changement d'échelle : accès à de multiples sources de données, capacité d'action sur l'environnement, conservation d'historiques et mémoires persistantes. La note souligne deux risques structurants — la perte de maîtrise de l'utilisateur sur ses données, et la difficulté à identifier les responsabilités entre acteurs lorsque des processus décisionnels sont automatisés à travers plusieurs services connectés.</w:t>
      </w:r>
    </w:p>
    <w:p>
      <w:pPr>
        <w:spacing w:after="60"/>
      </w:pPr>
      <w:hyperlink w:history="1" r:id="rId-mjqjp97as-khvvkse9-a">
        <w:r>
          <w:rPr>
            <w:rFonts w:ascii="Calibri" w:cs="Calibri" w:eastAsia="Calibri" w:hAnsi="Calibri"/>
            <w:b/>
            <w:bCs/>
            <w:color w:val="0563C1"/>
            <w:sz w:val="21"/>
            <w:szCs w:val="21"/>
            <w:u w:val="single"/>
          </w:rPr>
          <w:t xml:space="preserve">IA : la CNIL met à jour son outil de traçabilité des modèles publiés en source ouverte</w:t>
        </w:r>
      </w:hyperlink>
      <w:r>
        <w:rPr>
          <w:rFonts w:ascii="Calibri" w:cs="Calibri" w:eastAsia="Calibri" w:hAnsi="Calibri"/>
          <w:b w:val="false"/>
          <w:bCs w:val="false"/>
          <w:i/>
          <w:iCs/>
          <w:color w:val="000000"/>
          <w:sz w:val="21"/>
          <w:szCs w:val="21"/>
        </w:rPr>
        <w:t xml:space="preserve">  ·  26 août 2026</w:t>
      </w:r>
    </w:p>
    <w:p>
      <w:pPr>
        <w:spacing w:after="120"/>
      </w:pPr>
      <w:r>
        <w:rPr>
          <w:rFonts w:ascii="Calibri" w:cs="Calibri" w:eastAsia="Calibri" w:hAnsi="Calibri"/>
          <w:b w:val="false"/>
          <w:bCs w:val="false"/>
          <w:i w:val="false"/>
          <w:iCs w:val="false"/>
          <w:color w:val="000000"/>
          <w:sz w:val="21"/>
          <w:szCs w:val="21"/>
        </w:rPr>
        <w:t xml:space="preserve">Nouvelle version du démonstrateur de généalogie des modèles open source, avec de meilleures performances. Utile pour documenter la provenance d'un modèle exécuté en local.</w:t>
      </w:r>
    </w:p>
    <w:p>
      <w:pPr>
        <w:spacing w:after="60"/>
      </w:pPr>
      <w:hyperlink w:history="1" r:id="rIdopmwqcyhqj5m4rhy66ugc">
        <w:r>
          <w:rPr>
            <w:rFonts w:ascii="Calibri" w:cs="Calibri" w:eastAsia="Calibri" w:hAnsi="Calibri"/>
            <w:b/>
            <w:bCs/>
            <w:color w:val="0563C1"/>
            <w:sz w:val="21"/>
            <w:szCs w:val="21"/>
            <w:u w:val="single"/>
          </w:rPr>
          <w:t xml:space="preserve">CEPD : anonymisation et moissonnage pour l'IA générative</w:t>
        </w:r>
      </w:hyperlink>
      <w:r>
        <w:rPr>
          <w:rFonts w:ascii="Calibri" w:cs="Calibri" w:eastAsia="Calibri" w:hAnsi="Calibri"/>
          <w:b w:val="false"/>
          <w:bCs w:val="false"/>
          <w:i/>
          <w:iCs/>
          <w:color w:val="000000"/>
          <w:sz w:val="21"/>
          <w:szCs w:val="21"/>
        </w:rPr>
        <w:t xml:space="preserve">  ·  adopté le 7 juillet 2026, communiqué CNIL du 9 juillet</w:t>
      </w:r>
    </w:p>
    <w:p>
      <w:pPr>
        <w:spacing w:after="120"/>
      </w:pPr>
      <w:r>
        <w:rPr>
          <w:rFonts w:ascii="Calibri" w:cs="Calibri" w:eastAsia="Calibri" w:hAnsi="Calibri"/>
          <w:b w:val="false"/>
          <w:bCs w:val="false"/>
          <w:i w:val="false"/>
          <w:iCs w:val="false"/>
          <w:color w:val="000000"/>
          <w:sz w:val="21"/>
          <w:szCs w:val="21"/>
        </w:rPr>
        <w:t xml:space="preserve">Trois textes : lignes directrices anonymisation, lignes directrices moissonnage (IA générative), et version finale des lignes directrices chaînes de blocs. Seul le texte blockchain est définitif ; les deux autres restent des projets ouverts à consultation jusqu'au 30 octobre 2026. Le cadre d'anonymisation repose sur trois critères — individualisation, corrélation, inférence — et confirme que l'anonymisation est elle-même un traitement soumis au RGPD.</w:t>
      </w:r>
    </w:p>
    <w:p>
      <w:pPr>
        <w:spacing w:after="100" w:before="200"/>
      </w:pPr>
      <w:r>
        <w:rPr>
          <w:rFonts w:ascii="Calibri" w:cs="Calibri" w:eastAsia="Calibri" w:hAnsi="Calibri"/>
          <w:b/>
          <w:bCs/>
          <w:color w:val="1B3A6B"/>
          <w:sz w:val="22"/>
          <w:szCs w:val="22"/>
        </w:rPr>
        <w:t xml:space="preserve">Gouvernance nationale — point de vigilance ⚠️</w:t>
      </w:r>
    </w:p>
    <w:p>
      <w:pPr>
        <w:spacing w:after="120"/>
      </w:pPr>
      <w:r>
        <w:rPr>
          <w:rFonts w:ascii="Calibri" w:cs="Calibri" w:eastAsia="Calibri" w:hAnsi="Calibri"/>
          <w:b w:val="false"/>
          <w:bCs w:val="false"/>
          <w:i w:val="false"/>
          <w:iCs w:val="false"/>
          <w:color w:val="000000"/>
          <w:sz w:val="21"/>
          <w:szCs w:val="21"/>
        </w:rPr>
        <w:t xml:space="preserve">La France n'a pas achevé la désignation de ses autorités compétentes au titre de l'article 70, alors même que les pouvoirs de sanction sont effectifs depuis le 2 août 2026. Le schéma gouvernemental publié le 9 septembre 2025 répartit la surveillance entre une quinzaine d'autorités sectorielles (CNIL, DGCCRF, Arcom, ACPR, AMF, ANSM, HAS, ANSSI), avec la DGCCRF en point de contact unique. Le vecteur législatif — le volet numérique du projet de loi DDADUE, adopté par le Sénat le 17 février 2026 — confie à la CNIL des compétences de surveillance du marché mais reste en navette parlementaire. </w:t>
      </w:r>
      <w:r>
        <w:rPr>
          <w:rFonts w:ascii="Calibri" w:cs="Calibri" w:eastAsia="Calibri" w:hAnsi="Calibri"/>
          <w:b/>
          <w:bCs/>
          <w:i w:val="false"/>
          <w:iCs w:val="false"/>
          <w:color w:val="000000"/>
          <w:sz w:val="21"/>
          <w:szCs w:val="21"/>
        </w:rPr>
        <w:t xml:space="preserve">Conséquence pratique : l'absence de désignation ne suspend rien. En pratique, l'interlocuteur de fait d'un ESSMS reste la CNIL, via le DPO.</w:t>
      </w:r>
    </w:p>
    <w:p>
      <w:pPr>
        <w:spacing w:after="140" w:before="320"/>
      </w:pPr>
      <w:r>
        <w:rPr>
          <w:rFonts w:ascii="Calibri" w:cs="Calibri" w:eastAsia="Calibri" w:hAnsi="Calibri"/>
          <w:b/>
          <w:bCs/>
          <w:color w:val="1B3A6B"/>
          <w:sz w:val="26"/>
          <w:szCs w:val="26"/>
        </w:rPr>
        <w:t xml:space="preserve">⚠️ Impacts pour les ESSMS — points de vigilance actualisés</w:t>
      </w:r>
    </w:p>
    <w:p>
      <w:pPr>
        <w:spacing w:after="160"/>
      </w:pPr>
      <w:r>
        <w:rPr>
          <w:rFonts w:ascii="Calibri" w:cs="Calibri" w:eastAsia="Calibri" w:hAnsi="Calibri"/>
          <w:i/>
          <w:iCs/>
          <w:color w:val="595959"/>
          <w:sz w:val="19"/>
          <w:szCs w:val="19"/>
        </w:rPr>
        <w:t xml:space="preserve">Cette section a été retravaillée : le 2 août est passé, l'analyse ne porte plus sur « se préparer » mais sur « vérifier ce qui est en défaut ».</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1. Article 50 — ce qui vous concerne réellement comme déployeur. </w:t>
      </w:r>
      <w:r>
        <w:rPr>
          <w:rFonts w:ascii="Calibri" w:cs="Calibri" w:eastAsia="Calibri" w:hAnsi="Calibri"/>
          <w:b w:val="false"/>
          <w:bCs w:val="false"/>
          <w:i w:val="false"/>
          <w:iCs w:val="false"/>
          <w:color w:val="000000"/>
          <w:sz w:val="21"/>
          <w:szCs w:val="21"/>
        </w:rPr>
        <w:t xml:space="preserve">L'obligation de divulgation qui pèse sur le déployeur vise trois situations précises : les hypertrucages, les textes publiés pour informer le public sur des questions d'intérêt public sans revue humaine ni contrôle éditorial, et les systèmes de reconnaissance des émotions ou de catégorisation biométrique. </w:t>
      </w:r>
      <w:r>
        <w:rPr>
          <w:rFonts w:ascii="Calibri" w:cs="Calibri" w:eastAsia="Calibri" w:hAnsi="Calibri"/>
          <w:b/>
          <w:bCs/>
          <w:i w:val="false"/>
          <w:iCs w:val="false"/>
          <w:color w:val="000000"/>
          <w:sz w:val="21"/>
          <w:szCs w:val="21"/>
        </w:rPr>
        <w:t xml:space="preserve">Un compte-rendu, une évaluation ou un courrier rédigé avec l'aide d'une IA puis relu et validé par un professionnel n'entre pas dans ce champ</w:t>
      </w:r>
      <w:r>
        <w:rPr>
          <w:rFonts w:ascii="Calibri" w:cs="Calibri" w:eastAsia="Calibri" w:hAnsi="Calibri"/>
          <w:b w:val="false"/>
          <w:bCs w:val="false"/>
          <w:i w:val="false"/>
          <w:iCs w:val="false"/>
          <w:color w:val="000000"/>
          <w:sz w:val="21"/>
          <w:szCs w:val="21"/>
        </w:rPr>
        <w:t xml:space="preserve">. En revanche, une page d'actualités du site de l'établissement alimentée automatiquement, ou un chatbot proposé aux familles, y entrent.</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2. Reconnaissance des émotions au travail — interdiction désormais sanctionnable. </w:t>
      </w:r>
      <w:r>
        <w:rPr>
          <w:rFonts w:ascii="Calibri" w:cs="Calibri" w:eastAsia="Calibri" w:hAnsi="Calibri"/>
          <w:b w:val="false"/>
          <w:bCs w:val="false"/>
          <w:i w:val="false"/>
          <w:iCs w:val="false"/>
          <w:color w:val="000000"/>
          <w:sz w:val="21"/>
          <w:szCs w:val="21"/>
        </w:rPr>
        <w:t xml:space="preserve">La pratique est interdite depuis février 2025, mais les pouvoirs de sanction ne sont effectifs que depuis le 2 août 2026, avec un plafond de 35 M€ ou 7 % du CA. </w:t>
      </w:r>
      <w:r>
        <w:rPr>
          <w:rFonts w:ascii="Calibri" w:cs="Calibri" w:eastAsia="Calibri" w:hAnsi="Calibri"/>
          <w:b/>
          <w:bCs/>
          <w:i w:val="false"/>
          <w:iCs w:val="false"/>
          <w:color w:val="000000"/>
          <w:sz w:val="21"/>
          <w:szCs w:val="21"/>
        </w:rPr>
        <w:t xml:space="preserve">À vérifier concrètement : </w:t>
      </w:r>
      <w:r>
        <w:rPr>
          <w:rFonts w:ascii="Calibri" w:cs="Calibri" w:eastAsia="Calibri" w:hAnsi="Calibri"/>
          <w:b w:val="false"/>
          <w:bCs w:val="false"/>
          <w:i w:val="false"/>
          <w:iCs w:val="false"/>
          <w:color w:val="000000"/>
          <w:sz w:val="21"/>
          <w:szCs w:val="21"/>
        </w:rPr>
        <w:t xml:space="preserve">tout outil de transcription ou d'analyse de réunions proposant un « sentiment analysis », un « ton de la conversation » ou un score d'engagement. La fonctionnalité est souvent activée par défaut chez les éditeurs.</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3. Littératie IA (art. 4) — obligation en vigueur, maintenant exécutoire. </w:t>
      </w:r>
      <w:r>
        <w:rPr>
          <w:rFonts w:ascii="Calibri" w:cs="Calibri" w:eastAsia="Calibri" w:hAnsi="Calibri"/>
          <w:b w:val="false"/>
          <w:bCs w:val="false"/>
          <w:i w:val="false"/>
          <w:iCs w:val="false"/>
          <w:color w:val="000000"/>
          <w:sz w:val="21"/>
          <w:szCs w:val="21"/>
        </w:rPr>
        <w:t xml:space="preserve">Depuis février 2025, mais l'exécution démarre au 2 août 2026. Les professionnels qui utilisent des outils d'IA doivent avoir reçu une formation adaptée à leur niveau d'usage. Pour vos deux équipes (12 professionnels AES, ME, ES), cela suppose une trace : contenu, date, émargement. Un module court intégré au plan de formation suffit, mais il doit exister.</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4. Marquage art. 50 §2 — échéance fournisseurs au 2 décembre 2026. </w:t>
      </w:r>
      <w:r>
        <w:rPr>
          <w:rFonts w:ascii="Calibri" w:cs="Calibri" w:eastAsia="Calibri" w:hAnsi="Calibri"/>
          <w:b w:val="false"/>
          <w:bCs w:val="false"/>
          <w:i w:val="false"/>
          <w:iCs w:val="false"/>
          <w:color w:val="000000"/>
          <w:sz w:val="21"/>
          <w:szCs w:val="21"/>
        </w:rPr>
        <w:t xml:space="preserve">Les systèmes génératifs mis sur le marché avant le 2 août 2026 bénéficient d'un sursis jusqu'au 2 décembre. </w:t>
      </w:r>
      <w:r>
        <w:rPr>
          <w:rFonts w:ascii="Calibri" w:cs="Calibri" w:eastAsia="Calibri" w:hAnsi="Calibri"/>
          <w:b/>
          <w:bCs/>
          <w:i w:val="false"/>
          <w:iCs w:val="false"/>
          <w:color w:val="000000"/>
          <w:sz w:val="21"/>
          <w:szCs w:val="21"/>
        </w:rPr>
        <w:t xml:space="preserve">Action : </w:t>
      </w:r>
      <w:r>
        <w:rPr>
          <w:rFonts w:ascii="Calibri" w:cs="Calibri" w:eastAsia="Calibri" w:hAnsi="Calibri"/>
          <w:b w:val="false"/>
          <w:bCs w:val="false"/>
          <w:i w:val="false"/>
          <w:iCs w:val="false"/>
          <w:color w:val="000000"/>
          <w:sz w:val="21"/>
          <w:szCs w:val="21"/>
        </w:rPr>
        <w:t xml:space="preserve">interroger par écrit les éditeurs (DUI, outils de transcription, générateurs de supports) sur leur conformité art. 50 §2 et leur adhésion éventuelle au code de bonnes pratiques transparence. Une réponse écrite constitue une pièce de conformité.</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5. Preuves d'incidents fournisseurs — nouveau réflexe achats. </w:t>
      </w:r>
      <w:r>
        <w:rPr>
          <w:rFonts w:ascii="Calibri" w:cs="Calibri" w:eastAsia="Calibri" w:hAnsi="Calibri"/>
          <w:b w:val="false"/>
          <w:bCs w:val="false"/>
          <w:i w:val="false"/>
          <w:iCs w:val="false"/>
          <w:color w:val="000000"/>
          <w:sz w:val="21"/>
          <w:szCs w:val="21"/>
        </w:rPr>
        <w:t xml:space="preserve">L'angle IAPP du 27 août est directement applicable : en tant que déployeur, vous devez pouvoir démontrer ce que votre fournisseur vous a communiqué en cas d'incident. À intégrer aux clauses contractuelles au même titre que les garanties RGPD, en articulation avec la démarche CPOM et le volet qualité.</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6. IA agentique — cadrage préalable avant tout test. </w:t>
      </w:r>
      <w:r>
        <w:rPr>
          <w:rFonts w:ascii="Calibri" w:cs="Calibri" w:eastAsia="Calibri" w:hAnsi="Calibri"/>
          <w:b w:val="false"/>
          <w:bCs w:val="false"/>
          <w:i w:val="false"/>
          <w:iCs w:val="false"/>
          <w:color w:val="000000"/>
          <w:sz w:val="21"/>
          <w:szCs w:val="21"/>
        </w:rPr>
        <w:t xml:space="preserve">La note CNIL/CIANum du 20 juillet identifie précisément le risque qui vous concerne : dès qu'un agent accède à plusieurs sources (messagerie, DUI, fichiers), la chaîne de responsabilité se brouille et la surface cyber s'étend à tous les services connectés. Un test sur données réelles de résidents est à proscrire ; un test sur données fictives, documenté, est la bonne porte d'entrée.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7. Cartographie des usages — le report ne dispense pas du recensement. </w:t>
      </w:r>
      <w:r>
        <w:rPr>
          <w:rFonts w:ascii="Calibri" w:cs="Calibri" w:eastAsia="Calibri" w:hAnsi="Calibri"/>
          <w:b w:val="false"/>
          <w:bCs w:val="false"/>
          <w:i w:val="false"/>
          <w:iCs w:val="false"/>
          <w:color w:val="000000"/>
          <w:sz w:val="21"/>
          <w:szCs w:val="21"/>
        </w:rPr>
        <w:t xml:space="preserve">Le report des obligations haut risque au 2 décembre 2027 laisse du temps, mais le recensement des outils IA utilisés (aide à la rédaction, planification, analyse, DUI) et de leur niveau de risque conditionne tout le reste. C'est aussi une pièce naturelle du dossier d'évaluation HAS, dont le référentiel ESSMS comporte des critères de gouvernance du numérique.</w:t>
      </w:r>
    </w:p>
    <w:p>
      <w:pPr>
        <w:pStyle w:val="ListParagraph"/>
        <w:numPr>
          <w:ilvl w:val="0"/>
          <w:numId w:val="1"/>
        </w:numPr>
        <w:spacing w:after="100"/>
      </w:pPr>
      <w:r>
        <w:rPr>
          <w:rFonts w:ascii="Calibri" w:cs="Calibri" w:eastAsia="Calibri" w:hAnsi="Calibri"/>
          <w:b/>
          <w:bCs/>
          <w:i w:val="false"/>
          <w:iCs w:val="false"/>
          <w:color w:val="000000"/>
          <w:sz w:val="21"/>
          <w:szCs w:val="21"/>
        </w:rPr>
        <w:t xml:space="preserve">8. RGPD et base légale des données — articuler avec le DPO. </w:t>
      </w:r>
      <w:r>
        <w:rPr>
          <w:rFonts w:ascii="Calibri" w:cs="Calibri" w:eastAsia="Calibri" w:hAnsi="Calibri"/>
          <w:b w:val="false"/>
          <w:bCs w:val="false"/>
          <w:i w:val="false"/>
          <w:iCs w:val="false"/>
          <w:color w:val="000000"/>
          <w:sz w:val="21"/>
          <w:szCs w:val="21"/>
        </w:rPr>
        <w:t xml:space="preserve">Les lignes directrices CEPD renforcent l'exigence de justification de la base légale, avec un durcissement notable sur l'anonymisation (trois critères) et sur les données sensibles en contexte de moissonnage. Pour un foyer d'hébergement accueillant des adultes en situation de handicap avec comorbidités psychiatriques, la quasi-totalité des données concernées relèvent de l'article 9 : aucune tolérance sur la base légale.</w:t>
      </w:r>
    </w:p>
    <w:p>
      <w:pPr>
        <w:spacing w:after="100" w:before="200"/>
      </w:pPr>
      <w:r>
        <w:rPr>
          <w:rFonts w:ascii="Calibri" w:cs="Calibri" w:eastAsia="Calibri" w:hAnsi="Calibri"/>
          <w:b/>
          <w:bCs/>
          <w:color w:val="1B3A6B"/>
          <w:sz w:val="22"/>
          <w:szCs w:val="22"/>
        </w:rPr>
        <w:t xml:space="preserve">Ressources sectorielles utiles (hors période, à conserver)</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Guide HAS / CNIL, « Accompagner le bon usage des systèmes d'intelligence artificielle en contexte de soins » (février 2026).</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ANAP — modèle de charte IA pour les établissements, et observatoire des usages de l'IA en santé (ia.anap.fr).</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CNSA — feuille de route stratégique IA 2025-2026 de la branche Autonomie, avec réseau d'ambassadeurs IA en ESSMS.</w:t>
      </w:r>
    </w:p>
    <w:p>
      <w:pPr>
        <w:spacing w:after="140" w:before="320"/>
      </w:pPr>
      <w:r>
        <w:rPr>
          <w:rFonts w:ascii="Calibri" w:cs="Calibri" w:eastAsia="Calibri" w:hAnsi="Calibri"/>
          <w:b/>
          <w:bCs/>
          <w:color w:val="1B3A6B"/>
          <w:sz w:val="26"/>
          <w:szCs w:val="26"/>
        </w:rPr>
        <w:t xml:space="preserve">📚 Sources consultées ce jour</w:t>
      </w:r>
    </w:p>
    <w:p>
      <w:pPr>
        <w:spacing w:after="100" w:before="200"/>
      </w:pPr>
      <w:r>
        <w:rPr>
          <w:rFonts w:ascii="Calibri" w:cs="Calibri" w:eastAsia="Calibri" w:hAnsi="Calibri"/>
          <w:b/>
          <w:bCs/>
          <w:color w:val="1B3A6B"/>
          <w:sz w:val="22"/>
          <w:szCs w:val="22"/>
        </w:rPr>
        <w:t xml:space="preserve">✅ Sources directement lues (WebFetch)</w:t>
      </w:r>
    </w:p>
    <w:p>
      <w:pPr>
        <w:pStyle w:val="ListParagraph"/>
        <w:numPr>
          <w:ilvl w:val="0"/>
          <w:numId w:val="1"/>
        </w:numPr>
        <w:spacing w:after="100"/>
      </w:pPr>
      <w:hyperlink w:history="1" r:id="rIdawxp8ggibhpzdstws3wgj">
        <w:r>
          <w:rPr>
            <w:rFonts w:ascii="Calibri" w:cs="Calibri" w:eastAsia="Calibri" w:hAnsi="Calibri"/>
            <w:b w:val="false"/>
            <w:bCs w:val="false"/>
            <w:color w:val="0563C1"/>
            <w:sz w:val="21"/>
            <w:szCs w:val="21"/>
            <w:u w:val="single"/>
          </w:rPr>
          <w:t xml:space="preserve">Commission européenne — AI Act (digital-strategy.ec.europa.eu), page mise à jour le 3 août 2026</w:t>
        </w:r>
      </w:hyperlink>
    </w:p>
    <w:p>
      <w:pPr>
        <w:pStyle w:val="ListParagraph"/>
        <w:numPr>
          <w:ilvl w:val="0"/>
          <w:numId w:val="1"/>
        </w:numPr>
        <w:spacing w:after="100"/>
      </w:pPr>
      <w:hyperlink w:history="1" r:id="rIdnh0nd7ktpt0rh0kt_cuup">
        <w:r>
          <w:rPr>
            <w:rFonts w:ascii="Calibri" w:cs="Calibri" w:eastAsia="Calibri" w:hAnsi="Calibri"/>
            <w:b w:val="false"/>
            <w:bCs w:val="false"/>
            <w:color w:val="0563C1"/>
            <w:sz w:val="21"/>
            <w:szCs w:val="21"/>
            <w:u w:val="single"/>
          </w:rPr>
          <w:t xml:space="preserve">Commission — communiqué du 31 juillet 2026 sur le démarrage de l'exécution</w:t>
        </w:r>
      </w:hyperlink>
    </w:p>
    <w:p>
      <w:pPr>
        <w:pStyle w:val="ListParagraph"/>
        <w:numPr>
          <w:ilvl w:val="0"/>
          <w:numId w:val="1"/>
        </w:numPr>
        <w:spacing w:after="100"/>
      </w:pPr>
      <w:hyperlink w:history="1" r:id="rId2zz6mlhbjcjmvxmom7zfo">
        <w:r>
          <w:rPr>
            <w:rFonts w:ascii="Calibri" w:cs="Calibri" w:eastAsia="Calibri" w:hAnsi="Calibri"/>
            <w:b w:val="false"/>
            <w:bCs w:val="false"/>
            <w:color w:val="0563C1"/>
            <w:sz w:val="21"/>
            <w:szCs w:val="21"/>
            <w:u w:val="single"/>
          </w:rPr>
          <w:t xml:space="preserve">Commission — communiqué du 20 juillet 2026 sur les lignes directrices transparence</w:t>
        </w:r>
      </w:hyperlink>
    </w:p>
    <w:p>
      <w:pPr>
        <w:pStyle w:val="ListParagraph"/>
        <w:numPr>
          <w:ilvl w:val="0"/>
          <w:numId w:val="1"/>
        </w:numPr>
        <w:spacing w:after="100"/>
      </w:pPr>
      <w:hyperlink w:history="1" r:id="rIdx18ixqssicvcwli3g-mel">
        <w:r>
          <w:rPr>
            <w:rFonts w:ascii="Calibri" w:cs="Calibri" w:eastAsia="Calibri" w:hAnsi="Calibri"/>
            <w:b w:val="false"/>
            <w:bCs w:val="false"/>
            <w:color w:val="0563C1"/>
            <w:sz w:val="21"/>
            <w:szCs w:val="21"/>
            <w:u w:val="single"/>
          </w:rPr>
          <w:t xml:space="preserve">AI Act Service Desk — calendrier de mise en œuvre</w:t>
        </w:r>
      </w:hyperlink>
    </w:p>
    <w:p>
      <w:pPr>
        <w:pStyle w:val="ListParagraph"/>
        <w:numPr>
          <w:ilvl w:val="0"/>
          <w:numId w:val="1"/>
        </w:numPr>
        <w:spacing w:after="100"/>
      </w:pPr>
      <w:hyperlink w:history="1" r:id="rIduttwz0spg9omxjai41yex">
        <w:r>
          <w:rPr>
            <w:rFonts w:ascii="Calibri" w:cs="Calibri" w:eastAsia="Calibri" w:hAnsi="Calibri"/>
            <w:b w:val="false"/>
            <w:bCs w:val="false"/>
            <w:color w:val="0563C1"/>
            <w:sz w:val="21"/>
            <w:szCs w:val="21"/>
            <w:u w:val="single"/>
          </w:rPr>
          <w:t xml:space="preserve">CNIL — rubrique Intelligence artificielle</w:t>
        </w:r>
      </w:hyperlink>
    </w:p>
    <w:p>
      <w:pPr>
        <w:pStyle w:val="ListParagraph"/>
        <w:numPr>
          <w:ilvl w:val="0"/>
          <w:numId w:val="1"/>
        </w:numPr>
        <w:spacing w:after="100"/>
      </w:pPr>
      <w:hyperlink w:history="1" r:id="rIdbzkd6w1cl9qksyiqdmvov">
        <w:r>
          <w:rPr>
            <w:rFonts w:ascii="Calibri" w:cs="Calibri" w:eastAsia="Calibri" w:hAnsi="Calibri"/>
            <w:b w:val="false"/>
            <w:bCs w:val="false"/>
            <w:color w:val="0563C1"/>
            <w:sz w:val="21"/>
            <w:szCs w:val="21"/>
            <w:u w:val="single"/>
          </w:rPr>
          <w:t xml:space="preserve">CNIL — questions-réponses règlement IA (màj 17 août 2026)</w:t>
        </w:r>
      </w:hyperlink>
    </w:p>
    <w:p>
      <w:pPr>
        <w:pStyle w:val="ListParagraph"/>
        <w:numPr>
          <w:ilvl w:val="0"/>
          <w:numId w:val="1"/>
        </w:numPr>
        <w:spacing w:after="100"/>
      </w:pPr>
      <w:hyperlink w:history="1" r:id="rIdyg-rauqhyjihrsmcl9cjp">
        <w:r>
          <w:rPr>
            <w:rFonts w:ascii="Calibri" w:cs="Calibri" w:eastAsia="Calibri" w:hAnsi="Calibri"/>
            <w:b w:val="false"/>
            <w:bCs w:val="false"/>
            <w:color w:val="0563C1"/>
            <w:sz w:val="21"/>
            <w:szCs w:val="21"/>
            <w:u w:val="single"/>
          </w:rPr>
          <w:t xml:space="preserve">CNIL / CIANum — note IA agentique (20 juillet 2026)</w:t>
        </w:r>
      </w:hyperlink>
    </w:p>
    <w:p>
      <w:pPr>
        <w:pStyle w:val="ListParagraph"/>
        <w:numPr>
          <w:ilvl w:val="0"/>
          <w:numId w:val="1"/>
        </w:numPr>
        <w:spacing w:after="100"/>
      </w:pPr>
      <w:hyperlink w:history="1" r:id="rIdhirynkvt8nax322d4qec3">
        <w:r>
          <w:rPr>
            <w:rFonts w:ascii="Calibri" w:cs="Calibri" w:eastAsia="Calibri" w:hAnsi="Calibri"/>
            <w:b w:val="false"/>
            <w:bCs w:val="false"/>
            <w:color w:val="0563C1"/>
            <w:sz w:val="21"/>
            <w:szCs w:val="21"/>
            <w:u w:val="single"/>
          </w:rPr>
          <w:t xml:space="preserve">IAPP — fil d'actualité (titres et dates)</w:t>
        </w:r>
      </w:hyperlink>
    </w:p>
    <w:p>
      <w:pPr>
        <w:spacing w:after="100" w:before="200"/>
      </w:pPr>
      <w:r>
        <w:rPr>
          <w:rFonts w:ascii="Calibri" w:cs="Calibri" w:eastAsia="Calibri" w:hAnsi="Calibri"/>
          <w:b/>
          <w:bCs/>
          <w:color w:val="1B3A6B"/>
          <w:sz w:val="22"/>
          <w:szCs w:val="22"/>
        </w:rPr>
        <w:t xml:space="preserve">⚠️ Sources accessibles via extraits de recherche uniquement</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EDPB / CEPD — communiqué du 8 juillet 2026 sur l'anonymisation et le moissonnage (contenu recoupé avec le relais CNIL ✅).</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Presse spécialisée FR et internationale sur les premiers dialogues de conformité du Bureau de l'IA — non confirmé sur source officielle.</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Dossier CADA — pages Commission, CESE et Parlement européen (extraits ; proposition COM(2026) 502 du 3 juin 2026).</w:t>
      </w:r>
    </w:p>
    <w:p>
      <w:pPr>
        <w:spacing w:after="100" w:before="200"/>
      </w:pPr>
      <w:r>
        <w:rPr>
          <w:rFonts w:ascii="Calibri" w:cs="Calibri" w:eastAsia="Calibri" w:hAnsi="Calibri"/>
          <w:b/>
          <w:bCs/>
          <w:color w:val="1B3A6B"/>
          <w:sz w:val="22"/>
          <w:szCs w:val="22"/>
        </w:rPr>
        <w:t xml:space="preserve">⛔ Non accessible</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artificialintelligenceact.eu/analyses/ — rendu JavaScript côté client, contenu non extractible en headless (inchangé depuis juillet).</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Articles IAPP marqués MEMBER — titres, dates et thèmes vérifiés, corps de texte non accessible.</w:t>
      </w:r>
    </w:p>
    <w:p>
      <w:pPr>
        <w:spacing w:after="140" w:before="320"/>
      </w:pPr>
      <w:r>
        <w:rPr>
          <w:rFonts w:ascii="Calibri" w:cs="Calibri" w:eastAsia="Calibri" w:hAnsi="Calibri"/>
          <w:b/>
          <w:bCs/>
          <w:color w:val="1B3A6B"/>
          <w:sz w:val="26"/>
          <w:szCs w:val="26"/>
        </w:rPr>
        <w:t xml:space="preserve">🔜 À surveiller</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Premières décisions ou demandes d'information formelles du Bureau de l'IA envers des fournisseurs GPAI — c'est le premier vrai test de la posture d'exécution européenne.</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Adoption définitive du volet numérique de la loi DDADUE et désignation officielle des autorités françaises. À suivre de près : c'est ce texte qui déterminera qui contrôle un ESSMS.</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Clôture de la consultation CEPD le 30 octobre 2026, puis publication des versions consolidées des lignes directrices anonymisation et moissonnage.</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Échéance du 2 décembre 2026 : entrée en vigueur des nouvelles interdictions et fin de la transition art. 50 §2 — relancer les éditeurs en octobre pour obtenir leurs réponses avant l'échéance.</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Évolution du dossier CADA au Parlement et au Conseil, en particulier le volet marchés publics et souveraineté cloud, qui touchera les futurs marchés d'hébergement de l'association.</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Publication éventuelle de normes harmonisées CEN/CENELEC (dix normes en cours de rédaction) — elles conditionnent la mise en œuvre concrète du haut risque en 2027.</w:t>
      </w:r>
    </w:p>
    <w:p>
      <w:pPr>
        <w:pStyle w:val="ListParagraph"/>
        <w:numPr>
          <w:ilvl w:val="0"/>
          <w:numId w:val="1"/>
        </w:numPr>
        <w:spacing w:after="100"/>
      </w:pPr>
      <w:r>
        <w:rPr>
          <w:rFonts w:ascii="Calibri" w:cs="Calibri" w:eastAsia="Calibri" w:hAnsi="Calibri"/>
          <w:b w:val="false"/>
          <w:bCs w:val="false"/>
          <w:i w:val="false"/>
          <w:iCs w:val="false"/>
          <w:color w:val="000000"/>
          <w:sz w:val="21"/>
          <w:szCs w:val="21"/>
        </w:rPr>
        <w:t xml:space="preserve">Travaux CNIL annoncés pour 2026 sur l'analyse automatique des communications vocales (transcription, analyse de réunions) — sujet directement applicable à vos pratiques de réunion d'équipe.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b/>
          <w:bCs/>
          <w:color w:val="1F2937"/>
          <w:sz w:val="22"/>
          <w:szCs w:val="22"/>
        </w:rPr>
        <w:t xml:space="preserve">Décompte des sources corrigé le 12/09/2026, au cours d'un contrôle des 85 veilles du dépôt (outils/scripts/controle_decompte.py). Le contenu de la note est inchangé ; seuls les nombres annoncés ont été alignés sur la liste des sources qu'elle contient. Formulation d'origine conservée ici.</w:t>
      </w:r>
    </w:p>
    <w:p>
      <w:pPr>
        <w:spacing w:after="80"/>
      </w:pPr>
      <w:r>
        <w:rPr>
          <w:rFonts w:ascii="Calibri" w:cs="Calibri" w:eastAsia="Calibri" w:hAnsi="Calibri"/>
          <w:color w:val="1F2937"/>
          <w:sz w:val="22"/>
          <w:szCs w:val="22"/>
        </w:rPr>
        <w:t xml:space="preserve">Version initiale : « Sources : 7✅ + 3⚠️ / 10 », en en-tête et en pied de note. La rubrique Sources compte huit pages directement lues (Commission × 3, Service Desk, CNIL × 3, IAPP), trois accessibles via extraits de recherche et deux non accessibles (artificialintelligenceact.eu, articles IAPP MEMBER) : treize entrées, dont huit ✅. Les deux ⛔ n'entraient pas dans le total annoncé.</w:t>
      </w:r>
    </w:p>
    <w:p>
      <w:pPr>
        <w:pBdr>
          <w:top w:val="single" w:color="1B3A6B" w:sz="6" w:space="6"/>
        </w:pBdr>
        <w:spacing w:before="400"/>
      </w:pPr>
      <w:r>
        <w:rPr>
          <w:rFonts w:ascii="Calibri" w:cs="Calibri" w:eastAsia="Calibri" w:hAnsi="Calibri"/>
          <w:i/>
          <w:iCs/>
          <w:color w:val="595959"/>
          <w:sz w:val="18"/>
          <w:szCs w:val="18"/>
        </w:rPr>
        <w:t xml:space="preserve">Compte-rendu produit le 2026-08-29 | Période 19 juillet – 29 août 2026 | Niveau d'alerte : 🔴 Élevé | 8✅ + 3⚠️ + 2⛔ / 13 (corrigé le 12/09/2026 — voir le journal des corrections) sources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wulqmrleydkbj3ysk0td" Type="http://schemas.openxmlformats.org/officeDocument/2006/relationships/hyperlink" Target="https://digital-strategy.ec.europa.eu/en/news/commission-starts-enforcing-ai-act-rules-and-new-transparency-requirements-2-august" TargetMode="External"/><Relationship Id="rIdsl8k98f1lj_wnkc6ztvux" Type="http://schemas.openxmlformats.org/officeDocument/2006/relationships/hyperlink" Target="https://digital-strategy.ec.europa.eu/en/news/commission-publishes-guidelines-transparency-obligations-providers-and-deployers-certain-ai-systems" TargetMode="External"/><Relationship Id="rId9upd8fziuhvtzh7pwsr3z" Type="http://schemas.openxmlformats.org/officeDocument/2006/relationships/hyperlink" Target="https://digital-strategy.ec.europa.eu/en/library/commission-opinion-assessment-code-practice-transparency-ai-generated-content" TargetMode="External"/><Relationship Id="rIdvoashl_dr9r3b0jqw2i-a" Type="http://schemas.openxmlformats.org/officeDocument/2006/relationships/hyperlink" Target="https://digital-strategy.ec.europa.eu/en/news/eu-launches-ai-gigafactories-call-boost-europes-computing-capacity-and-unlock-more-eu30-billion" TargetMode="External"/><Relationship Id="rIds0ihjwajj6fah8cb3tfu4" Type="http://schemas.openxmlformats.org/officeDocument/2006/relationships/hyperlink" Target="https://digital-strategy.ec.europa.eu/en/library/ai-office-publishes-frontier-ai-expert-findings-eu-competitiveness-sovereignty-and-security" TargetMode="External"/><Relationship Id="rIdf7y_y6vatrwjmpjp-wwhf" Type="http://schemas.openxmlformats.org/officeDocument/2006/relationships/hyperlink" Target="https://eur-lex.europa.eu/legal-content/FR/TXT/HTML/?uri=OJ:L_202601744" TargetMode="External"/><Relationship Id="rIdx2hjbljgnh20wabm7ru2y" Type="http://schemas.openxmlformats.org/officeDocument/2006/relationships/hyperlink" Target="https://www.cnil.fr/fr/entree-en-vigueur-du-reglement-europeen-sur-lia-les-premieres-questions-reponses-de-la-cnil" TargetMode="External"/><Relationship Id="rIdj3gztzyottmn7mt1ao3b8" Type="http://schemas.openxmlformats.org/officeDocument/2006/relationships/hyperlink" Target="https://www.cnil.fr/fr/ia-agentique-cnil-cianum-note" TargetMode="External"/><Relationship Id="rId-mjqjp97as-khvvkse9-a" Type="http://schemas.openxmlformats.org/officeDocument/2006/relationships/hyperlink" Target="https://www.cnil.fr/fr/ia-la-cnil-met-jour-son-outil-de-tracabilite-des-modeles-publies-en-source-ouverte" TargetMode="External"/><Relationship Id="rIdopmwqcyhqj5m4rhy66ugc" Type="http://schemas.openxmlformats.org/officeDocument/2006/relationships/hyperlink" Target="https://www.cnil.fr/fr/cepd-ia-generative-chaines-blocs" TargetMode="External"/><Relationship Id="rIdawxp8ggibhpzdstws3wgj" Type="http://schemas.openxmlformats.org/officeDocument/2006/relationships/hyperlink" Target="https://digital-strategy.ec.europa.eu/en/policies/regulatory-framework-ai" TargetMode="External"/><Relationship Id="rIdnh0nd7ktpt0rh0kt_cuup" Type="http://schemas.openxmlformats.org/officeDocument/2006/relationships/hyperlink" Target="https://digital-strategy.ec.europa.eu/en/news/commission-starts-enforcing-ai-act-rules-and-new-transparency-requirements-2-august" TargetMode="External"/><Relationship Id="rId2zz6mlhbjcjmvxmom7zfo" Type="http://schemas.openxmlformats.org/officeDocument/2006/relationships/hyperlink" Target="https://digital-strategy.ec.europa.eu/en/news/commission-publishes-guidelines-transparency-obligations-providers-and-deployers-certain-ai-systems" TargetMode="External"/><Relationship Id="rIdx18ixqssicvcwli3g-mel" Type="http://schemas.openxmlformats.org/officeDocument/2006/relationships/hyperlink" Target="https://ai-act-service-desk.ec.europa.eu/en/ai-act/timeline/timeline-implementation-eu-ai-act" TargetMode="External"/><Relationship Id="rIduttwz0spg9omxjai41yex" Type="http://schemas.openxmlformats.org/officeDocument/2006/relationships/hyperlink" Target="https://www.cnil.fr/fr/intelligence-artificielle" TargetMode="External"/><Relationship Id="rIdbzkd6w1cl9qksyiqdmvov" Type="http://schemas.openxmlformats.org/officeDocument/2006/relationships/hyperlink" Target="https://www.cnil.fr/fr/entree-en-vigueur-du-reglement-europeen-sur-lia-les-premieres-questions-reponses-de-la-cnil" TargetMode="External"/><Relationship Id="rIdyg-rauqhyjihrsmcl9cjp" Type="http://schemas.openxmlformats.org/officeDocument/2006/relationships/hyperlink" Target="https://www.cnil.fr/fr/ia-agentique-cnil-cianum-note" TargetMode="External"/><Relationship Id="rIdhirynkvt8nax322d4qec3" Type="http://schemas.openxmlformats.org/officeDocument/2006/relationships/hyperlink" Target="https://iapp.org/news/"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AI Act — 29 août 2026</dc:title>
  <dc:creator>Veille AI Act</dc:creator>
  <cp:lastModifiedBy>Un-named</cp:lastModifiedBy>
  <cp:revision>1</cp:revision>
  <dcterms:created xsi:type="dcterms:W3CDTF">2026-08-29T13:18:31.703Z</dcterms:created>
  <dcterms:modified xsi:type="dcterms:W3CDTF">2026-08-29T13:18:31.717Z</dcterms:modified>
</cp:coreProperties>
</file>

<file path=docProps/custom.xml><?xml version="1.0" encoding="utf-8"?>
<Properties xmlns="http://schemas.openxmlformats.org/officeDocument/2006/custom-properties" xmlns:vt="http://schemas.openxmlformats.org/officeDocument/2006/docPropsVTypes"/>
</file>