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Stoïcisme n°16 — Les exercices spirituels selon Pierre Hadot</w:t>
      </w:r>
    </w:p>
    <w:p>
      <w:pPr>
        <w:spacing w:after="80"/>
        <w:jc w:val="center"/>
      </w:pPr>
      <w:r>
        <w:rPr>
          <w:rFonts w:ascii="Times New Roman" w:cs="Times New Roman" w:eastAsia="Times New Roman" w:hAnsi="Times New Roman"/>
          <w:color w:val="1F2937"/>
          <w:sz w:val="20"/>
          <w:szCs w:val="20"/>
        </w:rPr>
        <w:t xml:space="preserve">24 septembre 2026  ·  Leçon 16 / 20</w:t>
      </w:r>
    </w:p>
    <w:p>
      <w:pPr>
        <w:spacing w:after="80"/>
      </w:pPr>
      <w:r>
        <w:rPr>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seras capable de : (1) définir ce que Pierre Hadot entend par « exercices spirituels » et pourquoi ce concept renouvelle la lecture du stoïcisme ; (2) identifier les trois grandes catégories d'exercices qu'il distingue ; (3) pratiquer au moins deux de ces exercices cette semaine en t'appuyant sur les textes.</w:t>
      </w:r>
    </w:p>
    <w:p>
      <w:pPr>
        <w:spacing w:after="120"/>
      </w:pPr>
      <w:r>
        <w:rPr>
          <w:rFonts w:ascii="Times New Roman" w:cs="Times New Roman" w:eastAsia="Times New Roman" w:hAnsi="Times New Roman"/>
          <w:color w:val="1F2937"/>
          <w:sz w:val="22"/>
          <w:szCs w:val="22"/>
        </w:rPr>
        <w:t xml:space="preserve">Continuité avec la leçon 15 (le kathêkon / devoir et l'engagement dans la cité) : Hadot montre précisément que le kathêkon n'est pas un impératif abstrait — c'est l'un des exercices actifs centraux de la vie stoïcienne. La leçon d'aujourd'hui fournit le cadre interprétatif qui donne à cette pratique du devoir son sens philosophique plein.</w:t>
      </w:r>
    </w:p>
    <w:p>
      <w:pPr>
        <w:spacing w:after="80"/>
      </w:pPr>
      <w:r>
        <w:rPr>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Qui est Pierre Hadot ?</w:t>
      </w:r>
    </w:p>
    <w:p>
      <w:pPr>
        <w:spacing w:after="120"/>
      </w:pPr>
      <w:r>
        <w:rPr>
          <w:rFonts w:ascii="Times New Roman" w:cs="Times New Roman" w:eastAsia="Times New Roman" w:hAnsi="Times New Roman"/>
          <w:color w:val="1F2937"/>
          <w:sz w:val="22"/>
          <w:szCs w:val="22"/>
        </w:rPr>
        <w:t xml:space="preserve">Pierre Hadot (21 février 1922 – 24 avril 2010) était un philosophe et historien français spécialisé dans la philosophie antique — notamment le stoïcisme et le néoplatonisme. Il a enseigné au Collège de France de 1983 à 1991, à la chaire d'Histoire de la pensée hellénistique et romaine.</w:t>
      </w:r>
    </w:p>
    <w:p>
      <w:pPr>
        <w:spacing w:after="120"/>
      </w:pPr>
      <w:r>
        <w:rPr>
          <w:rFonts w:ascii="Times New Roman" w:cs="Times New Roman" w:eastAsia="Times New Roman" w:hAnsi="Times New Roman"/>
          <w:color w:val="1F2937"/>
          <w:sz w:val="22"/>
          <w:szCs w:val="22"/>
        </w:rPr>
        <w:t xml:space="preserve">Ses œuvres principales sur la philosophie pratique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Exercices spirituels et philosophie antique (Études augustiniennes, 1981 ; nouvelle éd. Albin Michel, 2002)</w:t>
      </w:r>
    </w:p>
    <w:p>
      <w:pPr>
        <w:pStyle w:val="ListParagraph"/>
        <w:numPr>
          <w:ilvl w:val="0"/>
          <w:numId w:val="1"/>
        </w:numPr>
        <w:spacing w:after="80"/>
      </w:pPr>
      <w:r>
        <w:rPr>
          <w:rFonts w:ascii="Times New Roman" w:cs="Times New Roman" w:eastAsia="Times New Roman" w:hAnsi="Times New Roman"/>
          <w:color w:val="1F2937"/>
          <w:sz w:val="22"/>
          <w:szCs w:val="22"/>
        </w:rPr>
        <w:t xml:space="preserve">La citadelle intérieure. Introduction aux Pensées de Marc Aurèle (1992, Fayard)</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Qu'est-ce que la philosophie antique ? (1995, Gallimard)</w:t>
      </w:r>
    </w:p>
    <w:p>
      <w:pPr>
        <w:pStyle w:val="ListParagraph"/>
        <w:numPr>
          <w:ilvl w:val="0"/>
          <w:numId w:val="1"/>
        </w:numPr>
        <w:spacing w:after="80"/>
      </w:pPr>
      <w:r>
        <w:rPr>
          <w:rFonts w:ascii="Times New Roman" w:cs="Times New Roman" w:eastAsia="Times New Roman" w:hAnsi="Times New Roman"/>
          <w:color w:val="1F2937"/>
          <w:sz w:val="22"/>
          <w:szCs w:val="22"/>
        </w:rPr>
        <w:t xml:space="preserve">Philosophy as a Way of Life (1995, Blackwell — version anglaise augmentée des textes de 1981)</w:t>
      </w:r>
    </w:p>
    <w:p>
      <w:pPr>
        <w:spacing w:after="120"/>
      </w:pPr>
      <w:r>
        <w:rPr>
          <w:rFonts w:ascii="Times New Roman" w:cs="Times New Roman" w:eastAsia="Times New Roman" w:hAnsi="Times New Roman"/>
          <w:color w:val="1F2937"/>
          <w:sz w:val="22"/>
          <w:szCs w:val="22"/>
        </w:rPr>
        <w:t xml:space="preserve">Vers la fin de sa vie, Hadot estimait que l'épicurisme et le stoïcisme nourrissaient sa propre existence « and that of modern society » — la page joint les deux. Son travail a influencé directement Michel Foucault, qui a développé la notion de « souci de soi » en s'appuyant notamment sur ses analyses.</w:t>
      </w:r>
      <w:r>
        <w:rPr>
          <w:rFonts w:ascii="Times New Roman" w:cs="Times New Roman" w:eastAsia="Times New Roman" w:hAnsi="Times New Roman"/>
          <w:i/>
          <w:iCs/>
          <w:color w:val="6B7280"/>
          <w:sz w:val="20"/>
          <w:szCs w:val="20"/>
        </w:rPr>
        <w:t xml:space="preserve"> [Corrigé le 24/09/2026 : la leçon s'arrêtait à « sa propre existence » ; la page écrit « Hadot felt that Epicureanism and Stoicism nourished his life and that of modern society ». Et « souci de soi » n'est pas sur cette page : elle dit seulement l'influence sur Foucault « in the second and third volumes of his History of Sexuality ».]</w:t>
      </w:r>
    </w:p>
    <w:p>
      <w:pPr>
        <w:spacing w:after="80"/>
      </w:pPr>
      <w:r>
        <w:rPr>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2. La thèse centrale : la philosophie comme manière de vivre</w:t>
      </w:r>
    </w:p>
    <w:p>
      <w:pPr>
        <w:spacing w:after="120"/>
      </w:pPr>
      <w:r>
        <w:rPr>
          <w:rFonts w:ascii="Times New Roman" w:cs="Times New Roman" w:eastAsia="Times New Roman" w:hAnsi="Times New Roman"/>
          <w:color w:val="1F2937"/>
          <w:sz w:val="22"/>
          <w:szCs w:val="22"/>
        </w:rPr>
        <w:t xml:space="preserve">Hadot défend une thèse radicale et dérangeante : la philosophie antique n'était pas d'abord une discipline académique produisant des théories, mais une forme de vie — un choix existentiel global engageant la totalité de l'existence du philosophe.</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Hadot soutient que le choix d'un mode de vie est au commencement de la philosophie antique — et non comme conséquence accessoire. (Synthèse d'après Matthew Sharpe, article « Pierre Hadot » de l'Internet Encyclopedia of Philosophy — non vérifiable mot à mot en français)</w:t>
      </w:r>
    </w:p>
    <w:p>
      <w:pPr>
        <w:spacing w:after="120"/>
      </w:pPr>
      <w:r>
        <w:rPr>
          <w:rFonts w:ascii="Times New Roman" w:cs="Times New Roman" w:eastAsia="Times New Roman" w:hAnsi="Times New Roman"/>
          <w:color w:val="1F2937"/>
          <w:sz w:val="22"/>
          <w:szCs w:val="22"/>
        </w:rPr>
        <w:t xml:space="preserve">Ce qui frappe Hadot dans les textes stoïciens, c'est que les écrits de Marc Aurèle ou les Entretiens d'Épictète ne sont pas des traités destinés à exposer une doctrine : ce sont des instruments de transformation personnelle, destinés à être pratiqués quotidiennement.</w:t>
      </w:r>
    </w:p>
    <w:p>
      <w:pPr>
        <w:spacing w:after="80"/>
      </w:pPr>
      <w:r>
        <w:rPr>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3. Définition des exercices spirituels</w:t>
      </w:r>
    </w:p>
    <w:p>
      <w:pPr>
        <w:spacing w:after="120"/>
      </w:pPr>
      <w:r>
        <w:rPr>
          <w:rFonts w:ascii="Times New Roman" w:cs="Times New Roman" w:eastAsia="Times New Roman" w:hAnsi="Times New Roman"/>
          <w:color w:val="1F2937"/>
          <w:sz w:val="22"/>
          <w:szCs w:val="22"/>
        </w:rPr>
        <w:t xml:space="preserve">Hadot définit les exercices spirituels comme des pratiques volontaires et régulières dont le but est d'effectuer une transformation durable chez celui qui les accomplit — non seulement dans sa manière de penser, mais dans ce qu'il ressent et fait au quotidien.</w:t>
      </w:r>
    </w:p>
    <w:p>
      <w:pPr>
        <w:spacing w:after="120"/>
      </w:pPr>
      <w:r>
        <w:rPr>
          <w:rFonts w:ascii="Times New Roman" w:cs="Times New Roman" w:eastAsia="Times New Roman" w:hAnsi="Times New Roman"/>
          <w:color w:val="1F2937"/>
          <w:sz w:val="22"/>
          <w:szCs w:val="22"/>
        </w:rPr>
        <w:t xml:space="preserve">Le terme « spirituel » ne renvoie pas au religieux mais à l'ensemble des facultés humaines : intellect, imagination, affect, volonté. Ces exercices mobilisent toute la personne, pas seulement sa raison.</w:t>
      </w:r>
    </w:p>
    <w:p>
      <w:pPr>
        <w:spacing w:after="120"/>
      </w:pPr>
      <w:r>
        <w:rPr>
          <w:rFonts w:ascii="Times New Roman" w:cs="Times New Roman" w:eastAsia="Times New Roman" w:hAnsi="Times New Roman"/>
          <w:color w:val="1F2937"/>
          <w:sz w:val="22"/>
          <w:szCs w:val="22"/>
        </w:rPr>
        <w:t xml:space="preserve">Le tableau ci-dessous range en trois colonnes des exercices qui viennent de deux sources distinctes, et le classement lui-même est de cette leçon. La liste des exercices est celle que Hadot tient de Philon d'Alexandrie, telle que Matthew Sharpe la rapporte : d'un côté « reading, listening, dialogue, inquiry, and research », de l'autre « practices of attention (prosoche), meditations (meletai), memorizations of dogmata, self-mastery (enkrateia), the therapy of the passions, the remembrance of good things, the accomplishment of duties, and the cultivation of indifference towards indifferent things ». La colonne « Exercices actifs » et sa correspondance avec les trois disciplines sont, elles, l'argument d'Anitra Russell (Modern Stoicism) : « Hadot's three types of active exercises correspond perfectly to Epictetus' three areas of Stoic practice » — et elle précise que « Hadot does not elaborate in this essay on the background or origin of those exercises ». Trois catégories, donc, mais pas de Hadot :</w:t>
      </w:r>
      <w:r>
        <w:rPr>
          <w:rFonts w:ascii="Times New Roman" w:cs="Times New Roman" w:eastAsia="Times New Roman" w:hAnsi="Times New Roman"/>
          <w:i/>
          <w:iCs/>
          <w:color w:val="6B7280"/>
          <w:sz w:val="20"/>
          <w:szCs w:val="20"/>
        </w:rPr>
        <w:t xml:space="preserve"> [Corrigé le 24/09/2026 : la leçon écrivait « Hadot regroupe les exercices stoïciens en trois grandes catégories (d'après son analyse des trois disciplines stoïciennes … dont il repère la convergence avec les quatre vertus) ». Les pages rouvertes ne portent pas ce classement : « categor » compte 0 occurrence sur l'article de Modern Stoicism et « three » 0 sur l'article de l'IEP consacré à Hadot, dont la liste est en DEUX ensembles. Les exercices sont réels, le rangement en trois est de la leçon, et la correspondance avec les trois disciplines est d'Anitra Russell — qui écrit explicitement que Hadot ne l'élabore pas.]</w:t>
      </w:r>
    </w:p>
    <w:p>
      <w:pPr>
        <w:spacing w:after="8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3A6B" w:val="clear"/>
          </w:tcPr>
          <w:p>
            <w:pPr>
              <w:jc w:val="center"/>
            </w:pPr>
            <w:r>
              <w:rPr>
                <w:rFonts w:ascii="Times New Roman" w:cs="Times New Roman" w:eastAsia="Times New Roman" w:hAnsi="Times New Roman"/>
                <w:b/>
                <w:bCs/>
                <w:color w:val="FFFFFF"/>
                <w:sz w:val="22"/>
                <w:szCs w:val="22"/>
              </w:rPr>
              <w:t xml:space="preserve">Catégorie (Hadot)</w:t>
            </w:r>
          </w:p>
        </w:tc>
        <w:tc>
          <w:tcPr>
            <w:tcW w:type="pct" w:w="70%"/>
            <w:shd w:fill="1B3A6B" w:val="clear"/>
          </w:tcPr>
          <w:p>
            <w:pPr>
              <w:jc w:val="center"/>
            </w:pPr>
            <w:r>
              <w:rPr>
                <w:rFonts w:ascii="Times New Roman" w:cs="Times New Roman" w:eastAsia="Times New Roman" w:hAnsi="Times New Roman"/>
                <w:b/>
                <w:bCs/>
                <w:color w:val="FFFFFF"/>
                <w:sz w:val="22"/>
                <w:szCs w:val="22"/>
              </w:rPr>
              <w:t xml:space="preserve">Exercices concrets</w:t>
            </w:r>
          </w:p>
        </w:tc>
      </w:tr>
      <w:tr>
        <w:tc>
          <w:tcPr>
            <w:shd w:fill="FFFFFF" w:val="clear"/>
          </w:tcPr>
          <w:p>
            <w:r>
              <w:rPr>
                <w:rFonts w:ascii="Times New Roman" w:cs="Times New Roman" w:eastAsia="Times New Roman" w:hAnsi="Times New Roman"/>
                <w:b/>
                <w:bCs/>
                <w:color w:val="1F2937"/>
                <w:sz w:val="22"/>
                <w:szCs w:val="22"/>
              </w:rPr>
              <w:t xml:space="preserve">Exercices de méditation</w:t>
            </w:r>
          </w:p>
        </w:tc>
        <w:tc>
          <w:tcPr>
            <w:shd w:fill="FFFFFF" w:val="clear"/>
          </w:tcPr>
          <w:p>
            <w:r>
              <w:rPr>
                <w:rFonts w:ascii="Times New Roman" w:cs="Times New Roman" w:eastAsia="Times New Roman" w:hAnsi="Times New Roman"/>
                <w:color w:val="1F2937"/>
                <w:sz w:val="22"/>
                <w:szCs w:val="22"/>
              </w:rPr>
              <w:t xml:space="preserve">Prosochè (attention vigilante), premeditatio malorum, méditation sur la mort (memento mori), concentration sur le présent, vue cosmique (vue d'en haut)</w:t>
            </w:r>
          </w:p>
        </w:tc>
      </w:tr>
      <w:tr>
        <w:tc>
          <w:tcPr>
            <w:shd w:fill="EEF2F7" w:val="clear"/>
          </w:tcPr>
          <w:p>
            <w:r>
              <w:rPr>
                <w:rFonts w:ascii="Times New Roman" w:cs="Times New Roman" w:eastAsia="Times New Roman" w:hAnsi="Times New Roman"/>
                <w:b/>
                <w:bCs/>
                <w:color w:val="1F2937"/>
                <w:sz w:val="22"/>
                <w:szCs w:val="22"/>
              </w:rPr>
              <w:t xml:space="preserve">Exercices actifs</w:t>
            </w:r>
          </w:p>
        </w:tc>
        <w:tc>
          <w:tcPr>
            <w:shd w:fill="EEF2F7" w:val="clear"/>
          </w:tcPr>
          <w:p>
            <w:r>
              <w:rPr>
                <w:rFonts w:ascii="Times New Roman" w:cs="Times New Roman" w:eastAsia="Times New Roman" w:hAnsi="Times New Roman"/>
                <w:color w:val="1F2937"/>
                <w:sz w:val="22"/>
                <w:szCs w:val="22"/>
              </w:rPr>
              <w:t xml:space="preserve">Auto-maîtrise (enkrateia), accomplissement des devoirs (kathêkon), indifférence aux indifférents, maîtrise des jugements (assentiment)</w:t>
            </w:r>
          </w:p>
        </w:tc>
      </w:tr>
      <w:tr>
        <w:tc>
          <w:tcPr>
            <w:shd w:fill="FFFFFF" w:val="clear"/>
          </w:tcPr>
          <w:p>
            <w:r>
              <w:rPr>
                <w:rFonts w:ascii="Times New Roman" w:cs="Times New Roman" w:eastAsia="Times New Roman" w:hAnsi="Times New Roman"/>
                <w:b/>
                <w:bCs/>
                <w:color w:val="1F2937"/>
                <w:sz w:val="22"/>
                <w:szCs w:val="22"/>
              </w:rPr>
              <w:t xml:space="preserve">Exercices intellectuels</w:t>
            </w:r>
          </w:p>
        </w:tc>
        <w:tc>
          <w:tcPr>
            <w:shd w:fill="FFFFFF" w:val="clear"/>
          </w:tcPr>
          <w:p>
            <w:r>
              <w:rPr>
                <w:rFonts w:ascii="Times New Roman" w:cs="Times New Roman" w:eastAsia="Times New Roman" w:hAnsi="Times New Roman"/>
                <w:color w:val="1F2937"/>
                <w:sz w:val="22"/>
                <w:szCs w:val="22"/>
              </w:rPr>
              <w:t xml:space="preserve">Lecture active, écriture de soi (hypomnemata), dialogue, examen de conscience du soir</w:t>
            </w:r>
          </w:p>
        </w:tc>
      </w:tr>
    </w:tbl>
    <w:p>
      <w:pPr>
        <w:spacing w:after="80"/>
      </w:pPr>
      <w:r>
        <w:rPr>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4. La prosochè : l'exercice fondamental</w:t>
      </w:r>
    </w:p>
    <w:p>
      <w:pPr>
        <w:spacing w:after="120"/>
      </w:pPr>
      <w:r>
        <w:rPr>
          <w:rFonts w:ascii="Times New Roman" w:cs="Times New Roman" w:eastAsia="Times New Roman" w:hAnsi="Times New Roman"/>
          <w:color w:val="1F2937"/>
          <w:sz w:val="22"/>
          <w:szCs w:val="22"/>
        </w:rPr>
        <w:t xml:space="preserve">Parmi tous les exercices, Hadot accorde une place centrale à la prosochè — mot grec que l'on traduit par « attention », « vigilance » ou « présence à soi ». C'est une surveillance constante de ses propres pensées, jugements et désirs.</w:t>
      </w:r>
    </w:p>
    <w:p>
      <w:pPr>
        <w:spacing w:after="120"/>
      </w:pPr>
      <w:r>
        <w:rPr>
          <w:rFonts w:ascii="Times New Roman" w:cs="Times New Roman" w:eastAsia="Times New Roman" w:hAnsi="Times New Roman"/>
          <w:color w:val="1F2937"/>
          <w:sz w:val="22"/>
          <w:szCs w:val="22"/>
        </w:rPr>
        <w:t xml:space="preserve">Pour Marc Aurèle (Méditations VI.11, texte MIT lié en ressources : « quickly return to thyself and do not continue out of tune longer than the compulsion lasts »), cette attention est ce qui permet, après chaque perturbation, de revenir rapidement à soi-même et de ne pas rester désaccordé plus longtemps que dure la contrainte. (Reformulation du texte MIT, Livre VI — non citation de traducteur nommé)</w:t>
      </w:r>
      <w:r>
        <w:rPr>
          <w:rFonts w:ascii="Times New Roman" w:cs="Times New Roman" w:eastAsia="Times New Roman" w:hAnsi="Times New Roman"/>
          <w:i/>
          <w:iCs/>
          <w:color w:val="6B7280"/>
          <w:sz w:val="20"/>
          <w:szCs w:val="20"/>
        </w:rPr>
        <w:t xml:space="preserve"> [Corrigé le 24/09/2026 : « Livre VI, d'après le texte MIT » — le Livre VI n'était pas dans les ressources de la leçon, qui ne portaient que le Livre II et la page d'index. Il a été ouvert le 24/09/2026 (HTTP 200), le passage est le 11e de ce livre, et il est désormais lié.]</w:t>
      </w:r>
    </w:p>
    <w:p>
      <w:pPr>
        <w:spacing w:after="120"/>
      </w:pPr>
      <w:r>
        <w:rPr>
          <w:rFonts w:ascii="Times New Roman" w:cs="Times New Roman" w:eastAsia="Times New Roman" w:hAnsi="Times New Roman"/>
          <w:color w:val="1F2937"/>
          <w:sz w:val="22"/>
          <w:szCs w:val="22"/>
        </w:rPr>
        <w:t xml:space="preserve">La prosochè est aussi ce qui rend possible la premeditatio malorum et la concentration sur le présent : sans attention soutenue, tous les autres exercices restent des bonnes intentions.</w:t>
      </w:r>
    </w:p>
    <w:p>
      <w:pPr>
        <w:spacing w:after="80"/>
      </w:pPr>
      <w:r>
        <w:rPr>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5. Les Pensées de Marc Aurèle comme hypomnemata</w:t>
      </w:r>
    </w:p>
    <w:p>
      <w:pPr>
        <w:spacing w:after="120"/>
      </w:pPr>
      <w:r>
        <w:rPr>
          <w:rFonts w:ascii="Times New Roman" w:cs="Times New Roman" w:eastAsia="Times New Roman" w:hAnsi="Times New Roman"/>
          <w:color w:val="1F2937"/>
          <w:sz w:val="22"/>
          <w:szCs w:val="22"/>
        </w:rPr>
        <w:t xml:space="preserve">L'un des apports les plus éclairants de Hadot concerne la nature des Pensées de Marc Aurèle. Ces textes ne sont pas des essais philosophiques destinés à être publiés : ce sont des hypomnemata — des aide-mémoire personnels, des notes d'entraînement que Marc Aurèle écrivait pour lui-même.</w:t>
      </w:r>
    </w:p>
    <w:p>
      <w:pPr>
        <w:spacing w:after="120"/>
      </w:pPr>
      <w:r>
        <w:rPr>
          <w:rFonts w:ascii="Times New Roman" w:cs="Times New Roman" w:eastAsia="Times New Roman" w:hAnsi="Times New Roman"/>
          <w:color w:val="1F2937"/>
          <w:sz w:val="22"/>
          <w:szCs w:val="22"/>
        </w:rPr>
        <w:t xml:space="preserve">Chaque pensée est un exercice : en les rédigeant, Marc Aurèle réactivait des principes stoïciens pour les maintenir vivants, prêts à être mobilisés dans l'action. La forme fragmentée, parfois répétitive, s'explique par cette fonction pratique.</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Marc Aurèle, Méditations II.14 (trad. G. Long, MIT) : nul ne perd d'autre vie que celle qu'il vit maintenant — seul le présent compte. (Style indirect — voir lien ci-dessous, Livre II, 14e passage)</w:t>
      </w:r>
      <w:r>
        <w:rPr>
          <w:rFonts w:ascii="Times New Roman" w:cs="Times New Roman" w:eastAsia="Times New Roman" w:hAnsi="Times New Roman"/>
          <w:i/>
          <w:iCs/>
          <w:color w:val="6B7280"/>
          <w:sz w:val="20"/>
          <w:szCs w:val="20"/>
        </w:rPr>
        <w:t xml:space="preserve"> [Corrigé le 24/09/2026 : la leçon écrivait « Livre II.11 ». La page du MIT ne porte AUCUNE numérotation — zéro occurrence de « 11. », de « XI. » ou de « Section » — et le passage y est le 14e du livre, c'est-à-dire II.14 dans la numérotation courante de la traduction de George Long.]</w:t>
      </w:r>
    </w:p>
    <w:p>
      <w:pPr>
        <w:spacing w:after="80"/>
        <w:ind w:left="431"/>
      </w:pPr>
      <w:hyperlink w:history="1" r:id="rIdutojelk14sfjrl_hdjzzj">
        <w:r>
          <w:rPr>
            <w:rFonts w:ascii="Times New Roman" w:cs="Times New Roman" w:eastAsia="Times New Roman" w:hAnsi="Times New Roman"/>
            <w:color w:val="1155CC"/>
            <w:sz w:val="20"/>
            <w:szCs w:val="20"/>
            <w:u w:val="single"/>
          </w:rPr>
          <w:t xml:space="preserve">Marc Aurèle, Méditations Livre II — texte intégral MIT (le passage est le 14e du livre ; la page ne numérote pas ses sections)</w:t>
        </w:r>
      </w:hyperlink>
    </w:p>
    <w:p>
      <w:pPr>
        <w:spacing w:after="80"/>
      </w:pPr>
      <w:r>
        <w:rPr>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6. Hadot et l'impact contemporain</w:t>
      </w:r>
    </w:p>
    <w:p>
      <w:pPr>
        <w:spacing w:after="120"/>
      </w:pPr>
      <w:r>
        <w:rPr>
          <w:rFonts w:ascii="Times New Roman" w:cs="Times New Roman" w:eastAsia="Times New Roman" w:hAnsi="Times New Roman"/>
          <w:color w:val="1F2937"/>
          <w:sz w:val="22"/>
          <w:szCs w:val="22"/>
        </w:rPr>
        <w:t xml:space="preserve">La relecture de Hadot a eu deux effets majeurs :</w:t>
      </w:r>
    </w:p>
    <w:p>
      <w:pPr>
        <w:pStyle w:val="ListParagraph"/>
        <w:numPr>
          <w:ilvl w:val="0"/>
          <w:numId w:val="1"/>
        </w:numPr>
        <w:spacing w:after="80"/>
      </w:pPr>
      <w:r>
        <w:rPr>
          <w:rFonts w:ascii="Times New Roman" w:cs="Times New Roman" w:eastAsia="Times New Roman" w:hAnsi="Times New Roman"/>
          <w:color w:val="1F2937"/>
          <w:sz w:val="22"/>
          <w:szCs w:val="22"/>
        </w:rPr>
        <w:t xml:space="preserve">Elle a inspiré le renouveau du stoïcisme pratique (Modern Stoicism, Massimo Pigliucci) qui insiste sur les exercices concrets plutôt que sur la doctrine.</w:t>
      </w:r>
      <w:r>
        <w:rPr>
          <w:rFonts w:ascii="Times New Roman" w:cs="Times New Roman" w:eastAsia="Times New Roman" w:hAnsi="Times New Roman"/>
          <w:i/>
          <w:iCs/>
          <w:color w:val="6B7280"/>
          <w:sz w:val="20"/>
          <w:szCs w:val="20"/>
        </w:rPr>
        <w:t xml:space="preserve"> [Corrigé le 24/09/2026 : « Ryan Holiday » ne figure sur aucune des huit pages ouvertes pour cette leçon — nom ajouté de mémoire, retiré. Et « massimo » portait une minuscule.]</w:t>
      </w:r>
    </w:p>
    <w:p>
      <w:pPr>
        <w:pStyle w:val="ListParagraph"/>
        <w:numPr>
          <w:ilvl w:val="0"/>
          <w:numId w:val="1"/>
        </w:numPr>
        <w:spacing w:after="80"/>
      </w:pPr>
      <w:r>
        <w:rPr>
          <w:rFonts w:ascii="Times New Roman" w:cs="Times New Roman" w:eastAsia="Times New Roman" w:hAnsi="Times New Roman"/>
          <w:color w:val="1F2937"/>
          <w:sz w:val="22"/>
          <w:szCs w:val="22"/>
        </w:rPr>
        <w:t xml:space="preserve">Elle a fourni à Michel Foucault le cadre théorique pour penser le « souci de soi » (epimeleia heautou) dans les deux derniers volumes de l'Histoire de la sexualité.</w:t>
      </w:r>
    </w:p>
    <w:p>
      <w:pPr>
        <w:spacing w:after="120"/>
      </w:pPr>
      <w:r>
        <w:rPr>
          <w:rFonts w:ascii="Times New Roman" w:cs="Times New Roman" w:eastAsia="Times New Roman" w:hAnsi="Times New Roman"/>
          <w:color w:val="1F2937"/>
          <w:sz w:val="22"/>
          <w:szCs w:val="22"/>
        </w:rPr>
        <w:t xml:space="preserve">L'article de Massimo Pigliucci dans l'IEP synthétise comment Hadot (1998) établit les parallèles entre les trois disciplines stoïciennes et les quatre vertus — un point que les commentateurs modernes reprennent régulièrement comme grille de lecture.</w:t>
      </w:r>
    </w:p>
    <w:p>
      <w:pPr>
        <w:spacing w:after="80"/>
      </w:pPr>
      <w:r>
        <w:rPr>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La prosochè du matin (5 minutes)</w:t>
      </w:r>
    </w:p>
    <w:p>
      <w:pPr>
        <w:spacing w:after="120"/>
      </w:pPr>
      <w:r>
        <w:rPr>
          <w:rFonts w:ascii="Times New Roman" w:cs="Times New Roman" w:eastAsia="Times New Roman" w:hAnsi="Times New Roman"/>
          <w:color w:val="1F2937"/>
          <w:sz w:val="22"/>
          <w:szCs w:val="22"/>
        </w:rPr>
        <w:t xml:space="preserve">Objectif : instaurer la vigilance stoïcienne dès le début de la journée.</w:t>
      </w:r>
    </w:p>
    <w:p>
      <w:pPr>
        <w:spacing w:after="12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80"/>
      </w:pPr>
      <w:r>
        <w:rPr>
          <w:rFonts w:ascii="Times New Roman" w:cs="Times New Roman" w:eastAsia="Times New Roman" w:hAnsi="Times New Roman"/>
          <w:color w:val="1F2937"/>
          <w:sz w:val="22"/>
          <w:szCs w:val="22"/>
        </w:rPr>
        <w:t xml:space="preserve">Au réveil, avant de regarder ton téléphone, assieds-toi en silence 5 minutes.</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 UNE situation concrète qui t'attend aujourd'hui et qui pourrait perturber ton équanimité (conflit, tâche difficile, attente d'un résultat).</w:t>
      </w:r>
    </w:p>
    <w:p>
      <w:pPr>
        <w:pStyle w:val="ListParagraph"/>
        <w:numPr>
          <w:ilvl w:val="0"/>
          <w:numId w:val="1"/>
        </w:numPr>
        <w:spacing w:after="80"/>
      </w:pPr>
      <w:r>
        <w:rPr>
          <w:rFonts w:ascii="Times New Roman" w:cs="Times New Roman" w:eastAsia="Times New Roman" w:hAnsi="Times New Roman"/>
          <w:color w:val="1F2937"/>
          <w:sz w:val="22"/>
          <w:szCs w:val="22"/>
        </w:rPr>
        <w:t xml:space="preserve">Applique la distinction : qu'est-ce qui est en mon pouvoir dans cette situation (mon jugement, mon attitude) ? Qu'est-ce qui ne l'est pas (la réaction d'autrui, l'issue) ?</w:t>
      </w:r>
    </w:p>
    <w:p>
      <w:pPr>
        <w:pStyle w:val="ListParagraph"/>
        <w:numPr>
          <w:ilvl w:val="0"/>
          <w:numId w:val="1"/>
        </w:numPr>
        <w:spacing w:after="80"/>
      </w:pPr>
      <w:r>
        <w:rPr>
          <w:rFonts w:ascii="Times New Roman" w:cs="Times New Roman" w:eastAsia="Times New Roman" w:hAnsi="Times New Roman"/>
          <w:color w:val="1F2937"/>
          <w:sz w:val="22"/>
          <w:szCs w:val="22"/>
        </w:rPr>
        <w:t xml:space="preserve">Formule mentalement — ou par écrit — en une phrase ce que tu te proposes de faire de cette situation.</w:t>
      </w:r>
    </w:p>
    <w:p>
      <w:pPr>
        <w:spacing w:after="120"/>
      </w:pPr>
      <w:r>
        <w:rPr>
          <w:rFonts w:ascii="Times New Roman" w:cs="Times New Roman" w:eastAsia="Times New Roman" w:hAnsi="Times New Roman"/>
          <w:color w:val="1F2937"/>
          <w:sz w:val="22"/>
          <w:szCs w:val="22"/>
        </w:rPr>
        <w:t xml:space="preserve">Cet exercice pratique simultanément deux catégories Hadot : méditation (attention au présent) et assentiment (contrôle du jugement avant l'action).</w:t>
      </w:r>
    </w:p>
    <w:p>
      <w:pPr>
        <w:spacing w:after="120"/>
      </w:pPr>
      <w:r>
        <w:rPr>
          <w:rFonts w:ascii="Times New Roman" w:cs="Times New Roman" w:eastAsia="Times New Roman" w:hAnsi="Times New Roman"/>
          <w:color w:val="1F2937"/>
          <w:sz w:val="22"/>
          <w:szCs w:val="22"/>
        </w:rPr>
        <w:t xml:space="preserve">Pendant 7 jours consécutifs, note le soir si tu as pu maintenir l'attitude choisie le matin. Sans jugement : l'objectif est l'observation, pas la performance.</w:t>
      </w:r>
    </w:p>
    <w:p>
      <w:pPr>
        <w:spacing w:after="80"/>
      </w:pPr>
      <w:r>
        <w:rPr>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L'hypomnematon hebdomadaire</w:t>
      </w:r>
    </w:p>
    <w:p>
      <w:pPr>
        <w:spacing w:after="120"/>
      </w:pPr>
      <w:r>
        <w:rPr>
          <w:rFonts w:ascii="Times New Roman" w:cs="Times New Roman" w:eastAsia="Times New Roman" w:hAnsi="Times New Roman"/>
          <w:color w:val="1F2937"/>
          <w:sz w:val="22"/>
          <w:szCs w:val="22"/>
        </w:rPr>
        <w:t xml:space="preserve">Objectif : s'approprier la pratique des hypomnemata exactement comme Marc Aurèle, en rédigeant des notes d'entraînement personnel.</w:t>
      </w:r>
    </w:p>
    <w:p>
      <w:pPr>
        <w:spacing w:after="12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80"/>
      </w:pPr>
      <w:r>
        <w:rPr>
          <w:rFonts w:ascii="Times New Roman" w:cs="Times New Roman" w:eastAsia="Times New Roman" w:hAnsi="Times New Roman"/>
          <w:color w:val="1F2937"/>
          <w:sz w:val="22"/>
          <w:szCs w:val="22"/>
        </w:rPr>
        <w:t xml:space="preserve">Chaque soir cette semaine, choisis UN principe stoïcien appris dans les 16 leçons du parcours (dichotomie du contrôle, amor fati, memento mori, kathêkon, vue cosmique, etc.).</w:t>
      </w:r>
    </w:p>
    <w:p>
      <w:pPr>
        <w:pStyle w:val="ListParagraph"/>
        <w:numPr>
          <w:ilvl w:val="0"/>
          <w:numId w:val="1"/>
        </w:numPr>
        <w:spacing w:after="80"/>
      </w:pPr>
      <w:r>
        <w:rPr>
          <w:rFonts w:ascii="Times New Roman" w:cs="Times New Roman" w:eastAsia="Times New Roman" w:hAnsi="Times New Roman"/>
          <w:color w:val="1F2937"/>
          <w:sz w:val="22"/>
          <w:szCs w:val="22"/>
        </w:rPr>
        <w:t xml:space="preserve">Écris 5 à 10 lignes : (a) reformule ce principe avec tes propres mots ; (b) identifie une situation de ta journée où tu aurais pu l'appliquer — ou où tu l'as appliqué ; (c) indique ce que tu ferais différemment.</w:t>
      </w:r>
    </w:p>
    <w:p>
      <w:pPr>
        <w:pStyle w:val="ListParagraph"/>
        <w:numPr>
          <w:ilvl w:val="0"/>
          <w:numId w:val="1"/>
        </w:numPr>
        <w:spacing w:after="80"/>
      </w:pPr>
      <w:r>
        <w:rPr>
          <w:rFonts w:ascii="Times New Roman" w:cs="Times New Roman" w:eastAsia="Times New Roman" w:hAnsi="Times New Roman"/>
          <w:color w:val="1F2937"/>
          <w:sz w:val="22"/>
          <w:szCs w:val="22"/>
        </w:rPr>
        <w:t xml:space="preserve">Ne cherche pas à être exhaustif : l'hypomnematon est fait pour être relu, pas pour être complet. La brièveté est une qualité.</w:t>
      </w:r>
    </w:p>
    <w:p>
      <w:pPr>
        <w:spacing w:after="120"/>
      </w:pPr>
      <w:r>
        <w:rPr>
          <w:rFonts w:ascii="Times New Roman" w:cs="Times New Roman" w:eastAsia="Times New Roman" w:hAnsi="Times New Roman"/>
          <w:color w:val="1F2937"/>
          <w:sz w:val="22"/>
          <w:szCs w:val="22"/>
        </w:rPr>
        <w:t xml:space="preserve">Variante pour ancrer Hadot : relis tes 7 notes dimanche soir. Observe si certains principes reviennent spontanément. Ces répétitions sont le signe que l'exercice fonctionne — c'est exactement ce que Hadot décrit comme réactivation.</w:t>
      </w:r>
    </w:p>
    <w:p>
      <w:pPr>
        <w:spacing w:after="80"/>
      </w:pPr>
      <w:r>
        <w:rPr>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La vue cosmique en trois temps</w:t>
      </w:r>
    </w:p>
    <w:p>
      <w:pPr>
        <w:spacing w:after="120"/>
      </w:pPr>
      <w:r>
        <w:rPr>
          <w:rFonts w:ascii="Times New Roman" w:cs="Times New Roman" w:eastAsia="Times New Roman" w:hAnsi="Times New Roman"/>
          <w:color w:val="1F2937"/>
          <w:sz w:val="22"/>
          <w:szCs w:val="22"/>
        </w:rPr>
        <w:t xml:space="preserve">Objectif : pratiquer l'exercice de la vue d'en haut (leçon 9) dans le cadre élargi par Hadot — non comme simple relativisation, mais comme recadrage existentiel actif.</w:t>
      </w:r>
    </w:p>
    <w:p>
      <w:pPr>
        <w:spacing w:after="120"/>
      </w:pPr>
      <w:r>
        <w:rPr>
          <w:rFonts w:ascii="Times New Roman" w:cs="Times New Roman" w:eastAsia="Times New Roman" w:hAnsi="Times New Roman"/>
          <w:color w:val="1F2937"/>
          <w:sz w:val="22"/>
          <w:szCs w:val="22"/>
        </w:rPr>
        <w:t xml:space="preserve">Protocole (15 minutes, une fois dans la semaine) :</w:t>
      </w:r>
    </w:p>
    <w:p>
      <w:pPr>
        <w:pStyle w:val="ListParagraph"/>
        <w:numPr>
          <w:ilvl w:val="0"/>
          <w:numId w:val="1"/>
        </w:numPr>
        <w:spacing w:after="80"/>
      </w:pPr>
      <w:r>
        <w:rPr>
          <w:rFonts w:ascii="Times New Roman" w:cs="Times New Roman" w:eastAsia="Times New Roman" w:hAnsi="Times New Roman"/>
          <w:color w:val="1F2937"/>
          <w:sz w:val="22"/>
          <w:szCs w:val="22"/>
        </w:rPr>
        <w:t xml:space="preserve">Temps 1 — Zoom arrière (5 min) : choisis un souci actuel, réel, concret. Visualise ta journée en cours, puis ta semaine, puis ton année, puis ta vie entière. Puis la ville, la région, le pays, la planète. Où se situe ce souci à cette échelle ?</w:t>
      </w:r>
    </w:p>
    <w:p>
      <w:pPr>
        <w:pStyle w:val="ListParagraph"/>
        <w:numPr>
          <w:ilvl w:val="0"/>
          <w:numId w:val="1"/>
        </w:numPr>
        <w:spacing w:after="80"/>
      </w:pPr>
      <w:r>
        <w:rPr>
          <w:rFonts w:ascii="Times New Roman" w:cs="Times New Roman" w:eastAsia="Times New Roman" w:hAnsi="Times New Roman"/>
          <w:color w:val="1F2937"/>
          <w:sz w:val="22"/>
          <w:szCs w:val="22"/>
        </w:rPr>
        <w:t xml:space="preserve">Temps 2 — La sympatheia (5 min) : rappelle-toi que, selon les stoïciens, tout est relié (sympatheia). Ce que tu ressens maintenant fait partie d'un tissu commun. D'autres êtres humains, en ce moment, traversent une épreuve comparable ou pire. Que donne cette conscience à ta propre situation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Temps 3 — Retour sur l'action (5 min) : après le zoom arrière et l'élargissement, reviens au concret. Qu'est-ce qui, dans cette situation, mérite vraiment ton énergie ? Quelle est la première action possible, maintenant ?</w:t>
      </w:r>
    </w:p>
    <w:p>
      <w:pPr>
        <w:spacing w:after="120"/>
      </w:pPr>
      <w:r>
        <w:rPr>
          <w:rFonts w:ascii="Times New Roman" w:cs="Times New Roman" w:eastAsia="Times New Roman" w:hAnsi="Times New Roman"/>
          <w:color w:val="1F2937"/>
          <w:sz w:val="22"/>
          <w:szCs w:val="22"/>
        </w:rPr>
        <w:t xml:space="preserve">Marc Aurèle pratiquait régulièrement cet exercice. Dans les Méditations VI.38 (texte MIT), il écrit : « Frequently consider the connexion of all things in the universe and their relation to one another. »</w:t>
      </w:r>
      <w:r>
        <w:rPr>
          <w:rFonts w:ascii="Times New Roman" w:cs="Times New Roman" w:eastAsia="Times New Roman" w:hAnsi="Times New Roman"/>
          <w:i/>
          <w:iCs/>
          <w:color w:val="6B7280"/>
          <w:sz w:val="20"/>
          <w:szCs w:val="20"/>
        </w:rPr>
        <w:t xml:space="preserve"> [Corrigé le 24/09/2026 : même livre non ouvert, même correction ; la phrase de Marc Aurèle remplace la reformulation, et la « nécessité de rapporter l'action au moment présent » est retirée — elle n'est pas dans ce passage.]</w:t>
      </w:r>
    </w:p>
    <w:p>
      <w:pPr>
        <w:spacing w:after="80"/>
      </w:pPr>
      <w:r>
        <w:rPr>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Challenge — Ma semaine d'exercices stoïciens</w:t>
      </w:r>
    </w:p>
    <w:p>
      <w:pPr>
        <w:spacing w:after="120"/>
      </w:pPr>
      <w:r>
        <w:rPr>
          <w:rFonts w:ascii="Times New Roman" w:cs="Times New Roman" w:eastAsia="Times New Roman" w:hAnsi="Times New Roman"/>
          <w:color w:val="1F2937"/>
          <w:sz w:val="22"/>
          <w:szCs w:val="22"/>
        </w:rPr>
        <w:t xml:space="preserve">Ce challenge mobilise l'ensemble de la leçon et te demande de concevoir ta propre pratique en t'appuyant sur la grille de Hadot.</w:t>
      </w:r>
    </w:p>
    <w:p>
      <w:pPr>
        <w:spacing w:after="120"/>
      </w:pPr>
      <w:r>
        <w:rPr>
          <w:rFonts w:ascii="Times New Roman" w:cs="Times New Roman" w:eastAsia="Times New Roman" w:hAnsi="Times New Roman"/>
          <w:color w:val="1F2937"/>
          <w:sz w:val="22"/>
          <w:szCs w:val="22"/>
        </w:rPr>
        <w:t xml:space="preserve">Étape 1 — Inventaire : repasse la liste des trois catégories d'exercices (tableau ci-dessus). Pour chacune, identifie l'exercice qui te semble le plus accessible et le plus utile en ce moment de ta vie.</w:t>
      </w:r>
    </w:p>
    <w:p>
      <w:pPr>
        <w:spacing w:after="120"/>
      </w:pPr>
      <w:r>
        <w:rPr>
          <w:rFonts w:ascii="Times New Roman" w:cs="Times New Roman" w:eastAsia="Times New Roman" w:hAnsi="Times New Roman"/>
          <w:color w:val="1F2937"/>
          <w:sz w:val="22"/>
          <w:szCs w:val="22"/>
        </w:rPr>
        <w:t xml:space="preserve">Étape 2 — Programme : construis un tableau à 7 lignes (une par jour) avec trois colonnes :</w:t>
      </w:r>
    </w:p>
    <w:p>
      <w:pPr>
        <w:pStyle w:val="ListParagraph"/>
        <w:numPr>
          <w:ilvl w:val="0"/>
          <w:numId w:val="1"/>
        </w:numPr>
        <w:spacing w:after="80"/>
      </w:pPr>
      <w:r>
        <w:rPr>
          <w:rFonts w:ascii="Times New Roman" w:cs="Times New Roman" w:eastAsia="Times New Roman" w:hAnsi="Times New Roman"/>
          <w:color w:val="1F2937"/>
          <w:sz w:val="22"/>
          <w:szCs w:val="22"/>
        </w:rPr>
        <w:t xml:space="preserve">Matin : quel exercice de méditation ? (prosochè, premeditatio, concentration sur le présent)</w:t>
      </w:r>
    </w:p>
    <w:p>
      <w:pPr>
        <w:pStyle w:val="ListParagraph"/>
        <w:numPr>
          <w:ilvl w:val="0"/>
          <w:numId w:val="1"/>
        </w:numPr>
        <w:spacing w:after="80"/>
      </w:pPr>
      <w:r>
        <w:rPr>
          <w:rFonts w:ascii="Times New Roman" w:cs="Times New Roman" w:eastAsia="Times New Roman" w:hAnsi="Times New Roman"/>
          <w:color w:val="1F2937"/>
          <w:sz w:val="22"/>
          <w:szCs w:val="22"/>
        </w:rPr>
        <w:t xml:space="preserve">Dans la journée : quel exercice actif ? (duty / kathêkon, auto-maîtrise, indifférence à un indifférent précis)</w:t>
      </w:r>
    </w:p>
    <w:p>
      <w:pPr>
        <w:pStyle w:val="ListParagraph"/>
        <w:numPr>
          <w:ilvl w:val="0"/>
          <w:numId w:val="1"/>
        </w:numPr>
        <w:spacing w:after="80"/>
      </w:pPr>
      <w:r>
        <w:rPr>
          <w:rFonts w:ascii="Times New Roman" w:cs="Times New Roman" w:eastAsia="Times New Roman" w:hAnsi="Times New Roman"/>
          <w:color w:val="1F2937"/>
          <w:sz w:val="22"/>
          <w:szCs w:val="22"/>
        </w:rPr>
        <w:t xml:space="preserve">Soir : quel exercice intellectuel ? (écriture hypomnematon, examen de conscience, lecture d'un texte stoïcien)</w:t>
      </w:r>
    </w:p>
    <w:p>
      <w:pPr>
        <w:spacing w:after="120"/>
      </w:pPr>
      <w:r>
        <w:rPr>
          <w:rFonts w:ascii="Times New Roman" w:cs="Times New Roman" w:eastAsia="Times New Roman" w:hAnsi="Times New Roman"/>
          <w:color w:val="1F2937"/>
          <w:sz w:val="22"/>
          <w:szCs w:val="22"/>
        </w:rPr>
        <w:t xml:space="preserve">Étape 3 — Bilan de fin de semaine : réponds par écrit à cette question de Hadot : « La philosophie a-t-elle changé quelque chose à ma façon de vivre cette semaine — même une petite chose ? »</w:t>
      </w:r>
    </w:p>
    <w:p>
      <w:pPr>
        <w:spacing w:after="120"/>
      </w:pPr>
      <w:r>
        <w:rPr>
          <w:rFonts w:ascii="Times New Roman" w:cs="Times New Roman" w:eastAsia="Times New Roman" w:hAnsi="Times New Roman"/>
          <w:color w:val="1F2937"/>
          <w:sz w:val="22"/>
          <w:szCs w:val="22"/>
        </w:rPr>
        <w:t xml:space="preserve">Ce n'est pas un exercice de performance : Hadot insiste sur le fait que la régularité modeste vaut mieux que l'intensité épisodique. Trois exercices tenus 5 jours sur 7 transforment davantage qu'une journée de retraite philosophique par mois.</w:t>
      </w:r>
    </w:p>
    <w:p>
      <w:pPr>
        <w:spacing w:after="80"/>
      </w:pPr>
      <w:r>
        <w:rPr>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color w:val="1F2937"/>
          <w:sz w:val="22"/>
          <w:szCs w:val="22"/>
        </w:rPr>
        <w:t xml:space="preserve">Ce que Hadot offre au praticien, c'est une manière de penser la formation non comme accumulation de contenus mais comme transformation progressive de soi. Un chef de service qui cultive la prosochè — l'attention vigilante à ses propres jugements avant de réagir — développe une ressource que ni une formation réglementaire ni une fiche de procédure ne peut remplacer.</w:t>
      </w:r>
    </w:p>
    <w:p>
      <w:pPr>
        <w:spacing w:after="120"/>
      </w:pPr>
      <w:r>
        <w:rPr>
          <w:rFonts w:ascii="Times New Roman" w:cs="Times New Roman" w:eastAsia="Times New Roman" w:hAnsi="Times New Roman"/>
          <w:color w:val="1F2937"/>
          <w:sz w:val="22"/>
          <w:szCs w:val="22"/>
        </w:rPr>
        <w:t xml:space="preserve">Important : ce que ce parcours apporte relève de ta préparation personnelle, pas d'un contenu à transmettre en équipe ni d'une justification utilisable dans un projet d'établissement. Ne pas confondre les deux niveaux.</w:t>
      </w:r>
    </w:p>
    <w:p>
      <w:pPr>
        <w:spacing w:after="80"/>
      </w:pPr>
      <w:r>
        <w:rPr>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Ressources</w:t>
      </w:r>
    </w:p>
    <w:p>
      <w:pPr>
        <w:spacing w:after="120"/>
      </w:pPr>
      <w:r>
        <w:rPr>
          <w:rFonts w:ascii="Times New Roman" w:cs="Times New Roman" w:eastAsia="Times New Roman" w:hAnsi="Times New Roman"/>
          <w:color w:val="1F2937"/>
          <w:sz w:val="22"/>
          <w:szCs w:val="22"/>
        </w:rPr>
        <w:t xml:space="preserve">Sources utilisées pour cette leçon (toutes URLs testées 200 le 24/09/2026) :</w:t>
      </w:r>
    </w:p>
    <w:p>
      <w:pPr>
        <w:pStyle w:val="ListParagraph"/>
        <w:numPr>
          <w:ilvl w:val="0"/>
          <w:numId w:val="1"/>
        </w:numPr>
        <w:spacing w:after="80"/>
      </w:pPr>
      <w:hyperlink w:history="1" r:id="rId-opco63jsgwbgiijpmkkz">
        <w:r>
          <w:rPr>
            <w:rFonts w:ascii="Times New Roman" w:cs="Times New Roman" w:eastAsia="Times New Roman" w:hAnsi="Times New Roman"/>
            <w:color w:val="1155CC"/>
            <w:sz w:val="22"/>
            <w:szCs w:val="22"/>
            <w:u w:val="single"/>
          </w:rPr>
          <w:t xml:space="preserve">Pierre Hadot — Matthew Sharpe, Internet Encyclopedia of Philosophy (IEP)</w:t>
        </w:r>
      </w:hyperlink>
    </w:p>
    <w:p>
      <w:pPr>
        <w:pStyle w:val="ListParagraph"/>
        <w:numPr>
          <w:ilvl w:val="0"/>
          <w:numId w:val="1"/>
        </w:numPr>
        <w:spacing w:after="80"/>
      </w:pPr>
      <w:hyperlink w:history="1" r:id="rIdrrs-2o2i0fb6r1mkqi4sn">
        <w:r>
          <w:rPr>
            <w:rFonts w:ascii="Times New Roman" w:cs="Times New Roman" w:eastAsia="Times New Roman" w:hAnsi="Times New Roman"/>
            <w:color w:val="1155CC"/>
            <w:sz w:val="22"/>
            <w:szCs w:val="22"/>
            <w:u w:val="single"/>
          </w:rPr>
          <w:t xml:space="preserve">Stoicism — Internet Encyclopedia of Philosophy (Pigliucci, inclut les trois disciplines et la référence Hadot 1998)</w:t>
        </w:r>
      </w:hyperlink>
    </w:p>
    <w:p>
      <w:pPr>
        <w:pStyle w:val="ListParagraph"/>
        <w:numPr>
          <w:ilvl w:val="0"/>
          <w:numId w:val="1"/>
        </w:numPr>
        <w:spacing w:after="80"/>
      </w:pPr>
      <w:hyperlink w:history="1" r:id="rIdwxf6qspuewyyc3ksk3dc2">
        <w:r>
          <w:rPr>
            <w:rFonts w:ascii="Times New Roman" w:cs="Times New Roman" w:eastAsia="Times New Roman" w:hAnsi="Times New Roman"/>
            <w:color w:val="1155CC"/>
            <w:sz w:val="22"/>
            <w:szCs w:val="22"/>
            <w:u w:val="single"/>
          </w:rPr>
          <w:t xml:space="preserve">Hadot's Active Stoic Exercises — Modern Stoicism (Anitra Russell, 2017)</w:t>
        </w:r>
      </w:hyperlink>
    </w:p>
    <w:p>
      <w:pPr>
        <w:pStyle w:val="ListParagraph"/>
        <w:numPr>
          <w:ilvl w:val="0"/>
          <w:numId w:val="1"/>
        </w:numPr>
        <w:spacing w:after="80"/>
      </w:pPr>
      <w:hyperlink w:history="1" r:id="rIdravaxgxloqmowlskt0evz">
        <w:r>
          <w:rPr>
            <w:rFonts w:ascii="Times New Roman" w:cs="Times New Roman" w:eastAsia="Times New Roman" w:hAnsi="Times New Roman"/>
            <w:color w:val="1155CC"/>
            <w:sz w:val="22"/>
            <w:szCs w:val="22"/>
            <w:u w:val="single"/>
          </w:rPr>
          <w:t xml:space="preserve">Pierre Hadot — Wikipedia EN (biographie, œuvres, concept d'exercices spirituels)</w:t>
        </w:r>
      </w:hyperlink>
    </w:p>
    <w:p>
      <w:pPr>
        <w:pStyle w:val="ListParagraph"/>
        <w:numPr>
          <w:ilvl w:val="0"/>
          <w:numId w:val="1"/>
        </w:numPr>
        <w:spacing w:after="80"/>
      </w:pPr>
      <w:hyperlink w:history="1" r:id="rId00vikltlnqyy_bv93elxw">
        <w:r>
          <w:rPr>
            <w:rFonts w:ascii="Times New Roman" w:cs="Times New Roman" w:eastAsia="Times New Roman" w:hAnsi="Times New Roman"/>
            <w:color w:val="1155CC"/>
            <w:sz w:val="22"/>
            <w:szCs w:val="22"/>
            <w:u w:val="single"/>
          </w:rPr>
          <w:t xml:space="preserve">Marc Aurèle, Méditations — index MIT (traduction George Long ; page d'index de 538 caractères, elle ne sert qu'à établir le nom du traducteur)</w:t>
        </w:r>
      </w:hyperlink>
    </w:p>
    <w:p>
      <w:pPr>
        <w:pStyle w:val="ListParagraph"/>
        <w:numPr>
          <w:ilvl w:val="0"/>
          <w:numId w:val="1"/>
        </w:numPr>
        <w:spacing w:after="80"/>
      </w:pPr>
      <w:hyperlink w:history="1" r:id="rIdhqbr4wb-ksgcksp10oysn">
        <w:r>
          <w:rPr>
            <w:rFonts w:ascii="Times New Roman" w:cs="Times New Roman" w:eastAsia="Times New Roman" w:hAnsi="Times New Roman"/>
            <w:color w:val="1155CC"/>
            <w:sz w:val="22"/>
            <w:szCs w:val="22"/>
            <w:u w:val="single"/>
          </w:rPr>
          <w:t xml:space="preserve">Marc Aurèle, Méditations Livre II — texte intégral MIT</w:t>
        </w:r>
      </w:hyperlink>
    </w:p>
    <w:p>
      <w:pPr>
        <w:pStyle w:val="ListParagraph"/>
        <w:numPr>
          <w:ilvl w:val="0"/>
          <w:numId w:val="1"/>
        </w:numPr>
        <w:spacing w:after="80"/>
      </w:pPr>
      <w:hyperlink w:history="1" r:id="rIdMeditationsLivreVI">
        <w:r>
          <w:rPr>
            <w:rFonts w:ascii="Times New Roman" w:cs="Times New Roman" w:eastAsia="Times New Roman" w:hAnsi="Times New Roman"/>
            <w:color w:val="1155CC"/>
            <w:sz w:val="22"/>
            <w:szCs w:val="22"/>
            <w:u w:val="single"/>
          </w:rPr>
          <w:t xml:space="preserve">Marc Aurèle, Méditations Livre VI — texte intégral MIT (VI.11 la prosochè, VI.38 la connexion de toutes choses)</w:t>
        </w:r>
      </w:hyperlink>
      <w:r>
        <w:rPr>
          <w:rFonts w:ascii="Times New Roman" w:cs="Times New Roman" w:eastAsia="Times New Roman" w:hAnsi="Times New Roman"/>
          <w:i/>
          <w:iCs/>
          <w:color w:val="6B7280"/>
          <w:sz w:val="20"/>
          <w:szCs w:val="20"/>
        </w:rPr>
        <w:t xml:space="preserve"> [Ajouté le 24/09/2026]</w:t>
      </w:r>
    </w:p>
    <w:p>
      <w:pPr>
        <w:pStyle w:val="ListParagraph"/>
        <w:numPr>
          <w:ilvl w:val="0"/>
          <w:numId w:val="1"/>
        </w:numPr>
        <w:spacing w:after="80"/>
      </w:pPr>
      <w:hyperlink w:history="1" r:id="rIdt4kmjl4o3puywshygu691">
        <w:r>
          <w:rPr>
            <w:rFonts w:ascii="Times New Roman" w:cs="Times New Roman" w:eastAsia="Times New Roman" w:hAnsi="Times New Roman"/>
            <w:color w:val="1155CC"/>
            <w:sz w:val="22"/>
            <w:szCs w:val="22"/>
            <w:u w:val="single"/>
          </w:rPr>
          <w:t xml:space="preserve">Épictète, Enchiridion (Manuel) — texte intégral MIT (lecture d'appui : aucune phrase de cette leçon n'en vient)</w:t>
        </w:r>
      </w:hyperlink>
    </w:p>
    <w:p>
      <w:pPr>
        <w:pStyle w:val="ListParagraph"/>
        <w:numPr>
          <w:ilvl w:val="0"/>
          <w:numId w:val="1"/>
        </w:numPr>
        <w:spacing w:after="80"/>
      </w:pPr>
      <w:hyperlink w:history="1" r:id="rIdlz9wedoul4cz27n51cchm">
        <w:r>
          <w:rPr>
            <w:rFonts w:ascii="Times New Roman" w:cs="Times New Roman" w:eastAsia="Times New Roman" w:hAnsi="Times New Roman"/>
            <w:color w:val="1155CC"/>
            <w:sz w:val="22"/>
            <w:szCs w:val="22"/>
            <w:u w:val="single"/>
          </w:rPr>
          <w:t xml:space="preserve">Exercices spirituels et philosophie antique — Internet Archive (Hadot ; scan téléversé par un compte privé, non consulté pour cette leçon : la référence bibliographique vaut, pas le contenu)</w:t>
        </w:r>
      </w:hyperlink>
    </w:p>
    <w:p>
      <w:pPr>
        <w:spacing w:after="80"/>
      </w:pPr>
      <w:r>
        <w:rPr>
          <w:sz w:val="22"/>
          <w:szCs w:val="22"/>
        </w:rPr>
        <w:t xml:space="preserve"/>
      </w:r>
    </w:p>
    <w:p>
      <w:pPr>
        <w:pStyle w:val="Heading2"/>
        <w:spacing w:after="120" w:before="30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color w:val="1F2937"/>
          <w:sz w:val="22"/>
          <w:szCs w:val="22"/>
        </w:rPr>
        <w:t xml:space="preserve">Leçon 17 — Stoïcisme et christianisme : emprunts, divergences, postérité.</w:t>
      </w:r>
    </w:p>
    <w:p>
      <w:pPr>
        <w:spacing w:after="120"/>
      </w:pPr>
      <w:r>
        <w:rPr>
          <w:rFonts w:ascii="Times New Roman" w:cs="Times New Roman" w:eastAsia="Times New Roman" w:hAnsi="Times New Roman"/>
          <w:color w:val="1F2937"/>
          <w:sz w:val="22"/>
          <w:szCs w:val="22"/>
        </w:rPr>
        <w:t xml:space="preserve">Nous verrons comment la tradition chrétienne (surtout patristique) s'est approprié certains exercices et concepts stoïciens, où se situent les divergences fondamentales (Providence personnelle vs logos impersonnel, salut vs sagesse), et comment le stoïcisme a survécu et s'est transformé dans la culture occidentale post-antique.</w:t>
      </w:r>
    </w:p>
    <w:p>
      <w:pPr>
        <w:pStyle w:val="Heading2"/>
        <w:spacing w:after="80" w:before="240"/>
      </w:pPr>
      <w:r>
        <w:rPr>
          <w:rFonts w:ascii="Times New Roman" w:cs="Times New Roman" w:eastAsia="Times New Roman" w:hAnsi="Times New Roman"/>
          <w:b/>
          <w:bCs/>
          <w:color w:val="1B3A6B"/>
          <w:sz w:val="30"/>
          <w:szCs w:val="30"/>
        </w:rPr>
        <w:t xml:space="preserve">📝 Journal des corrections</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Corrigée le 24/09/2026. Les huit pages ont été rouvertes, une neuvième ouverte (Méditations Livre VI). Les formulations d'origine sont conservées ici, et seulement ici.</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① « Hadot regroupe les exercices stoïciens en trois grandes catégories (d'après son analyse des trois disciplines stoïciennes — désir, action, assentiment — dont il repère la convergence avec les quatre vertus) » → ce classement n'est sur aucune page : 0 occurrence de « categor » chez Modern Stoicism, 0 de « three » à l'article IEP sur Hadot, dont la liste est en deux ensembles. La liste des exercices est celle de Philon rapportée par Matthew Sharpe ; la colonne « actifs » et sa correspondance avec les trois disciplines sont l'argument d'Anitra Russell, qui écrit que Hadot ne l'élabore pas. Le rangement en trois est déclaré comme étant de la leçon.</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② « Marc Aurèle, Méditations, Livre II.11 » → la page du MIT ne numérote pas ses sections (0 « 11. », 0 « XI. », 0 « Section ») et le passage y est le 14e du livre : II.14 chez George Long.</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③ « Méditations, Livre VI, d'après le texte MIT », deux fois, alors que les ressources ne portaient que le Livre II et l'index → le Livre VI a été ouvert (HTTP 200), lié, et les deux passages sont cités : VI.11 « quickly return to thyself… » et VI.38 « Frequently consider the connexion of all things… ». La « nécessité de rapporter l'action au moment présent », qui n'est pas dans VI.38, est retirée.</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④ « Synthèse d'après l'IEP, article Hadot » → l'article est signé Matthew Sharpe (Deakin University). La leçon nommait Massimo Pigliucci pour l'autre article de la même encyclopédie : deux poids, deux mesures dans le même paragraphe.</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⑤ « (Modern Stoicism, Ryan Holiday, massimo Pigliucci) » → Ryan Holiday ne figure sur aucune des huit pages ouvertes ; retiré.</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⑥ « nourrissaient sa propre existence » → la page joint « and that of modern society ». Et « Exercices spirituels et philosophie antique (1981 … Albin Michel) » → l'édition de 1981 est aux Études augustiniennes ; Albin Michel n'entre qu'avec la nouvelle édition de 2002.</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⑦ Trois lignes de ressources disent désormais ce qu'elles apportent : l'index MIT (538 caractères) ne donne que le nom du traducteur, l'Enchiridion n'irrigue aucune phrase, et le scan de l'Internet Archive n'a pas été consulté.</w:t>
      </w:r>
    </w:p>
    <w:p>
      <w:pPr>
        <w:shd w:fill="F3F4F6" w:val="clear"/>
        <w:spacing w:after="100" w:before="100"/>
        <w:ind w:left="431" w:right="431"/>
      </w:pPr>
      <w:r>
        <w:rPr>
          <w:rFonts w:ascii="Times New Roman" w:cs="Times New Roman" w:eastAsia="Times New Roman" w:hAnsi="Times New Roman"/>
          <w:i/>
          <w:iCs/>
          <w:color w:val="1B3A6B"/>
          <w:sz w:val="22"/>
          <w:szCs w:val="22"/>
        </w:rPr>
        <w:t xml:space="preserve">Vérifié et inchangé : toute la biographie de Hadot (21 février 1922 – 24 avril 2010, Collège de France en 1983, chaire d'Histoire de la pensée hellénistique et romaine, retraite en 1991), les quatre ouvrages et leurs éditeurs, la définition des exercices spirituels, l'article IEP Stoicism de Massimo Pigliucci et sa phrase sur Hadot (1998), et l'influence sur Foucault dans les deuxième et troisième volumes de l'Histoire de la sexualité.</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tojelk14sfjrl_hdjzzj" Type="http://schemas.openxmlformats.org/officeDocument/2006/relationships/hyperlink" Target="https://classics.mit.edu/Antoninus/meditations.2.two.html" TargetMode="External"/><Relationship Id="rId-opco63jsgwbgiijpmkkz" Type="http://schemas.openxmlformats.org/officeDocument/2006/relationships/hyperlink" Target="https://iep.utm.edu/hadot/" TargetMode="External"/><Relationship Id="rIdrrs-2o2i0fb6r1mkqi4sn" Type="http://schemas.openxmlformats.org/officeDocument/2006/relationships/hyperlink" Target="https://iep.utm.edu/stoicism/" TargetMode="External"/><Relationship Id="rIdwxf6qspuewyyc3ksk3dc2" Type="http://schemas.openxmlformats.org/officeDocument/2006/relationships/hyperlink" Target="https://modernstoicism.com/hadots-active-stoic-exercises-by-anitra-russell/" TargetMode="External"/><Relationship Id="rIdravaxgxloqmowlskt0evz" Type="http://schemas.openxmlformats.org/officeDocument/2006/relationships/hyperlink" Target="https://en.wikipedia.org/wiki/Pierre_Hadot" TargetMode="External"/><Relationship Id="rId00vikltlnqyy_bv93elxw" Type="http://schemas.openxmlformats.org/officeDocument/2006/relationships/hyperlink" Target="https://classics.mit.edu/Antoninus/meditations.html" TargetMode="External"/><Relationship Id="rIdhqbr4wb-ksgcksp10oysn" Type="http://schemas.openxmlformats.org/officeDocument/2006/relationships/hyperlink" Target="https://classics.mit.edu/Antoninus/meditations.2.two.html" TargetMode="External"/><Relationship Id="rIdt4kmjl4o3puywshygu691" Type="http://schemas.openxmlformats.org/officeDocument/2006/relationships/hyperlink" Target="https://classics.mit.edu/Epictetus/epicench.html" TargetMode="External"/><Relationship Id="rIdlz9wedoul4cz27n51cchm" Type="http://schemas.openxmlformats.org/officeDocument/2006/relationships/hyperlink" Target="https://archive.org/details/hadot-pierre-exercices-spirituels-et-philosophie-antique" TargetMode="External"/><Relationship Id="rId16" Type="http://schemas.openxmlformats.org/officeDocument/2006/relationships/fontTable" Target="fontTable.xml"/><Relationship Id="rIdMeditationsLivreVI" Type="http://schemas.openxmlformats.org/officeDocument/2006/relationships/hyperlink" Target="https://classics.mit.edu/Antoninus/meditations.6.six.html"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2026-09-24T06:08:55.525Z</dcterms:created>
  <dcterms:modified xsi:type="dcterms:W3CDTF">2026-09-24T06:08:55.573Z</dcterms:modified>
</cp:coreProperties>
</file>

<file path=docProps/custom.xml><?xml version="1.0" encoding="utf-8"?>
<Properties xmlns="http://schemas.openxmlformats.org/officeDocument/2006/custom-properties" xmlns:vt="http://schemas.openxmlformats.org/officeDocument/2006/docPropsVTypes"/>
</file>